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3D7" w:rsidRPr="00AA292B" w:rsidRDefault="002F0BC8" w:rsidP="00B178FC">
      <w:pPr>
        <w:spacing w:line="360" w:lineRule="auto"/>
        <w:jc w:val="both"/>
        <w:rPr>
          <w:rFonts w:asciiTheme="majorBidi" w:hAnsiTheme="majorBidi" w:cstheme="majorBidi"/>
          <w:b/>
          <w:bCs/>
          <w:sz w:val="24"/>
          <w:szCs w:val="24"/>
        </w:rPr>
      </w:pPr>
      <w:r w:rsidRPr="00AA292B">
        <w:rPr>
          <w:rFonts w:asciiTheme="majorBidi" w:hAnsiTheme="majorBidi" w:cstheme="majorBidi"/>
          <w:b/>
          <w:bCs/>
          <w:sz w:val="24"/>
          <w:szCs w:val="24"/>
        </w:rPr>
        <w:t>Supplementary File S1</w:t>
      </w:r>
    </w:p>
    <w:p w:rsidR="007403D7" w:rsidRPr="00AA292B" w:rsidRDefault="002F0BC8" w:rsidP="00B178FC">
      <w:pPr>
        <w:pStyle w:val="Heading1"/>
        <w:spacing w:line="360" w:lineRule="auto"/>
        <w:jc w:val="both"/>
        <w:rPr>
          <w:rFonts w:asciiTheme="majorBidi" w:hAnsiTheme="majorBidi"/>
          <w:color w:val="auto"/>
          <w:sz w:val="24"/>
          <w:szCs w:val="24"/>
        </w:rPr>
      </w:pPr>
      <w:r w:rsidRPr="00AA292B">
        <w:rPr>
          <w:rFonts w:asciiTheme="majorBidi" w:hAnsiTheme="majorBidi"/>
          <w:color w:val="auto"/>
          <w:sz w:val="24"/>
          <w:szCs w:val="24"/>
        </w:rPr>
        <w:t>Detailed Intervention Protocols</w:t>
      </w:r>
    </w:p>
    <w:p w:rsidR="007403D7" w:rsidRPr="00AA292B" w:rsidRDefault="002F0BC8" w:rsidP="00B178FC">
      <w:pPr>
        <w:spacing w:line="360" w:lineRule="auto"/>
        <w:jc w:val="both"/>
        <w:rPr>
          <w:rFonts w:asciiTheme="majorBidi" w:hAnsiTheme="majorBidi" w:cstheme="majorBidi"/>
          <w:sz w:val="24"/>
          <w:szCs w:val="24"/>
        </w:rPr>
      </w:pPr>
      <w:r w:rsidRPr="00AA292B">
        <w:rPr>
          <w:rFonts w:asciiTheme="majorBidi" w:hAnsiTheme="majorBidi" w:cstheme="majorBidi"/>
          <w:sz w:val="24"/>
          <w:szCs w:val="24"/>
        </w:rPr>
        <w:t>This supplementary file provides a detailed description of the intervention protocols used in the randomized clinical trial evaluating pharmacist-led pharmaceutical care for COPD management. The interventions were designed according to the Global Initiative for Chronic Obstructive Lung Disease (GOLD 2020) recommendations to ensure standardized delivery across all study arms.</w:t>
      </w:r>
    </w:p>
    <w:p w:rsidR="007403D7" w:rsidRPr="00AA292B" w:rsidRDefault="002F0BC8" w:rsidP="00B178FC">
      <w:pPr>
        <w:spacing w:line="360" w:lineRule="auto"/>
        <w:jc w:val="both"/>
        <w:rPr>
          <w:rFonts w:asciiTheme="majorBidi" w:hAnsiTheme="majorBidi" w:cstheme="majorBidi"/>
          <w:sz w:val="24"/>
          <w:szCs w:val="24"/>
        </w:rPr>
      </w:pPr>
      <w:r w:rsidRPr="00AA292B">
        <w:rPr>
          <w:rFonts w:asciiTheme="majorBidi" w:hAnsiTheme="majorBidi" w:cstheme="majorBidi"/>
          <w:sz w:val="24"/>
          <w:szCs w:val="24"/>
        </w:rPr>
        <w:t>The supplementary material outlines the procedures followed during intervention delivery, patient monitoring, and outcome assessment. A comparison of interventions implemented in the three study arms is also presented.</w:t>
      </w:r>
    </w:p>
    <w:p w:rsidR="007403D7" w:rsidRPr="00AA292B" w:rsidRDefault="002F0BC8" w:rsidP="00B178FC">
      <w:pPr>
        <w:pStyle w:val="Heading2"/>
        <w:spacing w:line="360" w:lineRule="auto"/>
        <w:jc w:val="both"/>
        <w:rPr>
          <w:rFonts w:asciiTheme="majorBidi" w:hAnsiTheme="majorBidi"/>
          <w:color w:val="auto"/>
          <w:sz w:val="24"/>
          <w:szCs w:val="24"/>
        </w:rPr>
      </w:pPr>
      <w:r w:rsidRPr="00AA292B">
        <w:rPr>
          <w:rFonts w:asciiTheme="majorBidi" w:hAnsiTheme="majorBidi"/>
          <w:color w:val="auto"/>
          <w:sz w:val="24"/>
          <w:szCs w:val="24"/>
        </w:rPr>
        <w:t>1. Study Arms Overview</w:t>
      </w:r>
    </w:p>
    <w:p w:rsidR="007403D7" w:rsidRPr="00AA292B" w:rsidRDefault="002F0BC8" w:rsidP="00B178FC">
      <w:pPr>
        <w:spacing w:line="360" w:lineRule="auto"/>
        <w:jc w:val="both"/>
        <w:rPr>
          <w:rFonts w:asciiTheme="majorBidi" w:hAnsiTheme="majorBidi" w:cstheme="majorBidi"/>
          <w:sz w:val="24"/>
          <w:szCs w:val="24"/>
        </w:rPr>
      </w:pPr>
      <w:r w:rsidRPr="00AA292B">
        <w:rPr>
          <w:rFonts w:asciiTheme="majorBidi" w:hAnsiTheme="majorBidi" w:cstheme="majorBidi"/>
          <w:sz w:val="24"/>
          <w:szCs w:val="24"/>
        </w:rPr>
        <w:t>Participants enrolled in the study were randomly assigned to one of three arms in a 1:1:1 ratio:</w:t>
      </w:r>
    </w:p>
    <w:p w:rsidR="007403D7" w:rsidRPr="00AA292B" w:rsidRDefault="002F0BC8" w:rsidP="00B178FC">
      <w:pPr>
        <w:pStyle w:val="ListBullet"/>
        <w:spacing w:line="360" w:lineRule="auto"/>
        <w:jc w:val="both"/>
        <w:rPr>
          <w:rFonts w:asciiTheme="majorBidi" w:hAnsiTheme="majorBidi" w:cstheme="majorBidi"/>
          <w:sz w:val="24"/>
          <w:szCs w:val="24"/>
        </w:rPr>
      </w:pPr>
      <w:r w:rsidRPr="00AA292B">
        <w:rPr>
          <w:rFonts w:asciiTheme="majorBidi" w:hAnsiTheme="majorBidi" w:cstheme="majorBidi"/>
          <w:sz w:val="24"/>
          <w:szCs w:val="24"/>
        </w:rPr>
        <w:t>Arm 0 – Usual Care (Control Group): Participants received routine physician‑directed COPD management.</w:t>
      </w:r>
    </w:p>
    <w:p w:rsidR="007403D7" w:rsidRPr="00AA292B" w:rsidRDefault="002F0BC8" w:rsidP="00B178FC">
      <w:pPr>
        <w:pStyle w:val="ListBullet"/>
        <w:spacing w:line="360" w:lineRule="auto"/>
        <w:jc w:val="both"/>
        <w:rPr>
          <w:rFonts w:asciiTheme="majorBidi" w:hAnsiTheme="majorBidi" w:cstheme="majorBidi"/>
          <w:sz w:val="24"/>
          <w:szCs w:val="24"/>
        </w:rPr>
      </w:pPr>
      <w:r w:rsidRPr="00AA292B">
        <w:rPr>
          <w:rFonts w:asciiTheme="majorBidi" w:hAnsiTheme="majorBidi" w:cstheme="majorBidi"/>
          <w:sz w:val="24"/>
          <w:szCs w:val="24"/>
        </w:rPr>
        <w:t>Arm 1 – Educational Intervention: Participants received usual care plus structured pharmacist‑led patient education</w:t>
      </w:r>
      <w:r w:rsidR="00F44D55">
        <w:rPr>
          <w:rFonts w:asciiTheme="majorBidi" w:hAnsiTheme="majorBidi" w:cstheme="majorBidi"/>
          <w:sz w:val="24"/>
          <w:szCs w:val="24"/>
        </w:rPr>
        <w:t xml:space="preserve"> (Table S1)</w:t>
      </w:r>
      <w:r w:rsidRPr="00AA292B">
        <w:rPr>
          <w:rFonts w:asciiTheme="majorBidi" w:hAnsiTheme="majorBidi" w:cstheme="majorBidi"/>
          <w:sz w:val="24"/>
          <w:szCs w:val="24"/>
        </w:rPr>
        <w:t>.</w:t>
      </w:r>
    </w:p>
    <w:p w:rsidR="007403D7" w:rsidRDefault="002F0BC8" w:rsidP="00B178FC">
      <w:pPr>
        <w:pStyle w:val="ListBullet"/>
        <w:spacing w:line="360" w:lineRule="auto"/>
        <w:jc w:val="both"/>
        <w:rPr>
          <w:rFonts w:asciiTheme="majorBidi" w:hAnsiTheme="majorBidi" w:cstheme="majorBidi"/>
          <w:sz w:val="24"/>
          <w:szCs w:val="24"/>
        </w:rPr>
      </w:pPr>
      <w:r w:rsidRPr="00AA292B">
        <w:rPr>
          <w:rFonts w:asciiTheme="majorBidi" w:hAnsiTheme="majorBidi" w:cstheme="majorBidi"/>
          <w:sz w:val="24"/>
          <w:szCs w:val="24"/>
        </w:rPr>
        <w:t>Arm 2 – Pharmaceutical Care Intervention: Participants received educational intervention plus structured pharmacist‑led pharmaceutical care</w:t>
      </w:r>
      <w:r w:rsidR="00F44D55">
        <w:rPr>
          <w:rFonts w:asciiTheme="majorBidi" w:hAnsiTheme="majorBidi" w:cstheme="majorBidi"/>
          <w:sz w:val="24"/>
          <w:szCs w:val="24"/>
        </w:rPr>
        <w:t xml:space="preserve"> (Table S1 &amp; S2)</w:t>
      </w:r>
      <w:r w:rsidRPr="00AA292B">
        <w:rPr>
          <w:rFonts w:asciiTheme="majorBidi" w:hAnsiTheme="majorBidi" w:cstheme="majorBidi"/>
          <w:sz w:val="24"/>
          <w:szCs w:val="24"/>
        </w:rPr>
        <w:t>.</w:t>
      </w:r>
    </w:p>
    <w:p w:rsidR="0000648A" w:rsidRPr="00F44D55" w:rsidRDefault="0000648A" w:rsidP="0000648A">
      <w:pPr>
        <w:pStyle w:val="ListBullet"/>
        <w:numPr>
          <w:ilvl w:val="0"/>
          <w:numId w:val="0"/>
        </w:numPr>
        <w:spacing w:after="0" w:line="360" w:lineRule="auto"/>
        <w:jc w:val="both"/>
        <w:rPr>
          <w:rFonts w:asciiTheme="majorBidi" w:hAnsiTheme="majorBidi" w:cstheme="majorBidi"/>
          <w:b/>
          <w:bCs/>
          <w:sz w:val="20"/>
          <w:szCs w:val="20"/>
        </w:rPr>
      </w:pPr>
      <w:r w:rsidRPr="00F44D55">
        <w:rPr>
          <w:rFonts w:asciiTheme="majorBidi" w:hAnsiTheme="majorBidi" w:cstheme="majorBidi"/>
          <w:b/>
          <w:bCs/>
          <w:sz w:val="20"/>
          <w:szCs w:val="20"/>
        </w:rPr>
        <w:t>Table S1. Overview of the interventions provided to the study group</w:t>
      </w:r>
    </w:p>
    <w:tbl>
      <w:tblPr>
        <w:tblStyle w:val="TableGrid"/>
        <w:tblW w:w="0" w:type="auto"/>
        <w:tblLook w:val="04A0" w:firstRow="1" w:lastRow="0" w:firstColumn="1" w:lastColumn="0" w:noHBand="0" w:noVBand="1"/>
      </w:tblPr>
      <w:tblGrid>
        <w:gridCol w:w="2448"/>
        <w:gridCol w:w="1620"/>
        <w:gridCol w:w="2412"/>
        <w:gridCol w:w="2160"/>
      </w:tblGrid>
      <w:tr w:rsidR="00B178FC" w:rsidRPr="0000648A" w:rsidTr="0000648A">
        <w:tc>
          <w:tcPr>
            <w:tcW w:w="2448" w:type="dxa"/>
          </w:tcPr>
          <w:p w:rsidR="007403D7" w:rsidRPr="0000648A" w:rsidRDefault="002F0BC8" w:rsidP="007F1A33">
            <w:pPr>
              <w:spacing w:line="360" w:lineRule="auto"/>
              <w:jc w:val="center"/>
              <w:rPr>
                <w:rFonts w:asciiTheme="majorBidi" w:hAnsiTheme="majorBidi" w:cstheme="majorBidi"/>
                <w:b/>
                <w:bCs/>
                <w:sz w:val="20"/>
                <w:szCs w:val="20"/>
              </w:rPr>
            </w:pPr>
            <w:r w:rsidRPr="0000648A">
              <w:rPr>
                <w:rFonts w:asciiTheme="majorBidi" w:hAnsiTheme="majorBidi" w:cstheme="majorBidi"/>
                <w:b/>
                <w:bCs/>
                <w:sz w:val="20"/>
                <w:szCs w:val="20"/>
              </w:rPr>
              <w:t>Intervention Component</w:t>
            </w:r>
          </w:p>
        </w:tc>
        <w:tc>
          <w:tcPr>
            <w:tcW w:w="1620" w:type="dxa"/>
          </w:tcPr>
          <w:p w:rsidR="007403D7" w:rsidRPr="0000648A" w:rsidRDefault="007F1A33" w:rsidP="00412AD2">
            <w:pPr>
              <w:spacing w:line="360" w:lineRule="auto"/>
              <w:jc w:val="center"/>
              <w:rPr>
                <w:rFonts w:asciiTheme="majorBidi" w:hAnsiTheme="majorBidi" w:cstheme="majorBidi"/>
                <w:b/>
                <w:bCs/>
                <w:sz w:val="20"/>
                <w:szCs w:val="20"/>
              </w:rPr>
            </w:pPr>
            <w:r w:rsidRPr="0000648A">
              <w:rPr>
                <w:rFonts w:asciiTheme="majorBidi" w:hAnsiTheme="majorBidi" w:cstheme="majorBidi"/>
                <w:b/>
                <w:bCs/>
                <w:sz w:val="20"/>
                <w:szCs w:val="20"/>
              </w:rPr>
              <w:t>Arm 0</w:t>
            </w:r>
            <w:r w:rsidR="002F0BC8" w:rsidRPr="0000648A">
              <w:rPr>
                <w:rFonts w:asciiTheme="majorBidi" w:hAnsiTheme="majorBidi" w:cstheme="majorBidi"/>
                <w:b/>
                <w:bCs/>
                <w:sz w:val="20"/>
                <w:szCs w:val="20"/>
              </w:rPr>
              <w:t xml:space="preserve"> </w:t>
            </w:r>
          </w:p>
        </w:tc>
        <w:tc>
          <w:tcPr>
            <w:tcW w:w="2412" w:type="dxa"/>
          </w:tcPr>
          <w:p w:rsidR="007403D7" w:rsidRPr="0000648A" w:rsidRDefault="007F1A33" w:rsidP="00412AD2">
            <w:pPr>
              <w:spacing w:line="360" w:lineRule="auto"/>
              <w:jc w:val="center"/>
              <w:rPr>
                <w:rFonts w:asciiTheme="majorBidi" w:hAnsiTheme="majorBidi" w:cstheme="majorBidi"/>
                <w:b/>
                <w:bCs/>
                <w:sz w:val="20"/>
                <w:szCs w:val="20"/>
              </w:rPr>
            </w:pPr>
            <w:r w:rsidRPr="0000648A">
              <w:rPr>
                <w:rFonts w:asciiTheme="majorBidi" w:hAnsiTheme="majorBidi" w:cstheme="majorBidi"/>
                <w:b/>
                <w:bCs/>
                <w:sz w:val="20"/>
                <w:szCs w:val="20"/>
              </w:rPr>
              <w:t>Arm 1</w:t>
            </w:r>
          </w:p>
        </w:tc>
        <w:tc>
          <w:tcPr>
            <w:tcW w:w="2160" w:type="dxa"/>
          </w:tcPr>
          <w:p w:rsidR="004A3B9C" w:rsidRPr="0000648A" w:rsidRDefault="007F1A33" w:rsidP="00412AD2">
            <w:pPr>
              <w:spacing w:line="360" w:lineRule="auto"/>
              <w:jc w:val="center"/>
              <w:rPr>
                <w:rFonts w:asciiTheme="majorBidi" w:hAnsiTheme="majorBidi" w:cstheme="majorBidi"/>
                <w:b/>
                <w:bCs/>
                <w:sz w:val="20"/>
                <w:szCs w:val="20"/>
              </w:rPr>
            </w:pPr>
            <w:r w:rsidRPr="0000648A">
              <w:rPr>
                <w:rFonts w:asciiTheme="majorBidi" w:hAnsiTheme="majorBidi" w:cstheme="majorBidi"/>
                <w:b/>
                <w:bCs/>
                <w:sz w:val="20"/>
                <w:szCs w:val="20"/>
              </w:rPr>
              <w:t>Arm 2</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Routine physician care</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COPD patient education</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Medication counseling</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Inhaler technique training</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Lifestyle counseling</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Pharmacotherapy review</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Medication optimization</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lastRenderedPageBreak/>
              <w:t>Symptom monitoring (CAT/</w:t>
            </w:r>
            <w:proofErr w:type="spellStart"/>
            <w:r w:rsidRPr="0000648A">
              <w:rPr>
                <w:rFonts w:asciiTheme="majorBidi" w:hAnsiTheme="majorBidi" w:cstheme="majorBidi"/>
                <w:b/>
                <w:bCs/>
                <w:sz w:val="20"/>
                <w:szCs w:val="20"/>
              </w:rPr>
              <w:t>mMRC</w:t>
            </w:r>
            <w:proofErr w:type="spellEnd"/>
            <w:r w:rsidRPr="0000648A">
              <w:rPr>
                <w:rFonts w:asciiTheme="majorBidi" w:hAnsiTheme="majorBidi" w:cstheme="majorBidi"/>
                <w:b/>
                <w:bCs/>
                <w:sz w:val="20"/>
                <w:szCs w:val="20"/>
              </w:rPr>
              <w:t>)</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Exacerbation monitoring</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Medication adherence monitoring</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Limited</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Comorbidity monitoring</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Vaccination counseling</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r w:rsidR="00B178FC" w:rsidRPr="0000648A" w:rsidTr="0000648A">
        <w:tc>
          <w:tcPr>
            <w:tcW w:w="2448" w:type="dxa"/>
          </w:tcPr>
          <w:p w:rsidR="007403D7" w:rsidRPr="0000648A" w:rsidRDefault="002F0BC8" w:rsidP="00B178FC">
            <w:pPr>
              <w:spacing w:line="360" w:lineRule="auto"/>
              <w:jc w:val="both"/>
              <w:rPr>
                <w:rFonts w:asciiTheme="majorBidi" w:hAnsiTheme="majorBidi" w:cstheme="majorBidi"/>
                <w:b/>
                <w:bCs/>
                <w:sz w:val="20"/>
                <w:szCs w:val="20"/>
              </w:rPr>
            </w:pPr>
            <w:r w:rsidRPr="0000648A">
              <w:rPr>
                <w:rFonts w:asciiTheme="majorBidi" w:hAnsiTheme="majorBidi" w:cstheme="majorBidi"/>
                <w:b/>
                <w:bCs/>
                <w:sz w:val="20"/>
                <w:szCs w:val="20"/>
              </w:rPr>
              <w:t>Structured follow‑up</w:t>
            </w:r>
          </w:p>
        </w:tc>
        <w:tc>
          <w:tcPr>
            <w:tcW w:w="162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w:t>
            </w:r>
          </w:p>
        </w:tc>
        <w:tc>
          <w:tcPr>
            <w:tcW w:w="2412"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Theme="majorBidi" w:hAnsiTheme="majorBidi" w:cstheme="majorBidi"/>
                <w:sz w:val="20"/>
                <w:szCs w:val="20"/>
              </w:rPr>
              <w:t>Limited</w:t>
            </w:r>
          </w:p>
        </w:tc>
        <w:tc>
          <w:tcPr>
            <w:tcW w:w="2160" w:type="dxa"/>
          </w:tcPr>
          <w:p w:rsidR="007403D7" w:rsidRPr="0000648A" w:rsidRDefault="002F0BC8" w:rsidP="007F1A33">
            <w:pPr>
              <w:spacing w:line="360" w:lineRule="auto"/>
              <w:jc w:val="center"/>
              <w:rPr>
                <w:rFonts w:asciiTheme="majorBidi" w:hAnsiTheme="majorBidi" w:cstheme="majorBidi"/>
                <w:sz w:val="20"/>
                <w:szCs w:val="20"/>
              </w:rPr>
            </w:pPr>
            <w:r w:rsidRPr="0000648A">
              <w:rPr>
                <w:rFonts w:ascii="MS Gothic" w:eastAsia="MS Gothic" w:hAnsi="MS Gothic" w:cs="MS Gothic" w:hint="eastAsia"/>
                <w:sz w:val="20"/>
                <w:szCs w:val="20"/>
              </w:rPr>
              <w:t>✓</w:t>
            </w:r>
          </w:p>
        </w:tc>
      </w:tr>
    </w:tbl>
    <w:p w:rsidR="00F44D55" w:rsidRDefault="00F44D55" w:rsidP="00F44D55">
      <w:pPr>
        <w:spacing w:after="0"/>
        <w:jc w:val="both"/>
        <w:rPr>
          <w:rFonts w:asciiTheme="majorBidi" w:hAnsiTheme="majorBidi" w:cstheme="majorBidi"/>
          <w:b/>
          <w:bCs/>
          <w:sz w:val="20"/>
          <w:szCs w:val="20"/>
        </w:rPr>
      </w:pPr>
    </w:p>
    <w:p w:rsidR="00F44D55" w:rsidRPr="00F44D55" w:rsidRDefault="00F44D55" w:rsidP="00F44D55">
      <w:pPr>
        <w:spacing w:after="0"/>
        <w:jc w:val="both"/>
        <w:rPr>
          <w:rFonts w:asciiTheme="majorBidi" w:hAnsiTheme="majorBidi" w:cstheme="majorBidi"/>
          <w:b/>
          <w:bCs/>
        </w:rPr>
      </w:pPr>
      <w:r w:rsidRPr="00F44D55">
        <w:rPr>
          <w:rFonts w:asciiTheme="majorBidi" w:hAnsiTheme="majorBidi" w:cstheme="majorBidi"/>
          <w:b/>
          <w:bCs/>
          <w:sz w:val="20"/>
          <w:szCs w:val="20"/>
        </w:rPr>
        <w:t xml:space="preserve">Table S2. </w:t>
      </w:r>
      <w:r w:rsidRPr="00F44D55">
        <w:rPr>
          <w:rFonts w:asciiTheme="majorBidi" w:hAnsiTheme="majorBidi" w:cstheme="majorBidi"/>
          <w:b/>
          <w:bCs/>
          <w:sz w:val="20"/>
          <w:szCs w:val="20"/>
        </w:rPr>
        <w:t>Summary of Pharmacotherapy Optimization Interventions in Arm 2 (Pharmaceutical Care Group)</w:t>
      </w:r>
    </w:p>
    <w:tbl>
      <w:tblPr>
        <w:tblStyle w:val="TableGrid"/>
        <w:tblW w:w="0" w:type="auto"/>
        <w:tblLook w:val="04A0" w:firstRow="1" w:lastRow="0" w:firstColumn="1" w:lastColumn="0" w:noHBand="0" w:noVBand="1"/>
      </w:tblPr>
      <w:tblGrid>
        <w:gridCol w:w="6149"/>
        <w:gridCol w:w="2707"/>
      </w:tblGrid>
      <w:tr w:rsidR="00F44D55" w:rsidRPr="00F44D55" w:rsidTr="00F44D55">
        <w:tc>
          <w:tcPr>
            <w:tcW w:w="0" w:type="auto"/>
            <w:hideMark/>
          </w:tcPr>
          <w:p w:rsidR="00F44D55" w:rsidRPr="00F44D55" w:rsidRDefault="00F44D55" w:rsidP="00F44D55">
            <w:pPr>
              <w:jc w:val="center"/>
              <w:rPr>
                <w:rFonts w:ascii="Times New Roman" w:eastAsia="Times New Roman" w:hAnsi="Times New Roman" w:cs="Times New Roman"/>
                <w:b/>
                <w:bCs/>
                <w:sz w:val="20"/>
                <w:szCs w:val="20"/>
              </w:rPr>
            </w:pPr>
            <w:r w:rsidRPr="00F44D55">
              <w:rPr>
                <w:rFonts w:ascii="Times New Roman" w:eastAsia="Times New Roman" w:hAnsi="Times New Roman" w:cs="Times New Roman"/>
                <w:b/>
                <w:bCs/>
                <w:sz w:val="20"/>
                <w:szCs w:val="20"/>
              </w:rPr>
              <w:t>Therapeutic intervention / medication optimization</w:t>
            </w:r>
          </w:p>
        </w:tc>
        <w:tc>
          <w:tcPr>
            <w:tcW w:w="0" w:type="auto"/>
            <w:hideMark/>
          </w:tcPr>
          <w:p w:rsidR="00F44D55" w:rsidRPr="00F44D55" w:rsidRDefault="00F44D55" w:rsidP="00F44D55">
            <w:pPr>
              <w:jc w:val="center"/>
              <w:rPr>
                <w:rFonts w:ascii="Times New Roman" w:eastAsia="Times New Roman" w:hAnsi="Times New Roman" w:cs="Times New Roman"/>
                <w:b/>
                <w:bCs/>
                <w:sz w:val="20"/>
                <w:szCs w:val="20"/>
              </w:rPr>
            </w:pPr>
            <w:r w:rsidRPr="00F44D55">
              <w:rPr>
                <w:rFonts w:ascii="Times New Roman" w:eastAsia="Times New Roman" w:hAnsi="Times New Roman" w:cs="Times New Roman"/>
                <w:b/>
                <w:bCs/>
                <w:sz w:val="20"/>
                <w:szCs w:val="20"/>
              </w:rPr>
              <w:t>Number of participants (%) (n=33)</w:t>
            </w:r>
          </w:p>
        </w:tc>
      </w:tr>
      <w:tr w:rsidR="00F44D55" w:rsidRPr="00F44D55" w:rsidTr="00F44D55">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Escalation from short-acting bronchodilator only to LABA or LAMA maintenance therapy</w:t>
            </w:r>
          </w:p>
        </w:tc>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11 (33.3%)</w:t>
            </w:r>
          </w:p>
        </w:tc>
      </w:tr>
      <w:tr w:rsidR="00F44D55" w:rsidRPr="00F44D55" w:rsidTr="00F44D55">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Addition of dual bronchodilator therapy (LABA + LAMA)</w:t>
            </w:r>
          </w:p>
        </w:tc>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9 (27.3%)</w:t>
            </w:r>
          </w:p>
        </w:tc>
      </w:tr>
      <w:tr w:rsidR="00F44D55" w:rsidRPr="00F44D55" w:rsidTr="00F44D55">
        <w:tc>
          <w:tcPr>
            <w:tcW w:w="0" w:type="auto"/>
            <w:hideMark/>
          </w:tcPr>
          <w:p w:rsidR="00F44D55" w:rsidRPr="00F44D55" w:rsidRDefault="00F44D55" w:rsidP="00F44D55">
            <w:pPr>
              <w:rPr>
                <w:rFonts w:ascii="Times New Roman" w:eastAsia="Times New Roman" w:hAnsi="Times New Roman" w:cs="Times New Roman"/>
                <w:sz w:val="20"/>
                <w:szCs w:val="20"/>
              </w:rPr>
            </w:pPr>
            <w:r>
              <w:rPr>
                <w:rFonts w:ascii="Times New Roman" w:eastAsia="Times New Roman" w:hAnsi="Times New Roman" w:cs="Times New Roman"/>
                <w:sz w:val="20"/>
                <w:szCs w:val="20"/>
              </w:rPr>
              <w:t>Addition</w:t>
            </w:r>
            <w:r w:rsidRPr="00F44D55">
              <w:rPr>
                <w:rFonts w:ascii="Times New Roman" w:eastAsia="Times New Roman" w:hAnsi="Times New Roman" w:cs="Times New Roman"/>
                <w:sz w:val="20"/>
                <w:szCs w:val="20"/>
              </w:rPr>
              <w:t xml:space="preserve"> of inhaled corticosteroid (ICS)-containing regimen</w:t>
            </w:r>
          </w:p>
        </w:tc>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6 (18.2%)</w:t>
            </w:r>
          </w:p>
        </w:tc>
      </w:tr>
      <w:tr w:rsidR="00F44D55" w:rsidRPr="00F44D55" w:rsidTr="00F44D55">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De-escalation of inappropriate ICS-containing therapy</w:t>
            </w:r>
          </w:p>
        </w:tc>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4 (12.1%)</w:t>
            </w:r>
          </w:p>
        </w:tc>
      </w:tr>
      <w:tr w:rsidR="00F44D55" w:rsidRPr="00F44D55" w:rsidTr="00F44D55">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Inhaler device technique correction/training</w:t>
            </w:r>
          </w:p>
        </w:tc>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28 (84.8%)</w:t>
            </w:r>
          </w:p>
        </w:tc>
      </w:tr>
      <w:tr w:rsidR="00F44D55" w:rsidRPr="00F44D55" w:rsidTr="00F44D55">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Medication adherence reinforcement</w:t>
            </w:r>
          </w:p>
        </w:tc>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30 (90.9%)</w:t>
            </w:r>
          </w:p>
        </w:tc>
      </w:tr>
      <w:tr w:rsidR="00F44D55" w:rsidRPr="00F44D55" w:rsidTr="00F44D55">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Optimization of comorbidity-related pharmacotherapy</w:t>
            </w:r>
          </w:p>
        </w:tc>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14 (42.4%)</w:t>
            </w:r>
          </w:p>
        </w:tc>
      </w:tr>
      <w:tr w:rsidR="00F44D55" w:rsidRPr="00F44D55" w:rsidTr="00F44D55">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Smoking cessation counseling/pharmacologic advice</w:t>
            </w:r>
          </w:p>
        </w:tc>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18 (54.5%)</w:t>
            </w:r>
          </w:p>
        </w:tc>
      </w:tr>
      <w:tr w:rsidR="00F44D55" w:rsidRPr="00F44D55" w:rsidTr="00F44D55">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Vaccination recommendation (influenza/pneumococcal)</w:t>
            </w:r>
          </w:p>
        </w:tc>
        <w:tc>
          <w:tcPr>
            <w:tcW w:w="0" w:type="auto"/>
            <w:hideMark/>
          </w:tcPr>
          <w:p w:rsidR="00F44D55" w:rsidRPr="00F44D55" w:rsidRDefault="00F44D55" w:rsidP="00F44D55">
            <w:pPr>
              <w:rPr>
                <w:rFonts w:ascii="Times New Roman" w:eastAsia="Times New Roman" w:hAnsi="Times New Roman" w:cs="Times New Roman"/>
                <w:sz w:val="20"/>
                <w:szCs w:val="20"/>
              </w:rPr>
            </w:pPr>
            <w:r w:rsidRPr="00F44D55">
              <w:rPr>
                <w:rFonts w:ascii="Times New Roman" w:eastAsia="Times New Roman" w:hAnsi="Times New Roman" w:cs="Times New Roman"/>
                <w:sz w:val="20"/>
                <w:szCs w:val="20"/>
              </w:rPr>
              <w:t>10 (30.3%)</w:t>
            </w:r>
          </w:p>
        </w:tc>
      </w:tr>
    </w:tbl>
    <w:p w:rsidR="00F44D55" w:rsidRPr="00F44D55" w:rsidRDefault="00F44D55" w:rsidP="00F44D55">
      <w:pPr>
        <w:spacing w:line="240" w:lineRule="auto"/>
        <w:jc w:val="both"/>
        <w:rPr>
          <w:rFonts w:asciiTheme="majorBidi" w:hAnsiTheme="majorBidi" w:cstheme="majorBidi"/>
          <w:sz w:val="20"/>
          <w:szCs w:val="20"/>
        </w:rPr>
      </w:pPr>
      <w:r w:rsidRPr="00F44D55">
        <w:rPr>
          <w:rStyle w:val="Strong"/>
          <w:rFonts w:asciiTheme="majorBidi" w:hAnsiTheme="majorBidi" w:cstheme="majorBidi"/>
          <w:sz w:val="20"/>
          <w:szCs w:val="20"/>
        </w:rPr>
        <w:t>Footnote:</w:t>
      </w:r>
      <w:r w:rsidRPr="00F44D55">
        <w:rPr>
          <w:rFonts w:asciiTheme="majorBidi" w:hAnsiTheme="majorBidi" w:cstheme="majorBidi"/>
          <w:sz w:val="20"/>
          <w:szCs w:val="20"/>
        </w:rPr>
        <w:t xml:space="preserve"> Percentages are calculated based on participants allocated to Arm 2 (Pharmaceutical Care). Multiple interventions could be applied to the same participant.</w:t>
      </w:r>
    </w:p>
    <w:p w:rsidR="007403D7" w:rsidRPr="00AA292B" w:rsidRDefault="002F0BC8" w:rsidP="00B178FC">
      <w:pPr>
        <w:pStyle w:val="Heading2"/>
        <w:spacing w:line="360" w:lineRule="auto"/>
        <w:jc w:val="both"/>
        <w:rPr>
          <w:rFonts w:asciiTheme="majorBidi" w:hAnsiTheme="majorBidi"/>
          <w:color w:val="auto"/>
          <w:sz w:val="24"/>
          <w:szCs w:val="24"/>
        </w:rPr>
      </w:pPr>
      <w:r w:rsidRPr="00AA292B">
        <w:rPr>
          <w:rFonts w:asciiTheme="majorBidi" w:hAnsiTheme="majorBidi"/>
          <w:color w:val="auto"/>
          <w:sz w:val="24"/>
          <w:szCs w:val="24"/>
        </w:rPr>
        <w:t>Figure S1. Intervention Workflow Diagram</w:t>
      </w:r>
    </w:p>
    <w:p w:rsidR="007F1A33" w:rsidRPr="00AA292B" w:rsidRDefault="002F0BC8" w:rsidP="0000648A">
      <w:pPr>
        <w:spacing w:line="360" w:lineRule="auto"/>
        <w:jc w:val="both"/>
        <w:rPr>
          <w:rFonts w:asciiTheme="majorBidi" w:hAnsiTheme="majorBidi" w:cstheme="majorBidi"/>
          <w:sz w:val="24"/>
          <w:szCs w:val="24"/>
        </w:rPr>
      </w:pPr>
      <w:r w:rsidRPr="00AA292B">
        <w:rPr>
          <w:rFonts w:asciiTheme="majorBidi" w:hAnsiTheme="majorBidi" w:cstheme="majorBidi"/>
          <w:sz w:val="24"/>
          <w:szCs w:val="24"/>
        </w:rPr>
        <w:t>A pictorial flowchart illustrating the intervention workflow and monitoring process across the study arms is presented in Figure S1.</w:t>
      </w:r>
    </w:p>
    <w:p w:rsidR="00A40701" w:rsidRPr="00AA292B" w:rsidRDefault="00A40701" w:rsidP="0000648A">
      <w:pPr>
        <w:spacing w:line="360" w:lineRule="auto"/>
        <w:jc w:val="center"/>
        <w:rPr>
          <w:rFonts w:asciiTheme="majorBidi" w:hAnsiTheme="majorBidi" w:cstheme="majorBidi"/>
          <w:sz w:val="24"/>
          <w:szCs w:val="24"/>
        </w:rPr>
      </w:pPr>
      <w:r w:rsidRPr="00AA292B">
        <w:rPr>
          <w:rFonts w:asciiTheme="majorBidi" w:hAnsiTheme="majorBidi" w:cstheme="majorBidi"/>
          <w:noProof/>
          <w:sz w:val="24"/>
          <w:szCs w:val="24"/>
        </w:rPr>
        <w:lastRenderedPageBreak/>
        <w:drawing>
          <wp:inline distT="0" distB="0" distL="0" distR="0" wp14:anchorId="2310B511" wp14:editId="52FF0628">
            <wp:extent cx="4648200" cy="270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PNG"/>
                    <pic:cNvPicPr/>
                  </pic:nvPicPr>
                  <pic:blipFill>
                    <a:blip r:embed="rId7">
                      <a:extLst>
                        <a:ext uri="{28A0092B-C50C-407E-A947-70E740481C1C}">
                          <a14:useLocalDpi xmlns:a14="http://schemas.microsoft.com/office/drawing/2010/main" val="0"/>
                        </a:ext>
                      </a:extLst>
                    </a:blip>
                    <a:stretch>
                      <a:fillRect/>
                    </a:stretch>
                  </pic:blipFill>
                  <pic:spPr>
                    <a:xfrm>
                      <a:off x="0" y="0"/>
                      <a:ext cx="4648200" cy="2705100"/>
                    </a:xfrm>
                    <a:prstGeom prst="rect">
                      <a:avLst/>
                    </a:prstGeom>
                  </pic:spPr>
                </pic:pic>
              </a:graphicData>
            </a:graphic>
          </wp:inline>
        </w:drawing>
      </w:r>
    </w:p>
    <w:p w:rsidR="007F1A33" w:rsidRPr="0000648A" w:rsidRDefault="007F1A33" w:rsidP="0000648A">
      <w:pPr>
        <w:spacing w:after="0" w:line="240" w:lineRule="auto"/>
        <w:jc w:val="both"/>
        <w:rPr>
          <w:rFonts w:asciiTheme="majorBidi" w:hAnsiTheme="majorBidi" w:cstheme="majorBidi"/>
          <w:sz w:val="20"/>
          <w:szCs w:val="20"/>
        </w:rPr>
      </w:pPr>
      <w:r w:rsidRPr="0000648A">
        <w:rPr>
          <w:rStyle w:val="Strong"/>
          <w:rFonts w:asciiTheme="majorBidi" w:hAnsiTheme="majorBidi" w:cstheme="majorBidi"/>
          <w:sz w:val="20"/>
          <w:szCs w:val="20"/>
        </w:rPr>
        <w:t>Figure S1.</w:t>
      </w:r>
      <w:r w:rsidRPr="0000648A">
        <w:rPr>
          <w:rFonts w:asciiTheme="majorBidi" w:hAnsiTheme="majorBidi" w:cstheme="majorBidi"/>
          <w:sz w:val="20"/>
          <w:szCs w:val="20"/>
        </w:rPr>
        <w:t xml:space="preserve"> Flowchart illustrating the intervention protocols used in the randomized clinical trial. Participants were randomized into three study arms: usual care (Arm 0), educational intervention (Arm 1), and pharmacist-led pharmaceutical care (Arm 2). Educational and pharmaceutical interventions were delivered by the pharmacist, while clinical outcomes including CAT score, </w:t>
      </w:r>
      <w:proofErr w:type="spellStart"/>
      <w:r w:rsidRPr="0000648A">
        <w:rPr>
          <w:rFonts w:asciiTheme="majorBidi" w:hAnsiTheme="majorBidi" w:cstheme="majorBidi"/>
          <w:sz w:val="20"/>
          <w:szCs w:val="20"/>
        </w:rPr>
        <w:t>mMRC</w:t>
      </w:r>
      <w:proofErr w:type="spellEnd"/>
      <w:r w:rsidRPr="0000648A">
        <w:rPr>
          <w:rFonts w:asciiTheme="majorBidi" w:hAnsiTheme="majorBidi" w:cstheme="majorBidi"/>
          <w:sz w:val="20"/>
          <w:szCs w:val="20"/>
        </w:rPr>
        <w:t xml:space="preserve"> dyspnea scale, lung function, exacerbations, and quality of life were assessed during follow-up.</w:t>
      </w:r>
    </w:p>
    <w:p w:rsidR="0000648A" w:rsidRPr="0000648A" w:rsidRDefault="0000648A" w:rsidP="0000648A">
      <w:pPr>
        <w:pStyle w:val="Heading5"/>
        <w:spacing w:line="360" w:lineRule="auto"/>
        <w:ind w:left="1008" w:hanging="1008"/>
        <w:jc w:val="both"/>
        <w:rPr>
          <w:rFonts w:asciiTheme="majorBidi" w:hAnsiTheme="majorBidi"/>
          <w:b/>
          <w:bCs/>
          <w:color w:val="auto"/>
          <w:sz w:val="24"/>
          <w:szCs w:val="24"/>
        </w:rPr>
      </w:pPr>
      <w:r w:rsidRPr="0000648A">
        <w:rPr>
          <w:rFonts w:asciiTheme="majorBidi" w:hAnsiTheme="majorBidi"/>
          <w:b/>
          <w:bCs/>
          <w:color w:val="auto"/>
          <w:sz w:val="24"/>
          <w:szCs w:val="24"/>
        </w:rPr>
        <w:t>SGRQ symptoms scores of the groups (Pre and Post- Intervention)</w:t>
      </w:r>
    </w:p>
    <w:p w:rsidR="0000648A" w:rsidRPr="0000648A" w:rsidRDefault="00F44D55" w:rsidP="004A3B9C">
      <w:pPr>
        <w:spacing w:line="360" w:lineRule="auto"/>
        <w:jc w:val="both"/>
        <w:rPr>
          <w:rFonts w:asciiTheme="majorBidi" w:hAnsiTheme="majorBidi" w:cstheme="majorBidi"/>
        </w:rPr>
      </w:pPr>
      <w:r>
        <w:rPr>
          <w:rStyle w:val="Strong"/>
          <w:rFonts w:asciiTheme="majorBidi" w:hAnsiTheme="majorBidi" w:cstheme="majorBidi"/>
          <w:b w:val="0"/>
          <w:bCs w:val="0"/>
        </w:rPr>
        <w:t>Table S3</w:t>
      </w:r>
      <w:r w:rsidR="0000648A">
        <w:rPr>
          <w:rFonts w:asciiTheme="majorBidi" w:hAnsiTheme="majorBidi" w:cstheme="majorBidi"/>
        </w:rPr>
        <w:t>.</w:t>
      </w:r>
      <w:r w:rsidR="0000648A" w:rsidRPr="0000648A">
        <w:rPr>
          <w:rFonts w:asciiTheme="majorBidi" w:hAnsiTheme="majorBidi" w:cstheme="majorBidi"/>
        </w:rPr>
        <w:t xml:space="preserve"> presents the within-group changes in SGRQ Symptoms scores from pre- to post-intervention. </w:t>
      </w:r>
      <w:r w:rsidR="0000648A">
        <w:rPr>
          <w:rFonts w:asciiTheme="majorBidi" w:hAnsiTheme="majorBidi" w:cstheme="majorBidi"/>
        </w:rPr>
        <w:t>Usual care</w:t>
      </w:r>
      <w:r w:rsidR="0000648A" w:rsidRPr="0000648A">
        <w:rPr>
          <w:rFonts w:asciiTheme="majorBidi" w:hAnsiTheme="majorBidi" w:cstheme="majorBidi"/>
        </w:rPr>
        <w:t xml:space="preserve"> demonstrated a marked </w:t>
      </w:r>
      <w:r w:rsidR="0000648A" w:rsidRPr="0000648A">
        <w:rPr>
          <w:rStyle w:val="Strong"/>
          <w:rFonts w:asciiTheme="majorBidi" w:hAnsiTheme="majorBidi" w:cstheme="majorBidi"/>
          <w:b w:val="0"/>
          <w:bCs w:val="0"/>
        </w:rPr>
        <w:t>worsening of symptoms</w:t>
      </w:r>
      <w:r w:rsidR="0000648A" w:rsidRPr="0000648A">
        <w:rPr>
          <w:rFonts w:asciiTheme="majorBidi" w:hAnsiTheme="majorBidi" w:cstheme="majorBidi"/>
        </w:rPr>
        <w:t xml:space="preserve">, with mean scores increasing from </w:t>
      </w:r>
      <w:r w:rsidR="0000648A" w:rsidRPr="0000648A">
        <w:rPr>
          <w:rStyle w:val="Strong"/>
          <w:rFonts w:asciiTheme="majorBidi" w:hAnsiTheme="majorBidi" w:cstheme="majorBidi"/>
          <w:b w:val="0"/>
          <w:bCs w:val="0"/>
        </w:rPr>
        <w:t>47.99 ± 5.18</w:t>
      </w:r>
      <w:r w:rsidR="0000648A" w:rsidRPr="0000648A">
        <w:rPr>
          <w:rFonts w:asciiTheme="majorBidi" w:hAnsiTheme="majorBidi" w:cstheme="majorBidi"/>
        </w:rPr>
        <w:t xml:space="preserve"> at baseline to </w:t>
      </w:r>
      <w:r w:rsidR="0000648A" w:rsidRPr="0000648A">
        <w:rPr>
          <w:rStyle w:val="Strong"/>
          <w:rFonts w:asciiTheme="majorBidi" w:hAnsiTheme="majorBidi" w:cstheme="majorBidi"/>
          <w:b w:val="0"/>
          <w:bCs w:val="0"/>
        </w:rPr>
        <w:t>78.35 ± 8.45</w:t>
      </w:r>
      <w:r w:rsidR="0000648A" w:rsidRPr="0000648A">
        <w:rPr>
          <w:rFonts w:asciiTheme="majorBidi" w:hAnsiTheme="majorBidi" w:cstheme="majorBidi"/>
        </w:rPr>
        <w:t xml:space="preserve"> post-intervention (mean difference </w:t>
      </w:r>
      <w:r w:rsidR="0000648A" w:rsidRPr="0000648A">
        <w:rPr>
          <w:rStyle w:val="Strong"/>
          <w:rFonts w:asciiTheme="majorBidi" w:hAnsiTheme="majorBidi" w:cstheme="majorBidi"/>
          <w:b w:val="0"/>
          <w:bCs w:val="0"/>
        </w:rPr>
        <w:t>30.36 ± 9.91</w:t>
      </w:r>
      <w:r w:rsidR="0000648A" w:rsidRPr="0000648A">
        <w:rPr>
          <w:rFonts w:asciiTheme="majorBidi" w:hAnsiTheme="majorBidi" w:cstheme="majorBidi"/>
        </w:rPr>
        <w:t>), and this change was statistically significant (</w:t>
      </w:r>
      <w:r w:rsidR="0000648A" w:rsidRPr="0000648A">
        <w:rPr>
          <w:rStyle w:val="Strong"/>
          <w:rFonts w:asciiTheme="majorBidi" w:hAnsiTheme="majorBidi" w:cstheme="majorBidi"/>
          <w:b w:val="0"/>
          <w:bCs w:val="0"/>
        </w:rPr>
        <w:t>p &lt; 0.001</w:t>
      </w:r>
      <w:r w:rsidR="0000648A" w:rsidRPr="0000648A">
        <w:rPr>
          <w:rFonts w:asciiTheme="majorBidi" w:hAnsiTheme="majorBidi" w:cstheme="majorBidi"/>
        </w:rPr>
        <w:t xml:space="preserve">). Similarly, </w:t>
      </w:r>
      <w:r w:rsidR="0000648A">
        <w:rPr>
          <w:rFonts w:asciiTheme="majorBidi" w:hAnsiTheme="majorBidi" w:cstheme="majorBidi"/>
        </w:rPr>
        <w:t>educational intervention</w:t>
      </w:r>
      <w:r w:rsidR="0000648A" w:rsidRPr="0000648A">
        <w:rPr>
          <w:rFonts w:asciiTheme="majorBidi" w:hAnsiTheme="majorBidi" w:cstheme="majorBidi"/>
        </w:rPr>
        <w:t xml:space="preserve"> showed a </w:t>
      </w:r>
      <w:r w:rsidR="0000648A" w:rsidRPr="0000648A">
        <w:rPr>
          <w:rStyle w:val="Strong"/>
          <w:rFonts w:asciiTheme="majorBidi" w:hAnsiTheme="majorBidi" w:cstheme="majorBidi"/>
          <w:b w:val="0"/>
          <w:bCs w:val="0"/>
        </w:rPr>
        <w:t>significant deterioration in symptom scores</w:t>
      </w:r>
      <w:r w:rsidR="0000648A" w:rsidRPr="0000648A">
        <w:rPr>
          <w:rFonts w:asciiTheme="majorBidi" w:hAnsiTheme="majorBidi" w:cstheme="majorBidi"/>
        </w:rPr>
        <w:t xml:space="preserve">, increasing from </w:t>
      </w:r>
      <w:r w:rsidR="0000648A" w:rsidRPr="0000648A">
        <w:rPr>
          <w:rStyle w:val="Strong"/>
          <w:rFonts w:asciiTheme="majorBidi" w:hAnsiTheme="majorBidi" w:cstheme="majorBidi"/>
          <w:b w:val="0"/>
          <w:bCs w:val="0"/>
        </w:rPr>
        <w:t>46.76 ± 2.52</w:t>
      </w:r>
      <w:r w:rsidR="0000648A" w:rsidRPr="0000648A">
        <w:rPr>
          <w:rFonts w:asciiTheme="majorBidi" w:hAnsiTheme="majorBidi" w:cstheme="majorBidi"/>
          <w:b/>
          <w:bCs/>
        </w:rPr>
        <w:t xml:space="preserve"> </w:t>
      </w:r>
      <w:r w:rsidR="0000648A" w:rsidRPr="0000648A">
        <w:rPr>
          <w:rFonts w:asciiTheme="majorBidi" w:hAnsiTheme="majorBidi" w:cstheme="majorBidi"/>
        </w:rPr>
        <w:t>to</w:t>
      </w:r>
      <w:r w:rsidR="0000648A" w:rsidRPr="0000648A">
        <w:rPr>
          <w:rFonts w:asciiTheme="majorBidi" w:hAnsiTheme="majorBidi" w:cstheme="majorBidi"/>
          <w:b/>
          <w:bCs/>
        </w:rPr>
        <w:t xml:space="preserve"> </w:t>
      </w:r>
      <w:r w:rsidR="0000648A" w:rsidRPr="0000648A">
        <w:rPr>
          <w:rStyle w:val="Strong"/>
          <w:rFonts w:asciiTheme="majorBidi" w:hAnsiTheme="majorBidi" w:cstheme="majorBidi"/>
          <w:b w:val="0"/>
          <w:bCs w:val="0"/>
        </w:rPr>
        <w:t>57.40 ± 3.09</w:t>
      </w:r>
      <w:r w:rsidR="0000648A" w:rsidRPr="0000648A">
        <w:rPr>
          <w:rFonts w:asciiTheme="majorBidi" w:hAnsiTheme="majorBidi" w:cstheme="majorBidi"/>
        </w:rPr>
        <w:t xml:space="preserve"> (mean difference </w:t>
      </w:r>
      <w:r w:rsidR="0000648A" w:rsidRPr="0000648A">
        <w:rPr>
          <w:rStyle w:val="Strong"/>
          <w:rFonts w:asciiTheme="majorBidi" w:hAnsiTheme="majorBidi" w:cstheme="majorBidi"/>
          <w:b w:val="0"/>
          <w:bCs w:val="0"/>
        </w:rPr>
        <w:t>10.64 ± 3.99</w:t>
      </w:r>
      <w:r w:rsidR="0000648A" w:rsidRPr="0000648A">
        <w:rPr>
          <w:rFonts w:asciiTheme="majorBidi" w:hAnsiTheme="majorBidi" w:cstheme="majorBidi"/>
          <w:b/>
          <w:bCs/>
        </w:rPr>
        <w:t xml:space="preserve">; </w:t>
      </w:r>
      <w:r w:rsidR="0000648A" w:rsidRPr="0000648A">
        <w:rPr>
          <w:rStyle w:val="Strong"/>
          <w:rFonts w:asciiTheme="majorBidi" w:hAnsiTheme="majorBidi" w:cstheme="majorBidi"/>
          <w:b w:val="0"/>
          <w:bCs w:val="0"/>
        </w:rPr>
        <w:t>p &lt; 0.001</w:t>
      </w:r>
      <w:r w:rsidR="0000648A" w:rsidRPr="0000648A">
        <w:rPr>
          <w:rFonts w:asciiTheme="majorBidi" w:hAnsiTheme="majorBidi" w:cstheme="majorBidi"/>
        </w:rPr>
        <w:t xml:space="preserve">). In contrast, </w:t>
      </w:r>
      <w:r w:rsidR="004A3B9C">
        <w:rPr>
          <w:rFonts w:asciiTheme="majorBidi" w:hAnsiTheme="majorBidi" w:cstheme="majorBidi"/>
        </w:rPr>
        <w:t>Pharmaceutical care</w:t>
      </w:r>
      <w:r w:rsidR="0000648A" w:rsidRPr="0000648A">
        <w:rPr>
          <w:rFonts w:asciiTheme="majorBidi" w:hAnsiTheme="majorBidi" w:cstheme="majorBidi"/>
        </w:rPr>
        <w:t xml:space="preserve"> exhibited only a small increase in symptom scores from </w:t>
      </w:r>
      <w:r w:rsidR="0000648A" w:rsidRPr="0000648A">
        <w:rPr>
          <w:rStyle w:val="Strong"/>
          <w:rFonts w:asciiTheme="majorBidi" w:hAnsiTheme="majorBidi" w:cstheme="majorBidi"/>
          <w:b w:val="0"/>
          <w:bCs w:val="0"/>
        </w:rPr>
        <w:t>45.97 ± 5.60</w:t>
      </w:r>
      <w:r w:rsidR="0000648A" w:rsidRPr="0000648A">
        <w:rPr>
          <w:rFonts w:asciiTheme="majorBidi" w:hAnsiTheme="majorBidi" w:cstheme="majorBidi"/>
          <w:b/>
          <w:bCs/>
        </w:rPr>
        <w:t xml:space="preserve"> </w:t>
      </w:r>
      <w:r w:rsidR="0000648A" w:rsidRPr="0000648A">
        <w:rPr>
          <w:rFonts w:asciiTheme="majorBidi" w:hAnsiTheme="majorBidi" w:cstheme="majorBidi"/>
        </w:rPr>
        <w:t>to</w:t>
      </w:r>
      <w:r w:rsidR="0000648A" w:rsidRPr="0000648A">
        <w:rPr>
          <w:rFonts w:asciiTheme="majorBidi" w:hAnsiTheme="majorBidi" w:cstheme="majorBidi"/>
          <w:b/>
          <w:bCs/>
        </w:rPr>
        <w:t xml:space="preserve"> </w:t>
      </w:r>
      <w:r w:rsidR="0000648A" w:rsidRPr="0000648A">
        <w:rPr>
          <w:rStyle w:val="Strong"/>
          <w:rFonts w:asciiTheme="majorBidi" w:hAnsiTheme="majorBidi" w:cstheme="majorBidi"/>
          <w:b w:val="0"/>
          <w:bCs w:val="0"/>
        </w:rPr>
        <w:t>47.60 ± 5.80</w:t>
      </w:r>
      <w:r w:rsidR="0000648A" w:rsidRPr="0000648A">
        <w:rPr>
          <w:rFonts w:asciiTheme="majorBidi" w:hAnsiTheme="majorBidi" w:cstheme="majorBidi"/>
        </w:rPr>
        <w:t xml:space="preserve">, which was </w:t>
      </w:r>
      <w:r w:rsidR="0000648A" w:rsidRPr="0000648A">
        <w:rPr>
          <w:rStyle w:val="Strong"/>
          <w:rFonts w:asciiTheme="majorBidi" w:hAnsiTheme="majorBidi" w:cstheme="majorBidi"/>
          <w:b w:val="0"/>
          <w:bCs w:val="0"/>
        </w:rPr>
        <w:t>not statistically significant</w:t>
      </w:r>
      <w:r w:rsidR="0000648A" w:rsidRPr="0000648A">
        <w:rPr>
          <w:rFonts w:asciiTheme="majorBidi" w:hAnsiTheme="majorBidi" w:cstheme="majorBidi"/>
          <w:b/>
          <w:bCs/>
        </w:rPr>
        <w:t xml:space="preserve"> (</w:t>
      </w:r>
      <w:r w:rsidR="0000648A" w:rsidRPr="0000648A">
        <w:rPr>
          <w:rStyle w:val="Strong"/>
          <w:rFonts w:asciiTheme="majorBidi" w:hAnsiTheme="majorBidi" w:cstheme="majorBidi"/>
          <w:b w:val="0"/>
          <w:bCs w:val="0"/>
        </w:rPr>
        <w:t>p = 0.254</w:t>
      </w:r>
      <w:r w:rsidR="0000648A" w:rsidRPr="0000648A">
        <w:rPr>
          <w:rFonts w:asciiTheme="majorBidi" w:hAnsiTheme="majorBidi" w:cstheme="majorBidi"/>
        </w:rPr>
        <w:t xml:space="preserve">). Overall, these findings indicate a significant worsening of symptom burden in Groups A and B, while symptom severity remained relatively stable in </w:t>
      </w:r>
      <w:r w:rsidR="004A3B9C">
        <w:rPr>
          <w:rFonts w:asciiTheme="majorBidi" w:hAnsiTheme="majorBidi" w:cstheme="majorBidi"/>
        </w:rPr>
        <w:t>Pharmaceutical care group.</w:t>
      </w:r>
    </w:p>
    <w:p w:rsidR="0000648A" w:rsidRPr="00F44D55" w:rsidRDefault="0000648A" w:rsidP="0000648A">
      <w:pPr>
        <w:spacing w:after="0" w:line="240" w:lineRule="auto"/>
        <w:rPr>
          <w:rFonts w:asciiTheme="majorBidi" w:hAnsiTheme="majorBidi" w:cstheme="majorBidi"/>
          <w:b/>
          <w:bCs/>
          <w:sz w:val="20"/>
          <w:szCs w:val="18"/>
        </w:rPr>
      </w:pPr>
      <w:r w:rsidRPr="00F44D55">
        <w:rPr>
          <w:rFonts w:asciiTheme="majorBidi" w:hAnsiTheme="majorBidi" w:cstheme="majorBidi"/>
          <w:b/>
          <w:bCs/>
          <w:sz w:val="20"/>
          <w:szCs w:val="18"/>
        </w:rPr>
        <w:t xml:space="preserve">Table </w:t>
      </w:r>
      <w:r w:rsidR="00F44D55" w:rsidRPr="00F44D55">
        <w:rPr>
          <w:rFonts w:asciiTheme="majorBidi" w:hAnsiTheme="majorBidi" w:cstheme="majorBidi"/>
          <w:b/>
          <w:bCs/>
          <w:sz w:val="20"/>
          <w:szCs w:val="18"/>
        </w:rPr>
        <w:t>S3</w:t>
      </w:r>
      <w:r w:rsidRPr="00F44D55">
        <w:rPr>
          <w:rFonts w:asciiTheme="majorBidi" w:hAnsiTheme="majorBidi" w:cstheme="majorBidi"/>
          <w:b/>
          <w:bCs/>
          <w:sz w:val="20"/>
          <w:szCs w:val="18"/>
        </w:rPr>
        <w:t>. SGRQ symptoms scores among the groups.</w:t>
      </w:r>
    </w:p>
    <w:tbl>
      <w:tblPr>
        <w:tblW w:w="8640" w:type="dxa"/>
        <w:tblInd w:w="108" w:type="dxa"/>
        <w:tblCellMar>
          <w:left w:w="0" w:type="dxa"/>
          <w:right w:w="0" w:type="dxa"/>
        </w:tblCellMar>
        <w:tblLook w:val="04A0" w:firstRow="1" w:lastRow="0" w:firstColumn="1" w:lastColumn="0" w:noHBand="0" w:noVBand="1"/>
      </w:tblPr>
      <w:tblGrid>
        <w:gridCol w:w="1440"/>
        <w:gridCol w:w="1800"/>
        <w:gridCol w:w="1890"/>
        <w:gridCol w:w="1440"/>
        <w:gridCol w:w="1170"/>
        <w:gridCol w:w="900"/>
      </w:tblGrid>
      <w:tr w:rsidR="004A3B9C" w:rsidRPr="0000648A" w:rsidTr="004A3B9C">
        <w:trPr>
          <w:trHeight w:val="712"/>
        </w:trPr>
        <w:tc>
          <w:tcPr>
            <w:tcW w:w="14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p>
        </w:tc>
        <w:tc>
          <w:tcPr>
            <w:tcW w:w="180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b/>
                <w:bCs/>
                <w:sz w:val="20"/>
                <w:szCs w:val="18"/>
              </w:rPr>
              <w:t>Pre intervention score (Mean ± SD)</w:t>
            </w:r>
          </w:p>
        </w:tc>
        <w:tc>
          <w:tcPr>
            <w:tcW w:w="189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b/>
                <w:bCs/>
                <w:sz w:val="20"/>
                <w:szCs w:val="18"/>
              </w:rPr>
              <w:t>Post intervention score (Mean ± SD)</w:t>
            </w:r>
          </w:p>
        </w:tc>
        <w:tc>
          <w:tcPr>
            <w:tcW w:w="14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b/>
                <w:bCs/>
                <w:sz w:val="20"/>
                <w:szCs w:val="18"/>
              </w:rPr>
              <w:t>Difference in (Mean ± SD)</w:t>
            </w:r>
          </w:p>
        </w:tc>
        <w:tc>
          <w:tcPr>
            <w:tcW w:w="117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b/>
                <w:bCs/>
                <w:sz w:val="20"/>
                <w:szCs w:val="18"/>
              </w:rPr>
              <w:t>Standard Error</w:t>
            </w:r>
          </w:p>
        </w:tc>
        <w:tc>
          <w:tcPr>
            <w:tcW w:w="90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b/>
                <w:bCs/>
                <w:sz w:val="20"/>
                <w:szCs w:val="18"/>
              </w:rPr>
              <w:t>P-value</w:t>
            </w:r>
          </w:p>
        </w:tc>
      </w:tr>
      <w:tr w:rsidR="004A3B9C" w:rsidRPr="0000648A" w:rsidTr="004A3B9C">
        <w:trPr>
          <w:trHeight w:val="289"/>
        </w:trPr>
        <w:tc>
          <w:tcPr>
            <w:tcW w:w="14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412AD2" w:rsidP="001244DE">
            <w:pPr>
              <w:spacing w:after="0" w:line="240" w:lineRule="auto"/>
              <w:rPr>
                <w:rFonts w:asciiTheme="majorBidi" w:hAnsiTheme="majorBidi" w:cstheme="majorBidi"/>
                <w:sz w:val="20"/>
                <w:szCs w:val="18"/>
              </w:rPr>
            </w:pPr>
            <w:r>
              <w:rPr>
                <w:rFonts w:asciiTheme="majorBidi" w:hAnsiTheme="majorBidi" w:cstheme="majorBidi"/>
                <w:b/>
                <w:bCs/>
                <w:sz w:val="20"/>
                <w:szCs w:val="18"/>
              </w:rPr>
              <w:t>Arm 0</w:t>
            </w:r>
          </w:p>
        </w:tc>
        <w:tc>
          <w:tcPr>
            <w:tcW w:w="180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47.99 ± 5.18</w:t>
            </w:r>
          </w:p>
        </w:tc>
        <w:tc>
          <w:tcPr>
            <w:tcW w:w="189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78.35 ± 8.45</w:t>
            </w:r>
          </w:p>
        </w:tc>
        <w:tc>
          <w:tcPr>
            <w:tcW w:w="14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30.36 ± 9.91</w:t>
            </w:r>
          </w:p>
        </w:tc>
        <w:tc>
          <w:tcPr>
            <w:tcW w:w="117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1.73</w:t>
            </w:r>
          </w:p>
        </w:tc>
        <w:tc>
          <w:tcPr>
            <w:tcW w:w="90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&lt; 0.001</w:t>
            </w:r>
          </w:p>
        </w:tc>
      </w:tr>
      <w:tr w:rsidR="004A3B9C" w:rsidRPr="0000648A" w:rsidTr="004A3B9C">
        <w:trPr>
          <w:trHeight w:val="334"/>
        </w:trPr>
        <w:tc>
          <w:tcPr>
            <w:tcW w:w="14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412AD2" w:rsidP="001244DE">
            <w:pPr>
              <w:spacing w:after="0" w:line="240" w:lineRule="auto"/>
              <w:rPr>
                <w:rFonts w:asciiTheme="majorBidi" w:hAnsiTheme="majorBidi" w:cstheme="majorBidi"/>
                <w:sz w:val="20"/>
                <w:szCs w:val="18"/>
              </w:rPr>
            </w:pPr>
            <w:r>
              <w:rPr>
                <w:rFonts w:asciiTheme="majorBidi" w:hAnsiTheme="majorBidi" w:cstheme="majorBidi"/>
                <w:b/>
                <w:bCs/>
                <w:sz w:val="20"/>
                <w:szCs w:val="18"/>
              </w:rPr>
              <w:t>Arm 1</w:t>
            </w:r>
          </w:p>
        </w:tc>
        <w:tc>
          <w:tcPr>
            <w:tcW w:w="180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46.76 ± 2.52</w:t>
            </w:r>
          </w:p>
        </w:tc>
        <w:tc>
          <w:tcPr>
            <w:tcW w:w="189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57.40 ± 3.09</w:t>
            </w:r>
          </w:p>
        </w:tc>
        <w:tc>
          <w:tcPr>
            <w:tcW w:w="14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10.64 ± 3.99</w:t>
            </w:r>
          </w:p>
        </w:tc>
        <w:tc>
          <w:tcPr>
            <w:tcW w:w="117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0.72</w:t>
            </w:r>
          </w:p>
        </w:tc>
        <w:tc>
          <w:tcPr>
            <w:tcW w:w="90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&lt; 0.001</w:t>
            </w:r>
          </w:p>
        </w:tc>
      </w:tr>
      <w:tr w:rsidR="004A3B9C" w:rsidRPr="0000648A" w:rsidTr="004A3B9C">
        <w:trPr>
          <w:trHeight w:val="226"/>
        </w:trPr>
        <w:tc>
          <w:tcPr>
            <w:tcW w:w="14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412AD2" w:rsidP="001244DE">
            <w:pPr>
              <w:spacing w:after="0" w:line="240" w:lineRule="auto"/>
              <w:rPr>
                <w:rFonts w:asciiTheme="majorBidi" w:hAnsiTheme="majorBidi" w:cstheme="majorBidi"/>
                <w:sz w:val="20"/>
                <w:szCs w:val="18"/>
              </w:rPr>
            </w:pPr>
            <w:r>
              <w:rPr>
                <w:rFonts w:asciiTheme="majorBidi" w:hAnsiTheme="majorBidi" w:cstheme="majorBidi"/>
                <w:b/>
                <w:bCs/>
                <w:sz w:val="20"/>
                <w:szCs w:val="18"/>
              </w:rPr>
              <w:t>Arm 2</w:t>
            </w:r>
            <w:r w:rsidR="004A3B9C">
              <w:rPr>
                <w:rFonts w:asciiTheme="majorBidi" w:hAnsiTheme="majorBidi" w:cstheme="majorBidi"/>
                <w:b/>
                <w:bCs/>
                <w:sz w:val="20"/>
                <w:szCs w:val="18"/>
              </w:rPr>
              <w:t xml:space="preserve"> </w:t>
            </w:r>
          </w:p>
        </w:tc>
        <w:tc>
          <w:tcPr>
            <w:tcW w:w="180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45.97 ± 5.60</w:t>
            </w:r>
          </w:p>
        </w:tc>
        <w:tc>
          <w:tcPr>
            <w:tcW w:w="189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47.60 ± 5.80</w:t>
            </w:r>
          </w:p>
        </w:tc>
        <w:tc>
          <w:tcPr>
            <w:tcW w:w="14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1.63 ± 8.06</w:t>
            </w:r>
          </w:p>
        </w:tc>
        <w:tc>
          <w:tcPr>
            <w:tcW w:w="117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1.40</w:t>
            </w:r>
          </w:p>
        </w:tc>
        <w:tc>
          <w:tcPr>
            <w:tcW w:w="90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rPr>
                <w:rFonts w:asciiTheme="majorBidi" w:hAnsiTheme="majorBidi" w:cstheme="majorBidi"/>
                <w:sz w:val="20"/>
                <w:szCs w:val="18"/>
              </w:rPr>
            </w:pPr>
            <w:r w:rsidRPr="0000648A">
              <w:rPr>
                <w:rFonts w:asciiTheme="majorBidi" w:hAnsiTheme="majorBidi" w:cstheme="majorBidi"/>
                <w:sz w:val="20"/>
                <w:szCs w:val="18"/>
              </w:rPr>
              <w:t>0.254</w:t>
            </w:r>
          </w:p>
        </w:tc>
      </w:tr>
    </w:tbl>
    <w:p w:rsidR="0000648A" w:rsidRPr="00AA67F3" w:rsidRDefault="0000648A" w:rsidP="000C240F">
      <w:pPr>
        <w:spacing w:line="240" w:lineRule="auto"/>
        <w:rPr>
          <w:rFonts w:asciiTheme="majorBidi" w:hAnsiTheme="majorBidi" w:cstheme="majorBidi"/>
          <w:sz w:val="20"/>
          <w:szCs w:val="18"/>
        </w:rPr>
      </w:pPr>
      <w:r w:rsidRPr="00AA67F3">
        <w:rPr>
          <w:rFonts w:asciiTheme="majorBidi" w:hAnsiTheme="majorBidi" w:cstheme="majorBidi"/>
          <w:sz w:val="20"/>
          <w:szCs w:val="18"/>
        </w:rPr>
        <w:t xml:space="preserve">Note: </w:t>
      </w:r>
      <w:r w:rsidR="000C240F" w:rsidRPr="00AA67F3">
        <w:rPr>
          <w:rFonts w:asciiTheme="majorBidi" w:hAnsiTheme="majorBidi" w:cstheme="majorBidi"/>
        </w:rPr>
        <w:t>Symptoms scores from pre-intervention to post-intervention within each group were tested using the paired samples t-test.”</w:t>
      </w:r>
    </w:p>
    <w:p w:rsidR="0000648A" w:rsidRPr="004A3B9C" w:rsidRDefault="0000648A" w:rsidP="0000648A">
      <w:pPr>
        <w:pStyle w:val="Heading5"/>
        <w:spacing w:after="240"/>
        <w:rPr>
          <w:rFonts w:asciiTheme="majorBidi" w:hAnsiTheme="majorBidi"/>
          <w:b/>
          <w:bCs/>
          <w:color w:val="auto"/>
          <w:sz w:val="24"/>
          <w:szCs w:val="24"/>
        </w:rPr>
      </w:pPr>
      <w:r w:rsidRPr="004A3B9C">
        <w:rPr>
          <w:rFonts w:asciiTheme="majorBidi" w:hAnsiTheme="majorBidi"/>
          <w:b/>
          <w:bCs/>
          <w:color w:val="auto"/>
          <w:sz w:val="24"/>
          <w:szCs w:val="24"/>
        </w:rPr>
        <w:lastRenderedPageBreak/>
        <w:t>Activity scores SGRQ activity scores of the groups</w:t>
      </w:r>
    </w:p>
    <w:p w:rsidR="0000648A" w:rsidRPr="0000648A" w:rsidRDefault="0000648A" w:rsidP="00096202">
      <w:pPr>
        <w:spacing w:line="360" w:lineRule="auto"/>
        <w:jc w:val="both"/>
        <w:rPr>
          <w:rFonts w:asciiTheme="majorBidi" w:hAnsiTheme="majorBidi" w:cstheme="majorBidi"/>
          <w:u w:val="single"/>
        </w:rPr>
      </w:pPr>
      <w:r w:rsidRPr="004A3B9C">
        <w:rPr>
          <w:rStyle w:val="Strong"/>
          <w:rFonts w:asciiTheme="majorBidi" w:hAnsiTheme="majorBidi" w:cstheme="majorBidi"/>
          <w:b w:val="0"/>
          <w:bCs w:val="0"/>
        </w:rPr>
        <w:t xml:space="preserve">Table </w:t>
      </w:r>
      <w:r w:rsidR="00944746">
        <w:rPr>
          <w:rStyle w:val="Strong"/>
          <w:rFonts w:asciiTheme="majorBidi" w:hAnsiTheme="majorBidi" w:cstheme="majorBidi"/>
          <w:b w:val="0"/>
          <w:bCs w:val="0"/>
        </w:rPr>
        <w:t>S4.</w:t>
      </w:r>
      <w:r w:rsidRPr="0000648A">
        <w:rPr>
          <w:rFonts w:asciiTheme="majorBidi" w:hAnsiTheme="majorBidi" w:cstheme="majorBidi"/>
        </w:rPr>
        <w:t xml:space="preserve"> presents the within-group changes in </w:t>
      </w:r>
      <w:r w:rsidRPr="004A3B9C">
        <w:rPr>
          <w:rStyle w:val="Strong"/>
          <w:rFonts w:asciiTheme="majorBidi" w:hAnsiTheme="majorBidi" w:cstheme="majorBidi"/>
          <w:b w:val="0"/>
          <w:bCs w:val="0"/>
        </w:rPr>
        <w:t>SGRQ Activity</w:t>
      </w:r>
      <w:r w:rsidRPr="0000648A">
        <w:rPr>
          <w:rFonts w:asciiTheme="majorBidi" w:hAnsiTheme="majorBidi" w:cstheme="majorBidi"/>
        </w:rPr>
        <w:t xml:space="preserve"> scores from pre- to post-intervention. </w:t>
      </w:r>
      <w:r w:rsidR="004A3B9C">
        <w:rPr>
          <w:rFonts w:asciiTheme="majorBidi" w:hAnsiTheme="majorBidi" w:cstheme="majorBidi"/>
        </w:rPr>
        <w:t>Usual care group</w:t>
      </w:r>
      <w:r w:rsidRPr="0000648A">
        <w:rPr>
          <w:rFonts w:asciiTheme="majorBidi" w:hAnsiTheme="majorBidi" w:cstheme="majorBidi"/>
        </w:rPr>
        <w:t xml:space="preserve"> showed a substantial </w:t>
      </w:r>
      <w:r w:rsidRPr="004A3B9C">
        <w:rPr>
          <w:rStyle w:val="Strong"/>
          <w:rFonts w:asciiTheme="majorBidi" w:hAnsiTheme="majorBidi" w:cstheme="majorBidi"/>
          <w:b w:val="0"/>
          <w:bCs w:val="0"/>
        </w:rPr>
        <w:t>worsening in activity limitation</w:t>
      </w:r>
      <w:r w:rsidRPr="0000648A">
        <w:rPr>
          <w:rFonts w:asciiTheme="majorBidi" w:hAnsiTheme="majorBidi" w:cstheme="majorBidi"/>
        </w:rPr>
        <w:t xml:space="preserve">, with mean scores increasing from </w:t>
      </w:r>
      <w:r w:rsidRPr="004A3B9C">
        <w:rPr>
          <w:rStyle w:val="Strong"/>
          <w:rFonts w:asciiTheme="majorBidi" w:hAnsiTheme="majorBidi" w:cstheme="majorBidi"/>
          <w:b w:val="0"/>
          <w:bCs w:val="0"/>
        </w:rPr>
        <w:t>24.48 ± 9.28</w:t>
      </w:r>
      <w:r w:rsidRPr="0000648A">
        <w:rPr>
          <w:rFonts w:asciiTheme="majorBidi" w:hAnsiTheme="majorBidi" w:cstheme="majorBidi"/>
        </w:rPr>
        <w:t xml:space="preserve"> at baseline to </w:t>
      </w:r>
      <w:r w:rsidRPr="004A3B9C">
        <w:rPr>
          <w:rStyle w:val="Strong"/>
          <w:rFonts w:asciiTheme="majorBidi" w:hAnsiTheme="majorBidi" w:cstheme="majorBidi"/>
          <w:b w:val="0"/>
          <w:bCs w:val="0"/>
        </w:rPr>
        <w:t>39.97 ± 15.15</w:t>
      </w:r>
      <w:r w:rsidRPr="0000648A">
        <w:rPr>
          <w:rFonts w:asciiTheme="majorBidi" w:hAnsiTheme="majorBidi" w:cstheme="majorBidi"/>
        </w:rPr>
        <w:t xml:space="preserve"> post-intervention (mean difference </w:t>
      </w:r>
      <w:r w:rsidRPr="004A3B9C">
        <w:rPr>
          <w:rStyle w:val="Strong"/>
          <w:rFonts w:asciiTheme="majorBidi" w:hAnsiTheme="majorBidi" w:cstheme="majorBidi"/>
          <w:b w:val="0"/>
          <w:bCs w:val="0"/>
        </w:rPr>
        <w:t>15.49 ± 17.77</w:t>
      </w:r>
      <w:r w:rsidRPr="0000648A">
        <w:rPr>
          <w:rFonts w:asciiTheme="majorBidi" w:hAnsiTheme="majorBidi" w:cstheme="majorBidi"/>
        </w:rPr>
        <w:t>), and this change was statistically significant (</w:t>
      </w:r>
      <w:r w:rsidRPr="004A3B9C">
        <w:rPr>
          <w:rStyle w:val="Strong"/>
          <w:rFonts w:asciiTheme="majorBidi" w:hAnsiTheme="majorBidi" w:cstheme="majorBidi"/>
          <w:b w:val="0"/>
          <w:bCs w:val="0"/>
        </w:rPr>
        <w:t>p &lt; 0.001</w:t>
      </w:r>
      <w:r w:rsidRPr="0000648A">
        <w:rPr>
          <w:rFonts w:asciiTheme="majorBidi" w:hAnsiTheme="majorBidi" w:cstheme="majorBidi"/>
        </w:rPr>
        <w:t xml:space="preserve">). </w:t>
      </w:r>
      <w:r w:rsidR="004A3B9C">
        <w:rPr>
          <w:rFonts w:asciiTheme="majorBidi" w:hAnsiTheme="majorBidi" w:cstheme="majorBidi"/>
        </w:rPr>
        <w:t>Educational intervention group</w:t>
      </w:r>
      <w:r w:rsidRPr="0000648A">
        <w:rPr>
          <w:rFonts w:asciiTheme="majorBidi" w:hAnsiTheme="majorBidi" w:cstheme="majorBidi"/>
        </w:rPr>
        <w:t xml:space="preserve"> also demonstrated a </w:t>
      </w:r>
      <w:r w:rsidRPr="004A3B9C">
        <w:rPr>
          <w:rStyle w:val="Strong"/>
          <w:rFonts w:asciiTheme="majorBidi" w:hAnsiTheme="majorBidi" w:cstheme="majorBidi"/>
          <w:b w:val="0"/>
          <w:bCs w:val="0"/>
        </w:rPr>
        <w:t>significant deterioration</w:t>
      </w:r>
      <w:r w:rsidRPr="0000648A">
        <w:rPr>
          <w:rFonts w:asciiTheme="majorBidi" w:hAnsiTheme="majorBidi" w:cstheme="majorBidi"/>
        </w:rPr>
        <w:t xml:space="preserve"> in activity scores, rising from </w:t>
      </w:r>
      <w:r w:rsidRPr="004A3B9C">
        <w:rPr>
          <w:rStyle w:val="Strong"/>
          <w:rFonts w:asciiTheme="majorBidi" w:hAnsiTheme="majorBidi" w:cstheme="majorBidi"/>
          <w:b w:val="0"/>
          <w:bCs w:val="0"/>
        </w:rPr>
        <w:t>22.68 ± 6.49</w:t>
      </w:r>
      <w:r w:rsidRPr="004A3B9C">
        <w:rPr>
          <w:rFonts w:asciiTheme="majorBidi" w:hAnsiTheme="majorBidi" w:cstheme="majorBidi"/>
          <w:b/>
          <w:bCs/>
        </w:rPr>
        <w:t xml:space="preserve"> </w:t>
      </w:r>
      <w:r w:rsidRPr="004A3B9C">
        <w:rPr>
          <w:rFonts w:asciiTheme="majorBidi" w:hAnsiTheme="majorBidi" w:cstheme="majorBidi"/>
        </w:rPr>
        <w:t>to</w:t>
      </w:r>
      <w:r w:rsidRPr="004A3B9C">
        <w:rPr>
          <w:rFonts w:asciiTheme="majorBidi" w:hAnsiTheme="majorBidi" w:cstheme="majorBidi"/>
          <w:b/>
          <w:bCs/>
        </w:rPr>
        <w:t xml:space="preserve"> </w:t>
      </w:r>
      <w:r w:rsidRPr="004A3B9C">
        <w:rPr>
          <w:rStyle w:val="Strong"/>
          <w:rFonts w:asciiTheme="majorBidi" w:hAnsiTheme="majorBidi" w:cstheme="majorBidi"/>
          <w:b w:val="0"/>
          <w:bCs w:val="0"/>
        </w:rPr>
        <w:t>27.84 ± 7.97</w:t>
      </w:r>
      <w:r w:rsidRPr="0000648A">
        <w:rPr>
          <w:rFonts w:asciiTheme="majorBidi" w:hAnsiTheme="majorBidi" w:cstheme="majorBidi"/>
        </w:rPr>
        <w:t xml:space="preserve"> (mean difference </w:t>
      </w:r>
      <w:r w:rsidRPr="004A3B9C">
        <w:rPr>
          <w:rStyle w:val="Strong"/>
          <w:rFonts w:asciiTheme="majorBidi" w:hAnsiTheme="majorBidi" w:cstheme="majorBidi"/>
          <w:b w:val="0"/>
          <w:bCs w:val="0"/>
        </w:rPr>
        <w:t>5.16 ± 10.28</w:t>
      </w:r>
      <w:r w:rsidRPr="004A3B9C">
        <w:rPr>
          <w:rFonts w:asciiTheme="majorBidi" w:hAnsiTheme="majorBidi" w:cstheme="majorBidi"/>
          <w:b/>
          <w:bCs/>
        </w:rPr>
        <w:t xml:space="preserve">; </w:t>
      </w:r>
      <w:r w:rsidRPr="004A3B9C">
        <w:rPr>
          <w:rStyle w:val="Strong"/>
          <w:rFonts w:asciiTheme="majorBidi" w:hAnsiTheme="majorBidi" w:cstheme="majorBidi"/>
          <w:b w:val="0"/>
          <w:bCs w:val="0"/>
        </w:rPr>
        <w:t>p = 0.009</w:t>
      </w:r>
      <w:r w:rsidRPr="0000648A">
        <w:rPr>
          <w:rFonts w:asciiTheme="majorBidi" w:hAnsiTheme="majorBidi" w:cstheme="majorBidi"/>
        </w:rPr>
        <w:t xml:space="preserve">). In contrast, </w:t>
      </w:r>
      <w:r w:rsidR="00096202">
        <w:rPr>
          <w:rFonts w:asciiTheme="majorBidi" w:hAnsiTheme="majorBidi" w:cstheme="majorBidi"/>
        </w:rPr>
        <w:t>Pharmaceutical care</w:t>
      </w:r>
      <w:r w:rsidRPr="0000648A">
        <w:rPr>
          <w:rFonts w:asciiTheme="majorBidi" w:hAnsiTheme="majorBidi" w:cstheme="majorBidi"/>
        </w:rPr>
        <w:t xml:space="preserve"> exhibited only a minimal increase from </w:t>
      </w:r>
      <w:r w:rsidRPr="004A3B9C">
        <w:rPr>
          <w:rStyle w:val="Strong"/>
          <w:rFonts w:asciiTheme="majorBidi" w:hAnsiTheme="majorBidi" w:cstheme="majorBidi"/>
          <w:b w:val="0"/>
          <w:bCs w:val="0"/>
        </w:rPr>
        <w:t>21.35 ± 12.28</w:t>
      </w:r>
      <w:r w:rsidRPr="0000648A">
        <w:rPr>
          <w:rFonts w:asciiTheme="majorBidi" w:hAnsiTheme="majorBidi" w:cstheme="majorBidi"/>
          <w:b/>
          <w:bCs/>
        </w:rPr>
        <w:t xml:space="preserve"> </w:t>
      </w:r>
      <w:r w:rsidRPr="0000648A">
        <w:rPr>
          <w:rFonts w:asciiTheme="majorBidi" w:hAnsiTheme="majorBidi" w:cstheme="majorBidi"/>
        </w:rPr>
        <w:t>to</w:t>
      </w:r>
      <w:r w:rsidRPr="0000648A">
        <w:rPr>
          <w:rFonts w:asciiTheme="majorBidi" w:hAnsiTheme="majorBidi" w:cstheme="majorBidi"/>
          <w:b/>
          <w:bCs/>
        </w:rPr>
        <w:t xml:space="preserve"> </w:t>
      </w:r>
      <w:r w:rsidRPr="004A3B9C">
        <w:rPr>
          <w:rStyle w:val="Strong"/>
          <w:rFonts w:asciiTheme="majorBidi" w:hAnsiTheme="majorBidi" w:cstheme="majorBidi"/>
          <w:b w:val="0"/>
          <w:bCs w:val="0"/>
        </w:rPr>
        <w:t>22.11 ± 12.71</w:t>
      </w:r>
      <w:r w:rsidRPr="0000648A">
        <w:rPr>
          <w:rFonts w:asciiTheme="majorBidi" w:hAnsiTheme="majorBidi" w:cstheme="majorBidi"/>
        </w:rPr>
        <w:t xml:space="preserve"> (mean difference </w:t>
      </w:r>
      <w:r w:rsidRPr="004A3B9C">
        <w:rPr>
          <w:rStyle w:val="Strong"/>
          <w:rFonts w:asciiTheme="majorBidi" w:hAnsiTheme="majorBidi" w:cstheme="majorBidi"/>
          <w:b w:val="0"/>
          <w:bCs w:val="0"/>
        </w:rPr>
        <w:t>0.76 ± 17.67</w:t>
      </w:r>
      <w:r w:rsidRPr="0000648A">
        <w:rPr>
          <w:rFonts w:asciiTheme="majorBidi" w:hAnsiTheme="majorBidi" w:cstheme="majorBidi"/>
        </w:rPr>
        <w:t xml:space="preserve">), which was </w:t>
      </w:r>
      <w:r w:rsidRPr="004A3B9C">
        <w:rPr>
          <w:rStyle w:val="Strong"/>
          <w:rFonts w:asciiTheme="majorBidi" w:hAnsiTheme="majorBidi" w:cstheme="majorBidi"/>
          <w:b w:val="0"/>
          <w:bCs w:val="0"/>
        </w:rPr>
        <w:t>not statistically significant</w:t>
      </w:r>
      <w:r w:rsidRPr="004A3B9C">
        <w:rPr>
          <w:rFonts w:asciiTheme="majorBidi" w:hAnsiTheme="majorBidi" w:cstheme="majorBidi"/>
          <w:b/>
          <w:bCs/>
        </w:rPr>
        <w:t xml:space="preserve"> (</w:t>
      </w:r>
      <w:r w:rsidRPr="004A3B9C">
        <w:rPr>
          <w:rStyle w:val="Strong"/>
          <w:rFonts w:asciiTheme="majorBidi" w:hAnsiTheme="majorBidi" w:cstheme="majorBidi"/>
          <w:b w:val="0"/>
          <w:bCs w:val="0"/>
        </w:rPr>
        <w:t>p = 0.806</w:t>
      </w:r>
      <w:r w:rsidRPr="0000648A">
        <w:rPr>
          <w:rFonts w:asciiTheme="majorBidi" w:hAnsiTheme="majorBidi" w:cstheme="majorBidi"/>
        </w:rPr>
        <w:t xml:space="preserve">). Overall, these findings suggest significantly increased activity-related impairment in </w:t>
      </w:r>
      <w:r w:rsidR="00096202">
        <w:rPr>
          <w:rFonts w:asciiTheme="majorBidi" w:hAnsiTheme="majorBidi" w:cstheme="majorBidi"/>
        </w:rPr>
        <w:t>usual care and educational interventions group</w:t>
      </w:r>
      <w:r w:rsidRPr="0000648A">
        <w:rPr>
          <w:rFonts w:asciiTheme="majorBidi" w:hAnsiTheme="majorBidi" w:cstheme="majorBidi"/>
        </w:rPr>
        <w:t xml:space="preserve">, while </w:t>
      </w:r>
      <w:r w:rsidR="00096202">
        <w:rPr>
          <w:rFonts w:asciiTheme="majorBidi" w:hAnsiTheme="majorBidi" w:cstheme="majorBidi"/>
        </w:rPr>
        <w:t>Pharmaceutical care</w:t>
      </w:r>
      <w:r w:rsidRPr="0000648A">
        <w:rPr>
          <w:rFonts w:asciiTheme="majorBidi" w:hAnsiTheme="majorBidi" w:cstheme="majorBidi"/>
        </w:rPr>
        <w:t xml:space="preserve"> remained quite stable.</w:t>
      </w:r>
    </w:p>
    <w:p w:rsidR="0000648A" w:rsidRPr="0000648A" w:rsidRDefault="0000648A" w:rsidP="00412AD2">
      <w:pPr>
        <w:spacing w:after="0" w:line="240" w:lineRule="auto"/>
        <w:rPr>
          <w:rFonts w:asciiTheme="majorBidi" w:hAnsiTheme="majorBidi" w:cstheme="majorBidi"/>
          <w:sz w:val="20"/>
          <w:szCs w:val="18"/>
        </w:rPr>
      </w:pPr>
      <w:r w:rsidRPr="00096202">
        <w:rPr>
          <w:rFonts w:asciiTheme="majorBidi" w:hAnsiTheme="majorBidi" w:cstheme="majorBidi"/>
          <w:sz w:val="20"/>
          <w:szCs w:val="18"/>
        </w:rPr>
        <w:t xml:space="preserve">Table </w:t>
      </w:r>
      <w:r w:rsidR="00944746">
        <w:rPr>
          <w:rFonts w:asciiTheme="majorBidi" w:hAnsiTheme="majorBidi" w:cstheme="majorBidi"/>
          <w:sz w:val="20"/>
          <w:szCs w:val="18"/>
        </w:rPr>
        <w:t>S4</w:t>
      </w:r>
      <w:r w:rsidRPr="00096202">
        <w:rPr>
          <w:rFonts w:asciiTheme="majorBidi" w:hAnsiTheme="majorBidi" w:cstheme="majorBidi"/>
          <w:sz w:val="20"/>
          <w:szCs w:val="18"/>
        </w:rPr>
        <w:t>.</w:t>
      </w:r>
      <w:r w:rsidRPr="0000648A">
        <w:rPr>
          <w:rFonts w:asciiTheme="majorBidi" w:hAnsiTheme="majorBidi" w:cstheme="majorBidi"/>
          <w:b/>
          <w:bCs/>
          <w:sz w:val="20"/>
          <w:szCs w:val="18"/>
        </w:rPr>
        <w:t xml:space="preserve"> </w:t>
      </w:r>
      <w:r w:rsidRPr="0000648A">
        <w:rPr>
          <w:rFonts w:asciiTheme="majorBidi" w:hAnsiTheme="majorBidi" w:cstheme="majorBidi"/>
          <w:sz w:val="20"/>
          <w:szCs w:val="18"/>
        </w:rPr>
        <w:t xml:space="preserve">SGRQ </w:t>
      </w:r>
      <w:r w:rsidR="00412AD2">
        <w:rPr>
          <w:rFonts w:asciiTheme="majorBidi" w:hAnsiTheme="majorBidi" w:cstheme="majorBidi"/>
          <w:sz w:val="20"/>
          <w:szCs w:val="18"/>
        </w:rPr>
        <w:t xml:space="preserve">Activity </w:t>
      </w:r>
      <w:r w:rsidRPr="0000648A">
        <w:rPr>
          <w:rFonts w:asciiTheme="majorBidi" w:hAnsiTheme="majorBidi" w:cstheme="majorBidi"/>
          <w:sz w:val="20"/>
          <w:szCs w:val="18"/>
        </w:rPr>
        <w:t>scores among the groups.</w:t>
      </w:r>
    </w:p>
    <w:tbl>
      <w:tblPr>
        <w:tblW w:w="8280" w:type="dxa"/>
        <w:tblInd w:w="108" w:type="dxa"/>
        <w:tblCellMar>
          <w:left w:w="0" w:type="dxa"/>
          <w:right w:w="0" w:type="dxa"/>
        </w:tblCellMar>
        <w:tblLook w:val="04A0" w:firstRow="1" w:lastRow="0" w:firstColumn="1" w:lastColumn="0" w:noHBand="0" w:noVBand="1"/>
      </w:tblPr>
      <w:tblGrid>
        <w:gridCol w:w="1561"/>
        <w:gridCol w:w="1755"/>
        <w:gridCol w:w="1541"/>
        <w:gridCol w:w="1556"/>
        <w:gridCol w:w="1017"/>
        <w:gridCol w:w="850"/>
      </w:tblGrid>
      <w:tr w:rsidR="0000648A" w:rsidRPr="0000648A" w:rsidTr="00412AD2">
        <w:trPr>
          <w:trHeight w:val="1009"/>
        </w:trPr>
        <w:tc>
          <w:tcPr>
            <w:tcW w:w="156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jc w:val="both"/>
              <w:rPr>
                <w:rFonts w:asciiTheme="majorBidi" w:hAnsiTheme="majorBidi" w:cstheme="majorBidi"/>
                <w:sz w:val="20"/>
                <w:szCs w:val="20"/>
              </w:rPr>
            </w:pPr>
            <w:r w:rsidRPr="0000648A">
              <w:rPr>
                <w:rFonts w:asciiTheme="majorBidi" w:hAnsiTheme="majorBidi" w:cstheme="majorBidi"/>
                <w:b/>
                <w:bCs/>
                <w:sz w:val="20"/>
                <w:szCs w:val="20"/>
              </w:rPr>
              <w:t>Comparison</w:t>
            </w:r>
          </w:p>
        </w:tc>
        <w:tc>
          <w:tcPr>
            <w:tcW w:w="1755"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jc w:val="both"/>
              <w:rPr>
                <w:rFonts w:asciiTheme="majorBidi" w:hAnsiTheme="majorBidi" w:cstheme="majorBidi"/>
                <w:sz w:val="20"/>
                <w:szCs w:val="20"/>
              </w:rPr>
            </w:pPr>
            <w:r w:rsidRPr="0000648A">
              <w:rPr>
                <w:rFonts w:asciiTheme="majorBidi" w:hAnsiTheme="majorBidi" w:cstheme="majorBidi"/>
                <w:b/>
                <w:bCs/>
                <w:sz w:val="20"/>
                <w:szCs w:val="20"/>
              </w:rPr>
              <w:t>Pre intervention score (Mean ± SD)</w:t>
            </w:r>
          </w:p>
        </w:tc>
        <w:tc>
          <w:tcPr>
            <w:tcW w:w="154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jc w:val="both"/>
              <w:rPr>
                <w:rFonts w:asciiTheme="majorBidi" w:hAnsiTheme="majorBidi" w:cstheme="majorBidi"/>
                <w:sz w:val="20"/>
                <w:szCs w:val="20"/>
              </w:rPr>
            </w:pPr>
            <w:r w:rsidRPr="0000648A">
              <w:rPr>
                <w:rFonts w:asciiTheme="majorBidi" w:hAnsiTheme="majorBidi" w:cstheme="majorBidi"/>
                <w:b/>
                <w:bCs/>
                <w:sz w:val="20"/>
                <w:szCs w:val="20"/>
              </w:rPr>
              <w:t>Post intervention score (Mean ± SD)</w:t>
            </w:r>
          </w:p>
        </w:tc>
        <w:tc>
          <w:tcPr>
            <w:tcW w:w="1556"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jc w:val="both"/>
              <w:rPr>
                <w:rFonts w:asciiTheme="majorBidi" w:hAnsiTheme="majorBidi" w:cstheme="majorBidi"/>
                <w:sz w:val="20"/>
                <w:szCs w:val="20"/>
              </w:rPr>
            </w:pPr>
            <w:r w:rsidRPr="0000648A">
              <w:rPr>
                <w:rFonts w:asciiTheme="majorBidi" w:hAnsiTheme="majorBidi" w:cstheme="majorBidi"/>
                <w:b/>
                <w:bCs/>
                <w:sz w:val="20"/>
                <w:szCs w:val="20"/>
              </w:rPr>
              <w:t>Difference in (Mean ± SD)</w:t>
            </w:r>
          </w:p>
        </w:tc>
        <w:tc>
          <w:tcPr>
            <w:tcW w:w="1017"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jc w:val="both"/>
              <w:rPr>
                <w:rFonts w:asciiTheme="majorBidi" w:hAnsiTheme="majorBidi" w:cstheme="majorBidi"/>
                <w:sz w:val="20"/>
                <w:szCs w:val="20"/>
              </w:rPr>
            </w:pPr>
            <w:r w:rsidRPr="0000648A">
              <w:rPr>
                <w:rFonts w:asciiTheme="majorBidi" w:hAnsiTheme="majorBidi" w:cstheme="majorBidi"/>
                <w:b/>
                <w:bCs/>
                <w:sz w:val="20"/>
                <w:szCs w:val="20"/>
              </w:rPr>
              <w:t>Standard Error</w:t>
            </w:r>
          </w:p>
        </w:tc>
        <w:tc>
          <w:tcPr>
            <w:tcW w:w="85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spacing w:after="0" w:line="240" w:lineRule="auto"/>
              <w:jc w:val="both"/>
              <w:rPr>
                <w:rFonts w:asciiTheme="majorBidi" w:hAnsiTheme="majorBidi" w:cstheme="majorBidi"/>
                <w:sz w:val="20"/>
                <w:szCs w:val="20"/>
              </w:rPr>
            </w:pPr>
            <w:r w:rsidRPr="0000648A">
              <w:rPr>
                <w:rFonts w:asciiTheme="majorBidi" w:hAnsiTheme="majorBidi" w:cstheme="majorBidi"/>
                <w:b/>
                <w:bCs/>
                <w:sz w:val="20"/>
                <w:szCs w:val="20"/>
              </w:rPr>
              <w:t>P-value</w:t>
            </w:r>
          </w:p>
        </w:tc>
      </w:tr>
      <w:tr w:rsidR="00412AD2" w:rsidRPr="0000648A" w:rsidTr="00412AD2">
        <w:trPr>
          <w:trHeight w:val="451"/>
        </w:trPr>
        <w:tc>
          <w:tcPr>
            <w:tcW w:w="156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CF1762">
            <w:pPr>
              <w:spacing w:after="0" w:line="240" w:lineRule="auto"/>
              <w:rPr>
                <w:rFonts w:asciiTheme="majorBidi" w:hAnsiTheme="majorBidi" w:cstheme="majorBidi"/>
                <w:sz w:val="20"/>
                <w:szCs w:val="18"/>
              </w:rPr>
            </w:pPr>
            <w:r>
              <w:rPr>
                <w:rFonts w:asciiTheme="majorBidi" w:hAnsiTheme="majorBidi" w:cstheme="majorBidi"/>
                <w:b/>
                <w:bCs/>
                <w:sz w:val="20"/>
                <w:szCs w:val="18"/>
              </w:rPr>
              <w:t>Arm 0</w:t>
            </w:r>
          </w:p>
        </w:tc>
        <w:tc>
          <w:tcPr>
            <w:tcW w:w="1755"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24.48 ± 9.28</w:t>
            </w:r>
          </w:p>
        </w:tc>
        <w:tc>
          <w:tcPr>
            <w:tcW w:w="154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39.97 ± 15.15</w:t>
            </w:r>
          </w:p>
        </w:tc>
        <w:tc>
          <w:tcPr>
            <w:tcW w:w="1556"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15.49 ± 17.77</w:t>
            </w:r>
          </w:p>
        </w:tc>
        <w:tc>
          <w:tcPr>
            <w:tcW w:w="1017"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3.09</w:t>
            </w:r>
          </w:p>
        </w:tc>
        <w:tc>
          <w:tcPr>
            <w:tcW w:w="85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&lt; 0.001</w:t>
            </w:r>
          </w:p>
        </w:tc>
      </w:tr>
      <w:tr w:rsidR="00412AD2" w:rsidRPr="0000648A" w:rsidTr="00412AD2">
        <w:trPr>
          <w:trHeight w:val="505"/>
        </w:trPr>
        <w:tc>
          <w:tcPr>
            <w:tcW w:w="156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CF1762">
            <w:pPr>
              <w:spacing w:after="0" w:line="240" w:lineRule="auto"/>
              <w:rPr>
                <w:rFonts w:asciiTheme="majorBidi" w:hAnsiTheme="majorBidi" w:cstheme="majorBidi"/>
                <w:sz w:val="20"/>
                <w:szCs w:val="18"/>
              </w:rPr>
            </w:pPr>
            <w:r>
              <w:rPr>
                <w:rFonts w:asciiTheme="majorBidi" w:hAnsiTheme="majorBidi" w:cstheme="majorBidi"/>
                <w:b/>
                <w:bCs/>
                <w:sz w:val="20"/>
                <w:szCs w:val="18"/>
              </w:rPr>
              <w:t>Arm 1</w:t>
            </w:r>
          </w:p>
        </w:tc>
        <w:tc>
          <w:tcPr>
            <w:tcW w:w="1755"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22.68 ± 6.49</w:t>
            </w:r>
          </w:p>
        </w:tc>
        <w:tc>
          <w:tcPr>
            <w:tcW w:w="154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27.84 ± 7.97</w:t>
            </w:r>
          </w:p>
        </w:tc>
        <w:tc>
          <w:tcPr>
            <w:tcW w:w="1556"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5.16 ± 10.28</w:t>
            </w:r>
          </w:p>
        </w:tc>
        <w:tc>
          <w:tcPr>
            <w:tcW w:w="1017"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1.85</w:t>
            </w:r>
          </w:p>
        </w:tc>
        <w:tc>
          <w:tcPr>
            <w:tcW w:w="85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0.009</w:t>
            </w:r>
          </w:p>
        </w:tc>
      </w:tr>
      <w:tr w:rsidR="00412AD2" w:rsidRPr="0000648A" w:rsidTr="00412AD2">
        <w:trPr>
          <w:trHeight w:val="316"/>
        </w:trPr>
        <w:tc>
          <w:tcPr>
            <w:tcW w:w="156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CF1762">
            <w:pPr>
              <w:spacing w:after="0" w:line="240" w:lineRule="auto"/>
              <w:rPr>
                <w:rFonts w:asciiTheme="majorBidi" w:hAnsiTheme="majorBidi" w:cstheme="majorBidi"/>
                <w:sz w:val="20"/>
                <w:szCs w:val="18"/>
              </w:rPr>
            </w:pPr>
            <w:r>
              <w:rPr>
                <w:rFonts w:asciiTheme="majorBidi" w:hAnsiTheme="majorBidi" w:cstheme="majorBidi"/>
                <w:b/>
                <w:bCs/>
                <w:sz w:val="20"/>
                <w:szCs w:val="18"/>
              </w:rPr>
              <w:t xml:space="preserve">Arm 2 </w:t>
            </w:r>
          </w:p>
        </w:tc>
        <w:tc>
          <w:tcPr>
            <w:tcW w:w="1755"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21.35 ± 12.28</w:t>
            </w:r>
          </w:p>
        </w:tc>
        <w:tc>
          <w:tcPr>
            <w:tcW w:w="154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22.11 ± 12.71</w:t>
            </w:r>
          </w:p>
        </w:tc>
        <w:tc>
          <w:tcPr>
            <w:tcW w:w="1556"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0.76 ± 17.67</w:t>
            </w:r>
          </w:p>
        </w:tc>
        <w:tc>
          <w:tcPr>
            <w:tcW w:w="1017"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3.08</w:t>
            </w:r>
          </w:p>
        </w:tc>
        <w:tc>
          <w:tcPr>
            <w:tcW w:w="85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spacing w:after="0" w:line="240" w:lineRule="auto"/>
              <w:jc w:val="both"/>
              <w:rPr>
                <w:rFonts w:asciiTheme="majorBidi" w:hAnsiTheme="majorBidi" w:cstheme="majorBidi"/>
                <w:sz w:val="20"/>
                <w:szCs w:val="20"/>
              </w:rPr>
            </w:pPr>
            <w:r w:rsidRPr="0000648A">
              <w:rPr>
                <w:rFonts w:asciiTheme="majorBidi" w:hAnsiTheme="majorBidi" w:cstheme="majorBidi"/>
                <w:sz w:val="20"/>
                <w:szCs w:val="20"/>
              </w:rPr>
              <w:t>0.806</w:t>
            </w:r>
          </w:p>
        </w:tc>
      </w:tr>
    </w:tbl>
    <w:p w:rsidR="0000648A" w:rsidRPr="0000648A" w:rsidRDefault="00412AD2" w:rsidP="0000648A">
      <w:pPr>
        <w:tabs>
          <w:tab w:val="left" w:pos="6183"/>
        </w:tabs>
        <w:rPr>
          <w:rFonts w:asciiTheme="majorBidi" w:hAnsiTheme="majorBidi" w:cstheme="majorBidi"/>
        </w:rPr>
      </w:pPr>
      <w:r>
        <w:rPr>
          <w:rFonts w:asciiTheme="majorBidi" w:hAnsiTheme="majorBidi" w:cstheme="majorBidi"/>
        </w:rPr>
        <w:t>Note: Activity</w:t>
      </w:r>
      <w:r w:rsidRPr="00AA67F3">
        <w:rPr>
          <w:rFonts w:asciiTheme="majorBidi" w:hAnsiTheme="majorBidi" w:cstheme="majorBidi"/>
        </w:rPr>
        <w:t xml:space="preserve"> scores from pre-intervention to post-intervention within each group were tested using the paired samples t-test.”</w:t>
      </w:r>
      <w:r w:rsidR="0000648A" w:rsidRPr="0000648A">
        <w:rPr>
          <w:rFonts w:asciiTheme="majorBidi" w:hAnsiTheme="majorBidi" w:cstheme="majorBidi"/>
        </w:rPr>
        <w:tab/>
      </w:r>
    </w:p>
    <w:p w:rsidR="0000648A" w:rsidRPr="00096202" w:rsidRDefault="0000648A" w:rsidP="0000648A">
      <w:pPr>
        <w:jc w:val="both"/>
        <w:rPr>
          <w:rFonts w:asciiTheme="majorBidi" w:hAnsiTheme="majorBidi" w:cstheme="majorBidi"/>
          <w:b/>
          <w:bCs/>
          <w:sz w:val="24"/>
          <w:szCs w:val="24"/>
        </w:rPr>
      </w:pPr>
      <w:r w:rsidRPr="00096202">
        <w:rPr>
          <w:rFonts w:asciiTheme="majorBidi" w:hAnsiTheme="majorBidi" w:cstheme="majorBidi"/>
          <w:b/>
          <w:bCs/>
          <w:sz w:val="24"/>
          <w:szCs w:val="24"/>
        </w:rPr>
        <w:t>SGRQ impact scores of the groups</w:t>
      </w:r>
    </w:p>
    <w:p w:rsidR="0000648A" w:rsidRPr="0000648A" w:rsidRDefault="0000648A" w:rsidP="00096202">
      <w:pPr>
        <w:spacing w:line="360" w:lineRule="auto"/>
        <w:jc w:val="both"/>
        <w:rPr>
          <w:rFonts w:asciiTheme="majorBidi" w:hAnsiTheme="majorBidi" w:cstheme="majorBidi"/>
        </w:rPr>
      </w:pPr>
      <w:r w:rsidRPr="00096202">
        <w:rPr>
          <w:rStyle w:val="Strong"/>
          <w:rFonts w:asciiTheme="majorBidi" w:hAnsiTheme="majorBidi" w:cstheme="majorBidi"/>
          <w:b w:val="0"/>
          <w:bCs w:val="0"/>
        </w:rPr>
        <w:t xml:space="preserve">Table </w:t>
      </w:r>
      <w:r w:rsidR="00944746">
        <w:rPr>
          <w:rStyle w:val="Strong"/>
          <w:rFonts w:asciiTheme="majorBidi" w:hAnsiTheme="majorBidi" w:cstheme="majorBidi"/>
          <w:b w:val="0"/>
          <w:bCs w:val="0"/>
        </w:rPr>
        <w:t>S5</w:t>
      </w:r>
      <w:r w:rsidRPr="0000648A">
        <w:rPr>
          <w:rFonts w:asciiTheme="majorBidi" w:hAnsiTheme="majorBidi" w:cstheme="majorBidi"/>
        </w:rPr>
        <w:t xml:space="preserve"> presents the within-group changes in </w:t>
      </w:r>
      <w:r w:rsidRPr="00096202">
        <w:rPr>
          <w:rStyle w:val="Strong"/>
          <w:rFonts w:asciiTheme="majorBidi" w:hAnsiTheme="majorBidi" w:cstheme="majorBidi"/>
          <w:b w:val="0"/>
          <w:bCs w:val="0"/>
        </w:rPr>
        <w:t>SGRQ impact</w:t>
      </w:r>
      <w:r w:rsidRPr="0000648A">
        <w:rPr>
          <w:rFonts w:asciiTheme="majorBidi" w:hAnsiTheme="majorBidi" w:cstheme="majorBidi"/>
        </w:rPr>
        <w:t xml:space="preserve"> scores from pre- to post-intervention. </w:t>
      </w:r>
      <w:r w:rsidR="00096202">
        <w:rPr>
          <w:rFonts w:asciiTheme="majorBidi" w:hAnsiTheme="majorBidi" w:cstheme="majorBidi"/>
        </w:rPr>
        <w:t>Usual care group</w:t>
      </w:r>
      <w:r w:rsidRPr="0000648A">
        <w:rPr>
          <w:rFonts w:asciiTheme="majorBidi" w:hAnsiTheme="majorBidi" w:cstheme="majorBidi"/>
        </w:rPr>
        <w:t xml:space="preserve"> demonstrated a </w:t>
      </w:r>
      <w:r w:rsidRPr="00096202">
        <w:rPr>
          <w:rStyle w:val="Strong"/>
          <w:rFonts w:asciiTheme="majorBidi" w:hAnsiTheme="majorBidi" w:cstheme="majorBidi"/>
          <w:b w:val="0"/>
          <w:bCs w:val="0"/>
        </w:rPr>
        <w:t>marked worsening of overall disease impact</w:t>
      </w:r>
      <w:r w:rsidRPr="0000648A">
        <w:rPr>
          <w:rFonts w:asciiTheme="majorBidi" w:hAnsiTheme="majorBidi" w:cstheme="majorBidi"/>
        </w:rPr>
        <w:t xml:space="preserve">, with mean scores increasing from </w:t>
      </w:r>
      <w:r w:rsidRPr="00096202">
        <w:rPr>
          <w:rStyle w:val="Strong"/>
          <w:rFonts w:asciiTheme="majorBidi" w:hAnsiTheme="majorBidi" w:cstheme="majorBidi"/>
          <w:b w:val="0"/>
          <w:bCs w:val="0"/>
        </w:rPr>
        <w:t>3.22 ± 0.75</w:t>
      </w:r>
      <w:r w:rsidRPr="0000648A">
        <w:rPr>
          <w:rFonts w:asciiTheme="majorBidi" w:hAnsiTheme="majorBidi" w:cstheme="majorBidi"/>
        </w:rPr>
        <w:t xml:space="preserve"> at baseline to </w:t>
      </w:r>
      <w:r w:rsidRPr="00096202">
        <w:rPr>
          <w:rStyle w:val="Strong"/>
          <w:rFonts w:asciiTheme="majorBidi" w:hAnsiTheme="majorBidi" w:cstheme="majorBidi"/>
          <w:b w:val="0"/>
          <w:bCs w:val="0"/>
        </w:rPr>
        <w:t>5.26 ± 1.22</w:t>
      </w:r>
      <w:r w:rsidRPr="0000648A">
        <w:rPr>
          <w:rFonts w:asciiTheme="majorBidi" w:hAnsiTheme="majorBidi" w:cstheme="majorBidi"/>
        </w:rPr>
        <w:t xml:space="preserve"> post-intervention (mean difference </w:t>
      </w:r>
      <w:r w:rsidRPr="00096202">
        <w:rPr>
          <w:rStyle w:val="Strong"/>
          <w:rFonts w:asciiTheme="majorBidi" w:hAnsiTheme="majorBidi" w:cstheme="majorBidi"/>
          <w:b w:val="0"/>
          <w:bCs w:val="0"/>
        </w:rPr>
        <w:t>2.04 ± 1.43</w:t>
      </w:r>
      <w:r w:rsidRPr="0000648A">
        <w:rPr>
          <w:rFonts w:asciiTheme="majorBidi" w:hAnsiTheme="majorBidi" w:cstheme="majorBidi"/>
        </w:rPr>
        <w:t>), and this change was statistically significant (</w:t>
      </w:r>
      <w:r w:rsidRPr="00096202">
        <w:rPr>
          <w:rStyle w:val="Strong"/>
          <w:rFonts w:asciiTheme="majorBidi" w:hAnsiTheme="majorBidi" w:cstheme="majorBidi"/>
          <w:b w:val="0"/>
          <w:bCs w:val="0"/>
        </w:rPr>
        <w:t>p &lt; 0.001</w:t>
      </w:r>
      <w:r w:rsidRPr="0000648A">
        <w:rPr>
          <w:rFonts w:asciiTheme="majorBidi" w:hAnsiTheme="majorBidi" w:cstheme="majorBidi"/>
        </w:rPr>
        <w:t xml:space="preserve">). </w:t>
      </w:r>
      <w:r w:rsidR="00096202">
        <w:rPr>
          <w:rFonts w:asciiTheme="majorBidi" w:hAnsiTheme="majorBidi" w:cstheme="majorBidi"/>
        </w:rPr>
        <w:t>Educational intervention group</w:t>
      </w:r>
      <w:r w:rsidRPr="0000648A">
        <w:rPr>
          <w:rFonts w:asciiTheme="majorBidi" w:hAnsiTheme="majorBidi" w:cstheme="majorBidi"/>
        </w:rPr>
        <w:t xml:space="preserve"> also showed a </w:t>
      </w:r>
      <w:r w:rsidRPr="00096202">
        <w:rPr>
          <w:rStyle w:val="Strong"/>
          <w:rFonts w:asciiTheme="majorBidi" w:hAnsiTheme="majorBidi" w:cstheme="majorBidi"/>
          <w:b w:val="0"/>
          <w:bCs w:val="0"/>
        </w:rPr>
        <w:t>significant deterioration in impact scores</w:t>
      </w:r>
      <w:r w:rsidRPr="0000648A">
        <w:rPr>
          <w:rFonts w:asciiTheme="majorBidi" w:hAnsiTheme="majorBidi" w:cstheme="majorBidi"/>
        </w:rPr>
        <w:t xml:space="preserve">, rising from </w:t>
      </w:r>
      <w:r w:rsidRPr="00096202">
        <w:rPr>
          <w:rStyle w:val="Strong"/>
          <w:rFonts w:asciiTheme="majorBidi" w:hAnsiTheme="majorBidi" w:cstheme="majorBidi"/>
          <w:b w:val="0"/>
          <w:bCs w:val="0"/>
        </w:rPr>
        <w:t>2.70 ± 0.07</w:t>
      </w:r>
      <w:r w:rsidRPr="0000648A">
        <w:rPr>
          <w:rFonts w:asciiTheme="majorBidi" w:hAnsiTheme="majorBidi" w:cstheme="majorBidi"/>
        </w:rPr>
        <w:t xml:space="preserve"> to </w:t>
      </w:r>
      <w:r w:rsidRPr="00096202">
        <w:rPr>
          <w:rStyle w:val="Strong"/>
          <w:rFonts w:asciiTheme="majorBidi" w:hAnsiTheme="majorBidi" w:cstheme="majorBidi"/>
          <w:b w:val="0"/>
          <w:bCs w:val="0"/>
        </w:rPr>
        <w:t>3.31 ± 0.08</w:t>
      </w:r>
      <w:r w:rsidRPr="0000648A">
        <w:rPr>
          <w:rFonts w:asciiTheme="majorBidi" w:hAnsiTheme="majorBidi" w:cstheme="majorBidi"/>
        </w:rPr>
        <w:t xml:space="preserve"> (mean difference </w:t>
      </w:r>
      <w:r w:rsidRPr="00096202">
        <w:rPr>
          <w:rStyle w:val="Strong"/>
          <w:rFonts w:asciiTheme="majorBidi" w:hAnsiTheme="majorBidi" w:cstheme="majorBidi"/>
          <w:b w:val="0"/>
          <w:bCs w:val="0"/>
        </w:rPr>
        <w:t>0.61 ± 0.11</w:t>
      </w:r>
      <w:r w:rsidRPr="00096202">
        <w:rPr>
          <w:rFonts w:asciiTheme="majorBidi" w:hAnsiTheme="majorBidi" w:cstheme="majorBidi"/>
          <w:b/>
          <w:bCs/>
        </w:rPr>
        <w:t xml:space="preserve">; </w:t>
      </w:r>
      <w:r w:rsidRPr="00096202">
        <w:rPr>
          <w:rStyle w:val="Strong"/>
          <w:rFonts w:asciiTheme="majorBidi" w:hAnsiTheme="majorBidi" w:cstheme="majorBidi"/>
          <w:b w:val="0"/>
          <w:bCs w:val="0"/>
        </w:rPr>
        <w:t>p &lt; 0.001</w:t>
      </w:r>
      <w:r w:rsidRPr="0000648A">
        <w:rPr>
          <w:rFonts w:asciiTheme="majorBidi" w:hAnsiTheme="majorBidi" w:cstheme="majorBidi"/>
        </w:rPr>
        <w:t xml:space="preserve">). In contrast, </w:t>
      </w:r>
      <w:r w:rsidR="00096202">
        <w:rPr>
          <w:rFonts w:asciiTheme="majorBidi" w:hAnsiTheme="majorBidi" w:cstheme="majorBidi"/>
        </w:rPr>
        <w:t>Pharmaceutical care</w:t>
      </w:r>
      <w:r w:rsidRPr="0000648A">
        <w:rPr>
          <w:rFonts w:asciiTheme="majorBidi" w:hAnsiTheme="majorBidi" w:cstheme="majorBidi"/>
        </w:rPr>
        <w:t xml:space="preserve"> exhibited only a minimal increase from </w:t>
      </w:r>
      <w:r w:rsidRPr="00096202">
        <w:rPr>
          <w:rStyle w:val="Strong"/>
          <w:rFonts w:asciiTheme="majorBidi" w:hAnsiTheme="majorBidi" w:cstheme="majorBidi"/>
          <w:b w:val="0"/>
          <w:bCs w:val="0"/>
        </w:rPr>
        <w:t>3.16 ± 0.48</w:t>
      </w:r>
      <w:r w:rsidRPr="0000648A">
        <w:rPr>
          <w:rFonts w:asciiTheme="majorBidi" w:hAnsiTheme="majorBidi" w:cstheme="majorBidi"/>
        </w:rPr>
        <w:t xml:space="preserve"> to </w:t>
      </w:r>
      <w:r w:rsidRPr="00096202">
        <w:rPr>
          <w:rStyle w:val="Strong"/>
          <w:rFonts w:asciiTheme="majorBidi" w:hAnsiTheme="majorBidi" w:cstheme="majorBidi"/>
          <w:b w:val="0"/>
          <w:bCs w:val="0"/>
        </w:rPr>
        <w:t>3.27 ± 0.50</w:t>
      </w:r>
      <w:r w:rsidRPr="0000648A">
        <w:rPr>
          <w:rFonts w:asciiTheme="majorBidi" w:hAnsiTheme="majorBidi" w:cstheme="majorBidi"/>
        </w:rPr>
        <w:t xml:space="preserve"> (mean difference </w:t>
      </w:r>
      <w:r w:rsidRPr="00096202">
        <w:rPr>
          <w:rStyle w:val="Strong"/>
          <w:rFonts w:asciiTheme="majorBidi" w:hAnsiTheme="majorBidi" w:cstheme="majorBidi"/>
          <w:b w:val="0"/>
          <w:bCs w:val="0"/>
        </w:rPr>
        <w:t>0.11 ± 0.69</w:t>
      </w:r>
      <w:r w:rsidRPr="0000648A">
        <w:rPr>
          <w:rFonts w:asciiTheme="majorBidi" w:hAnsiTheme="majorBidi" w:cstheme="majorBidi"/>
        </w:rPr>
        <w:t xml:space="preserve">), which was </w:t>
      </w:r>
      <w:r w:rsidRPr="00096202">
        <w:rPr>
          <w:rStyle w:val="Strong"/>
          <w:rFonts w:asciiTheme="majorBidi" w:hAnsiTheme="majorBidi" w:cstheme="majorBidi"/>
          <w:b w:val="0"/>
          <w:bCs w:val="0"/>
        </w:rPr>
        <w:t>not statistically significant</w:t>
      </w:r>
      <w:r w:rsidRPr="00096202">
        <w:rPr>
          <w:rFonts w:asciiTheme="majorBidi" w:hAnsiTheme="majorBidi" w:cstheme="majorBidi"/>
          <w:b/>
          <w:bCs/>
        </w:rPr>
        <w:t xml:space="preserve"> (</w:t>
      </w:r>
      <w:r w:rsidRPr="00096202">
        <w:rPr>
          <w:rStyle w:val="Strong"/>
          <w:rFonts w:asciiTheme="majorBidi" w:hAnsiTheme="majorBidi" w:cstheme="majorBidi"/>
          <w:b w:val="0"/>
          <w:bCs w:val="0"/>
        </w:rPr>
        <w:t>p = 0.369</w:t>
      </w:r>
      <w:r w:rsidRPr="0000648A">
        <w:rPr>
          <w:rFonts w:asciiTheme="majorBidi" w:hAnsiTheme="majorBidi" w:cstheme="majorBidi"/>
        </w:rPr>
        <w:t>). O</w:t>
      </w:r>
      <w:r w:rsidR="00096202">
        <w:rPr>
          <w:rFonts w:asciiTheme="majorBidi" w:hAnsiTheme="majorBidi" w:cstheme="majorBidi"/>
        </w:rPr>
        <w:t>verall, these findings indicate that</w:t>
      </w:r>
      <w:r w:rsidRPr="0000648A">
        <w:rPr>
          <w:rFonts w:asciiTheme="majorBidi" w:hAnsiTheme="majorBidi" w:cstheme="majorBidi"/>
        </w:rPr>
        <w:t xml:space="preserve"> the impact remained relatively stable in </w:t>
      </w:r>
      <w:r w:rsidR="00096202">
        <w:rPr>
          <w:rFonts w:asciiTheme="majorBidi" w:hAnsiTheme="majorBidi" w:cstheme="majorBidi"/>
        </w:rPr>
        <w:t>Pharmaceutical care</w:t>
      </w:r>
      <w:r w:rsidRPr="0000648A">
        <w:rPr>
          <w:rFonts w:asciiTheme="majorBidi" w:hAnsiTheme="majorBidi" w:cstheme="majorBidi"/>
        </w:rPr>
        <w:t>.</w:t>
      </w:r>
    </w:p>
    <w:p w:rsidR="0000648A" w:rsidRPr="0000648A" w:rsidRDefault="0000648A" w:rsidP="00412AD2">
      <w:pPr>
        <w:spacing w:after="0" w:line="240" w:lineRule="auto"/>
        <w:rPr>
          <w:rFonts w:asciiTheme="majorBidi" w:hAnsiTheme="majorBidi" w:cstheme="majorBidi"/>
          <w:sz w:val="20"/>
          <w:szCs w:val="18"/>
        </w:rPr>
      </w:pPr>
      <w:r w:rsidRPr="0000648A">
        <w:rPr>
          <w:rFonts w:asciiTheme="majorBidi" w:hAnsiTheme="majorBidi" w:cstheme="majorBidi"/>
          <w:b/>
          <w:bCs/>
          <w:sz w:val="20"/>
          <w:szCs w:val="18"/>
        </w:rPr>
        <w:t xml:space="preserve">Table </w:t>
      </w:r>
      <w:r w:rsidR="00944746">
        <w:rPr>
          <w:rFonts w:asciiTheme="majorBidi" w:hAnsiTheme="majorBidi" w:cstheme="majorBidi"/>
          <w:b/>
          <w:bCs/>
          <w:sz w:val="20"/>
          <w:szCs w:val="18"/>
        </w:rPr>
        <w:t>S5</w:t>
      </w:r>
      <w:r w:rsidRPr="0000648A">
        <w:rPr>
          <w:rFonts w:asciiTheme="majorBidi" w:hAnsiTheme="majorBidi" w:cstheme="majorBidi"/>
          <w:b/>
          <w:bCs/>
          <w:sz w:val="20"/>
          <w:szCs w:val="18"/>
        </w:rPr>
        <w:t xml:space="preserve"> </w:t>
      </w:r>
      <w:r w:rsidRPr="0000648A">
        <w:rPr>
          <w:rFonts w:asciiTheme="majorBidi" w:hAnsiTheme="majorBidi" w:cstheme="majorBidi"/>
          <w:sz w:val="20"/>
          <w:szCs w:val="18"/>
        </w:rPr>
        <w:t xml:space="preserve">SGRQ </w:t>
      </w:r>
      <w:r w:rsidR="00412AD2">
        <w:rPr>
          <w:rFonts w:asciiTheme="majorBidi" w:hAnsiTheme="majorBidi" w:cstheme="majorBidi"/>
          <w:sz w:val="20"/>
          <w:szCs w:val="18"/>
        </w:rPr>
        <w:t>impact</w:t>
      </w:r>
      <w:r w:rsidRPr="0000648A">
        <w:rPr>
          <w:rFonts w:asciiTheme="majorBidi" w:hAnsiTheme="majorBidi" w:cstheme="majorBidi"/>
          <w:sz w:val="20"/>
          <w:szCs w:val="18"/>
        </w:rPr>
        <w:t xml:space="preserve"> scores among the groups.</w:t>
      </w:r>
    </w:p>
    <w:tbl>
      <w:tblPr>
        <w:tblW w:w="8460" w:type="dxa"/>
        <w:tblInd w:w="108" w:type="dxa"/>
        <w:tblCellMar>
          <w:left w:w="0" w:type="dxa"/>
          <w:right w:w="0" w:type="dxa"/>
        </w:tblCellMar>
        <w:tblLook w:val="04A0" w:firstRow="1" w:lastRow="0" w:firstColumn="1" w:lastColumn="0" w:noHBand="0" w:noVBand="1"/>
      </w:tblPr>
      <w:tblGrid>
        <w:gridCol w:w="1561"/>
        <w:gridCol w:w="1663"/>
        <w:gridCol w:w="1685"/>
        <w:gridCol w:w="1540"/>
        <w:gridCol w:w="1017"/>
        <w:gridCol w:w="994"/>
      </w:tblGrid>
      <w:tr w:rsidR="0000648A" w:rsidRPr="0000648A" w:rsidTr="00412AD2">
        <w:trPr>
          <w:trHeight w:val="649"/>
        </w:trPr>
        <w:tc>
          <w:tcPr>
            <w:tcW w:w="156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rPr>
                <w:rFonts w:asciiTheme="majorBidi" w:hAnsiTheme="majorBidi" w:cstheme="majorBidi"/>
                <w:sz w:val="20"/>
                <w:szCs w:val="20"/>
              </w:rPr>
            </w:pPr>
            <w:r w:rsidRPr="0000648A">
              <w:rPr>
                <w:rFonts w:asciiTheme="majorBidi" w:hAnsiTheme="majorBidi" w:cstheme="majorBidi"/>
                <w:b/>
                <w:bCs/>
                <w:sz w:val="20"/>
                <w:szCs w:val="20"/>
              </w:rPr>
              <w:lastRenderedPageBreak/>
              <w:t>Comparison</w:t>
            </w:r>
          </w:p>
        </w:tc>
        <w:tc>
          <w:tcPr>
            <w:tcW w:w="1663"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rPr>
                <w:rFonts w:asciiTheme="majorBidi" w:hAnsiTheme="majorBidi" w:cstheme="majorBidi"/>
                <w:sz w:val="20"/>
                <w:szCs w:val="20"/>
              </w:rPr>
            </w:pPr>
            <w:r w:rsidRPr="0000648A">
              <w:rPr>
                <w:rFonts w:asciiTheme="majorBidi" w:hAnsiTheme="majorBidi" w:cstheme="majorBidi"/>
                <w:b/>
                <w:bCs/>
                <w:sz w:val="20"/>
                <w:szCs w:val="20"/>
              </w:rPr>
              <w:t>Pre intervention score (Mean ± SD)</w:t>
            </w:r>
          </w:p>
        </w:tc>
        <w:tc>
          <w:tcPr>
            <w:tcW w:w="1685"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rPr>
                <w:rFonts w:asciiTheme="majorBidi" w:hAnsiTheme="majorBidi" w:cstheme="majorBidi"/>
                <w:sz w:val="20"/>
                <w:szCs w:val="20"/>
              </w:rPr>
            </w:pPr>
            <w:r w:rsidRPr="0000648A">
              <w:rPr>
                <w:rFonts w:asciiTheme="majorBidi" w:hAnsiTheme="majorBidi" w:cstheme="majorBidi"/>
                <w:b/>
                <w:bCs/>
                <w:sz w:val="20"/>
                <w:szCs w:val="20"/>
              </w:rPr>
              <w:t>Post intervention score (Mean ± SD)</w:t>
            </w:r>
          </w:p>
        </w:tc>
        <w:tc>
          <w:tcPr>
            <w:tcW w:w="15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rPr>
                <w:rFonts w:asciiTheme="majorBidi" w:hAnsiTheme="majorBidi" w:cstheme="majorBidi"/>
                <w:sz w:val="20"/>
                <w:szCs w:val="20"/>
              </w:rPr>
            </w:pPr>
            <w:r w:rsidRPr="0000648A">
              <w:rPr>
                <w:rFonts w:asciiTheme="majorBidi" w:hAnsiTheme="majorBidi" w:cstheme="majorBidi"/>
                <w:b/>
                <w:bCs/>
                <w:sz w:val="20"/>
                <w:szCs w:val="20"/>
              </w:rPr>
              <w:t>Difference in (Mean ± SD)</w:t>
            </w:r>
          </w:p>
        </w:tc>
        <w:tc>
          <w:tcPr>
            <w:tcW w:w="1017"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rPr>
                <w:rFonts w:asciiTheme="majorBidi" w:hAnsiTheme="majorBidi" w:cstheme="majorBidi"/>
                <w:sz w:val="20"/>
                <w:szCs w:val="20"/>
              </w:rPr>
            </w:pPr>
            <w:r w:rsidRPr="0000648A">
              <w:rPr>
                <w:rFonts w:asciiTheme="majorBidi" w:hAnsiTheme="majorBidi" w:cstheme="majorBidi"/>
                <w:b/>
                <w:bCs/>
                <w:sz w:val="20"/>
                <w:szCs w:val="20"/>
              </w:rPr>
              <w:t>Standard Error</w:t>
            </w:r>
          </w:p>
        </w:tc>
        <w:tc>
          <w:tcPr>
            <w:tcW w:w="994"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00648A" w:rsidRPr="0000648A" w:rsidRDefault="0000648A" w:rsidP="001244DE">
            <w:pPr>
              <w:rPr>
                <w:rFonts w:asciiTheme="majorBidi" w:hAnsiTheme="majorBidi" w:cstheme="majorBidi"/>
                <w:sz w:val="20"/>
                <w:szCs w:val="20"/>
              </w:rPr>
            </w:pPr>
            <w:r w:rsidRPr="0000648A">
              <w:rPr>
                <w:rFonts w:asciiTheme="majorBidi" w:hAnsiTheme="majorBidi" w:cstheme="majorBidi"/>
                <w:b/>
                <w:bCs/>
                <w:sz w:val="20"/>
                <w:szCs w:val="20"/>
              </w:rPr>
              <w:t>P-value</w:t>
            </w:r>
          </w:p>
        </w:tc>
      </w:tr>
      <w:tr w:rsidR="00412AD2" w:rsidRPr="0000648A" w:rsidTr="00412AD2">
        <w:trPr>
          <w:trHeight w:val="334"/>
        </w:trPr>
        <w:tc>
          <w:tcPr>
            <w:tcW w:w="156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CF1762">
            <w:pPr>
              <w:spacing w:after="0" w:line="240" w:lineRule="auto"/>
              <w:rPr>
                <w:rFonts w:asciiTheme="majorBidi" w:hAnsiTheme="majorBidi" w:cstheme="majorBidi"/>
                <w:sz w:val="20"/>
                <w:szCs w:val="18"/>
              </w:rPr>
            </w:pPr>
            <w:bookmarkStart w:id="0" w:name="_GoBack" w:colFirst="0" w:colLast="0"/>
            <w:r>
              <w:rPr>
                <w:rFonts w:asciiTheme="majorBidi" w:hAnsiTheme="majorBidi" w:cstheme="majorBidi"/>
                <w:b/>
                <w:bCs/>
                <w:sz w:val="20"/>
                <w:szCs w:val="18"/>
              </w:rPr>
              <w:t>Arm 0</w:t>
            </w:r>
          </w:p>
        </w:tc>
        <w:tc>
          <w:tcPr>
            <w:tcW w:w="1663"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3.22 ± 0.75</w:t>
            </w:r>
          </w:p>
        </w:tc>
        <w:tc>
          <w:tcPr>
            <w:tcW w:w="1685"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5.26 ± 1.22</w:t>
            </w:r>
          </w:p>
        </w:tc>
        <w:tc>
          <w:tcPr>
            <w:tcW w:w="15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2.04 ± 1.43</w:t>
            </w:r>
          </w:p>
        </w:tc>
        <w:tc>
          <w:tcPr>
            <w:tcW w:w="1017"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0.25</w:t>
            </w:r>
          </w:p>
        </w:tc>
        <w:tc>
          <w:tcPr>
            <w:tcW w:w="994"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&lt; 0.001</w:t>
            </w:r>
          </w:p>
        </w:tc>
      </w:tr>
      <w:tr w:rsidR="00412AD2" w:rsidRPr="0000648A" w:rsidTr="00412AD2">
        <w:trPr>
          <w:trHeight w:val="334"/>
        </w:trPr>
        <w:tc>
          <w:tcPr>
            <w:tcW w:w="156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CF1762">
            <w:pPr>
              <w:spacing w:after="0" w:line="240" w:lineRule="auto"/>
              <w:rPr>
                <w:rFonts w:asciiTheme="majorBidi" w:hAnsiTheme="majorBidi" w:cstheme="majorBidi"/>
                <w:sz w:val="20"/>
                <w:szCs w:val="18"/>
              </w:rPr>
            </w:pPr>
            <w:r>
              <w:rPr>
                <w:rFonts w:asciiTheme="majorBidi" w:hAnsiTheme="majorBidi" w:cstheme="majorBidi"/>
                <w:b/>
                <w:bCs/>
                <w:sz w:val="20"/>
                <w:szCs w:val="18"/>
              </w:rPr>
              <w:t>Arm 1</w:t>
            </w:r>
          </w:p>
        </w:tc>
        <w:tc>
          <w:tcPr>
            <w:tcW w:w="1663"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2.70 ± 0.07</w:t>
            </w:r>
          </w:p>
        </w:tc>
        <w:tc>
          <w:tcPr>
            <w:tcW w:w="1685"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3.31 ± 0.08</w:t>
            </w:r>
          </w:p>
        </w:tc>
        <w:tc>
          <w:tcPr>
            <w:tcW w:w="15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0.61 ± 0.11</w:t>
            </w:r>
          </w:p>
        </w:tc>
        <w:tc>
          <w:tcPr>
            <w:tcW w:w="1017"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0.02</w:t>
            </w:r>
          </w:p>
        </w:tc>
        <w:tc>
          <w:tcPr>
            <w:tcW w:w="994"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&lt; 0.001</w:t>
            </w:r>
          </w:p>
        </w:tc>
      </w:tr>
      <w:tr w:rsidR="00412AD2" w:rsidRPr="0000648A" w:rsidTr="00412AD2">
        <w:trPr>
          <w:trHeight w:val="433"/>
        </w:trPr>
        <w:tc>
          <w:tcPr>
            <w:tcW w:w="1561"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CF1762">
            <w:pPr>
              <w:spacing w:after="0" w:line="240" w:lineRule="auto"/>
              <w:rPr>
                <w:rFonts w:asciiTheme="majorBidi" w:hAnsiTheme="majorBidi" w:cstheme="majorBidi"/>
                <w:sz w:val="20"/>
                <w:szCs w:val="18"/>
              </w:rPr>
            </w:pPr>
            <w:r>
              <w:rPr>
                <w:rFonts w:asciiTheme="majorBidi" w:hAnsiTheme="majorBidi" w:cstheme="majorBidi"/>
                <w:b/>
                <w:bCs/>
                <w:sz w:val="20"/>
                <w:szCs w:val="18"/>
              </w:rPr>
              <w:t xml:space="preserve">Arm 2 </w:t>
            </w:r>
          </w:p>
        </w:tc>
        <w:tc>
          <w:tcPr>
            <w:tcW w:w="1663"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3.16 ± 0.48</w:t>
            </w:r>
          </w:p>
        </w:tc>
        <w:tc>
          <w:tcPr>
            <w:tcW w:w="1685"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3.27 ± 0.50</w:t>
            </w:r>
          </w:p>
        </w:tc>
        <w:tc>
          <w:tcPr>
            <w:tcW w:w="15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0.11 ± 0.69</w:t>
            </w:r>
          </w:p>
        </w:tc>
        <w:tc>
          <w:tcPr>
            <w:tcW w:w="1017"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0.12</w:t>
            </w:r>
          </w:p>
        </w:tc>
        <w:tc>
          <w:tcPr>
            <w:tcW w:w="994"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vAlign w:val="center"/>
            <w:hideMark/>
          </w:tcPr>
          <w:p w:rsidR="00412AD2" w:rsidRPr="0000648A" w:rsidRDefault="00412AD2" w:rsidP="001244DE">
            <w:pPr>
              <w:rPr>
                <w:rFonts w:asciiTheme="majorBidi" w:hAnsiTheme="majorBidi" w:cstheme="majorBidi"/>
                <w:sz w:val="20"/>
                <w:szCs w:val="20"/>
              </w:rPr>
            </w:pPr>
            <w:r w:rsidRPr="0000648A">
              <w:rPr>
                <w:rFonts w:asciiTheme="majorBidi" w:hAnsiTheme="majorBidi" w:cstheme="majorBidi"/>
                <w:sz w:val="20"/>
                <w:szCs w:val="20"/>
              </w:rPr>
              <w:t>0.369</w:t>
            </w:r>
          </w:p>
        </w:tc>
      </w:tr>
    </w:tbl>
    <w:bookmarkEnd w:id="0"/>
    <w:p w:rsidR="0000648A" w:rsidRPr="0000648A" w:rsidRDefault="0000648A" w:rsidP="00412AD2">
      <w:pPr>
        <w:spacing w:line="240" w:lineRule="auto"/>
        <w:rPr>
          <w:rFonts w:asciiTheme="majorBidi" w:hAnsiTheme="majorBidi" w:cstheme="majorBidi"/>
        </w:rPr>
      </w:pPr>
      <w:r w:rsidRPr="0000648A">
        <w:rPr>
          <w:rFonts w:asciiTheme="majorBidi" w:hAnsiTheme="majorBidi" w:cstheme="majorBidi"/>
          <w:b/>
          <w:bCs/>
          <w:sz w:val="20"/>
          <w:szCs w:val="20"/>
        </w:rPr>
        <w:t xml:space="preserve">Note: </w:t>
      </w:r>
      <w:r w:rsidR="00412AD2">
        <w:rPr>
          <w:rFonts w:asciiTheme="majorBidi" w:hAnsiTheme="majorBidi" w:cstheme="majorBidi"/>
        </w:rPr>
        <w:t>Impact</w:t>
      </w:r>
      <w:r w:rsidR="00412AD2" w:rsidRPr="00AA67F3">
        <w:rPr>
          <w:rFonts w:asciiTheme="majorBidi" w:hAnsiTheme="majorBidi" w:cstheme="majorBidi"/>
        </w:rPr>
        <w:t xml:space="preserve"> scores from pre-intervention to post-intervention within each group were tested using the paired samples t-test.”</w:t>
      </w:r>
    </w:p>
    <w:p w:rsidR="0000648A" w:rsidRPr="0000648A" w:rsidRDefault="0000648A" w:rsidP="007F1A33">
      <w:pPr>
        <w:spacing w:line="360" w:lineRule="auto"/>
        <w:jc w:val="both"/>
        <w:rPr>
          <w:rFonts w:asciiTheme="majorBidi" w:hAnsiTheme="majorBidi" w:cstheme="majorBidi"/>
        </w:rPr>
      </w:pPr>
    </w:p>
    <w:sectPr w:rsidR="0000648A" w:rsidRPr="0000648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648A"/>
    <w:rsid w:val="00034616"/>
    <w:rsid w:val="0006063C"/>
    <w:rsid w:val="00096202"/>
    <w:rsid w:val="000C240F"/>
    <w:rsid w:val="0015074B"/>
    <w:rsid w:val="0029639D"/>
    <w:rsid w:val="002F0BC8"/>
    <w:rsid w:val="00326F90"/>
    <w:rsid w:val="00412AD2"/>
    <w:rsid w:val="004A3B9C"/>
    <w:rsid w:val="007403D7"/>
    <w:rsid w:val="007F1A33"/>
    <w:rsid w:val="00944746"/>
    <w:rsid w:val="00A40701"/>
    <w:rsid w:val="00AA1D8D"/>
    <w:rsid w:val="00AA292B"/>
    <w:rsid w:val="00AA67F3"/>
    <w:rsid w:val="00B178FC"/>
    <w:rsid w:val="00B47730"/>
    <w:rsid w:val="00CB0664"/>
    <w:rsid w:val="00E20B89"/>
    <w:rsid w:val="00F44D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407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07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407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07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04678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EF366-5CB3-4B35-A82F-8924D7001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7439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MyUserName</cp:lastModifiedBy>
  <cp:revision>7</cp:revision>
  <dcterms:created xsi:type="dcterms:W3CDTF">2026-03-14T06:34:00Z</dcterms:created>
  <dcterms:modified xsi:type="dcterms:W3CDTF">2026-05-09T05:54:00Z</dcterms:modified>
</cp:coreProperties>
</file>