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E701C" w14:textId="0E939EE4" w:rsidR="00BF79E8" w:rsidRDefault="6102F4CF" w:rsidP="2E72E86E">
      <w:pPr>
        <w:jc w:val="center"/>
        <w:rPr>
          <w:b/>
          <w:bCs/>
        </w:rPr>
      </w:pPr>
      <w:r w:rsidRPr="2E72E86E">
        <w:rPr>
          <w:rFonts w:ascii="Calibri" w:eastAsia="Calibri" w:hAnsi="Calibri" w:cs="Calibri"/>
          <w:color w:val="000000" w:themeColor="text1"/>
          <w:sz w:val="34"/>
          <w:szCs w:val="34"/>
        </w:rPr>
        <w:t>Why are Rural Hospitals Closing in the U.S.</w:t>
      </w:r>
      <w:proofErr w:type="gramStart"/>
      <w:r w:rsidRPr="2E72E86E">
        <w:rPr>
          <w:rFonts w:ascii="Calibri" w:eastAsia="Calibri" w:hAnsi="Calibri" w:cs="Calibri"/>
          <w:color w:val="000000" w:themeColor="text1"/>
          <w:sz w:val="34"/>
          <w:szCs w:val="34"/>
        </w:rPr>
        <w:t>?:</w:t>
      </w:r>
      <w:proofErr w:type="gramEnd"/>
      <w:r w:rsidRPr="2E72E86E">
        <w:rPr>
          <w:rFonts w:ascii="Calibri" w:eastAsia="Calibri" w:hAnsi="Calibri" w:cs="Calibri"/>
          <w:color w:val="000000" w:themeColor="text1"/>
          <w:sz w:val="34"/>
          <w:szCs w:val="34"/>
        </w:rPr>
        <w:t xml:space="preserve"> Predictors Identified using Explainable Machine Learning</w:t>
      </w:r>
      <w:r w:rsidRPr="2E72E86E">
        <w:rPr>
          <w:rFonts w:ascii="Calibri" w:eastAsia="Calibri" w:hAnsi="Calibri" w:cs="Calibri"/>
        </w:rPr>
        <w:t xml:space="preserve"> </w:t>
      </w:r>
    </w:p>
    <w:p w14:paraId="6020616B" w14:textId="4A124CC1" w:rsidR="00BF79E8" w:rsidRDefault="00BF79E8" w:rsidP="2E72E86E">
      <w:pPr>
        <w:rPr>
          <w:b/>
          <w:bCs/>
        </w:rPr>
      </w:pPr>
    </w:p>
    <w:p w14:paraId="42E7390E" w14:textId="7F064D08" w:rsidR="00BF79E8" w:rsidRDefault="145BA9A2" w:rsidP="2E72E86E">
      <w:pPr>
        <w:rPr>
          <w:b/>
          <w:bCs/>
        </w:rPr>
      </w:pPr>
      <w:r w:rsidRPr="2E72E86E">
        <w:rPr>
          <w:b/>
          <w:bCs/>
        </w:rPr>
        <w:t>Cost reports variables</w:t>
      </w:r>
    </w:p>
    <w:tbl>
      <w:tblPr>
        <w:tblW w:w="9350" w:type="dxa"/>
        <w:tblLook w:val="04A0" w:firstRow="1" w:lastRow="0" w:firstColumn="1" w:lastColumn="0" w:noHBand="0" w:noVBand="1"/>
      </w:tblPr>
      <w:tblGrid>
        <w:gridCol w:w="4674"/>
        <w:gridCol w:w="4676"/>
      </w:tblGrid>
      <w:tr w:rsidR="00BF79E8" w:rsidRPr="00BF79E8" w14:paraId="0CD36A4E" w14:textId="77777777" w:rsidTr="2B3D61D0">
        <w:trPr>
          <w:trHeight w:val="288"/>
        </w:trPr>
        <w:tc>
          <w:tcPr>
            <w:tcW w:w="46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37C6A" w14:textId="77777777" w:rsidR="00BF79E8" w:rsidRPr="00BF79E8" w:rsidRDefault="6B7A3F20" w:rsidP="2B3D61D0">
            <w:pPr>
              <w:spacing w:after="0" w:line="240" w:lineRule="auto"/>
              <w:rPr>
                <w:rFonts w:ascii="Times New Roman" w:eastAsia="Times New Roman" w:hAnsi="Times New Roman" w:cs="Times New Roman"/>
                <w:b/>
                <w:bCs/>
              </w:rPr>
            </w:pPr>
            <w:r w:rsidRPr="2B3D61D0">
              <w:rPr>
                <w:rFonts w:ascii="Times New Roman" w:eastAsia="Times New Roman" w:hAnsi="Times New Roman" w:cs="Times New Roman"/>
                <w:b/>
                <w:bCs/>
              </w:rPr>
              <w:t>Features</w:t>
            </w:r>
          </w:p>
        </w:tc>
        <w:tc>
          <w:tcPr>
            <w:tcW w:w="4676" w:type="dxa"/>
            <w:tcBorders>
              <w:top w:val="single" w:sz="4" w:space="0" w:color="auto"/>
              <w:left w:val="nil"/>
              <w:bottom w:val="single" w:sz="4" w:space="0" w:color="auto"/>
              <w:right w:val="single" w:sz="4" w:space="0" w:color="auto"/>
            </w:tcBorders>
            <w:shd w:val="clear" w:color="auto" w:fill="auto"/>
            <w:vAlign w:val="center"/>
            <w:hideMark/>
          </w:tcPr>
          <w:p w14:paraId="1734D25A" w14:textId="77777777" w:rsidR="00BF79E8" w:rsidRPr="00BF79E8" w:rsidRDefault="6B7A3F20" w:rsidP="2B3D61D0">
            <w:pPr>
              <w:spacing w:after="0" w:line="240" w:lineRule="auto"/>
              <w:rPr>
                <w:rFonts w:ascii="Times New Roman" w:eastAsia="Times New Roman" w:hAnsi="Times New Roman" w:cs="Times New Roman"/>
                <w:b/>
                <w:bCs/>
              </w:rPr>
            </w:pPr>
            <w:r w:rsidRPr="2B3D61D0">
              <w:rPr>
                <w:rFonts w:ascii="Times New Roman" w:eastAsia="Times New Roman" w:hAnsi="Times New Roman" w:cs="Times New Roman"/>
                <w:b/>
                <w:bCs/>
              </w:rPr>
              <w:t>Data Description</w:t>
            </w:r>
          </w:p>
        </w:tc>
      </w:tr>
      <w:tr w:rsidR="00BF79E8" w:rsidRPr="00BF79E8" w14:paraId="2413862E"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4E221F61"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Provider CCN</w:t>
            </w:r>
          </w:p>
        </w:tc>
        <w:tc>
          <w:tcPr>
            <w:tcW w:w="4676" w:type="dxa"/>
            <w:tcBorders>
              <w:top w:val="nil"/>
              <w:left w:val="nil"/>
              <w:bottom w:val="single" w:sz="4" w:space="0" w:color="auto"/>
              <w:right w:val="single" w:sz="4" w:space="0" w:color="auto"/>
            </w:tcBorders>
            <w:shd w:val="clear" w:color="auto" w:fill="auto"/>
            <w:vAlign w:val="center"/>
            <w:hideMark/>
          </w:tcPr>
          <w:p w14:paraId="788E9573"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CMS certification number</w:t>
            </w:r>
          </w:p>
        </w:tc>
      </w:tr>
      <w:tr w:rsidR="00BF79E8" w:rsidRPr="00BF79E8" w14:paraId="76BABCBF"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FE31F12" w14:textId="1F536C45" w:rsidR="00BF79E8" w:rsidRPr="00BF79E8" w:rsidRDefault="0C092573"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Rural–Urban </w:t>
            </w:r>
            <w:r w:rsidR="13F9F3CA" w:rsidRPr="2B3D61D0">
              <w:rPr>
                <w:rFonts w:ascii="Times New Roman" w:eastAsia="Times New Roman" w:hAnsi="Times New Roman" w:cs="Times New Roman"/>
              </w:rPr>
              <w:t>s</w:t>
            </w:r>
            <w:r w:rsidRPr="2B3D61D0">
              <w:rPr>
                <w:rFonts w:ascii="Times New Roman" w:eastAsia="Times New Roman" w:hAnsi="Times New Roman" w:cs="Times New Roman"/>
              </w:rPr>
              <w:t>tatus (Mode)</w:t>
            </w:r>
          </w:p>
        </w:tc>
        <w:tc>
          <w:tcPr>
            <w:tcW w:w="4676" w:type="dxa"/>
            <w:tcBorders>
              <w:top w:val="nil"/>
              <w:left w:val="nil"/>
              <w:bottom w:val="single" w:sz="4" w:space="0" w:color="auto"/>
              <w:right w:val="single" w:sz="4" w:space="0" w:color="auto"/>
            </w:tcBorders>
            <w:shd w:val="clear" w:color="auto" w:fill="auto"/>
            <w:vAlign w:val="center"/>
            <w:hideMark/>
          </w:tcPr>
          <w:p w14:paraId="66477B14" w14:textId="375DF139" w:rsidR="00BF79E8" w:rsidRPr="00BF79E8" w:rsidRDefault="4F5DB1C1"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Most frequently reported rural–urban classification across all cost-reporting years for each hospital</w:t>
            </w:r>
            <w:r w:rsidR="6B7A3F20" w:rsidRPr="2B3D61D0">
              <w:rPr>
                <w:rFonts w:ascii="Times New Roman" w:eastAsia="Times New Roman" w:hAnsi="Times New Roman" w:cs="Times New Roman"/>
              </w:rPr>
              <w:t xml:space="preserve">, Encoded </w:t>
            </w:r>
            <w:r w:rsidR="3B1327F3" w:rsidRPr="2B3D61D0">
              <w:rPr>
                <w:rFonts w:ascii="Times New Roman" w:eastAsia="Times New Roman" w:hAnsi="Times New Roman" w:cs="Times New Roman"/>
              </w:rPr>
              <w:t>as:</w:t>
            </w:r>
            <w:r w:rsidR="6B7A3F20" w:rsidRPr="2B3D61D0">
              <w:rPr>
                <w:rFonts w:ascii="Times New Roman" w:eastAsia="Times New Roman" w:hAnsi="Times New Roman" w:cs="Times New Roman"/>
              </w:rPr>
              <w:t xml:space="preserve"> 0 = Rural, 1 = Urban</w:t>
            </w:r>
          </w:p>
        </w:tc>
      </w:tr>
      <w:tr w:rsidR="00BF79E8" w:rsidRPr="00BF79E8" w14:paraId="19E41CDC" w14:textId="77777777" w:rsidTr="2B3D61D0">
        <w:trPr>
          <w:trHeight w:val="1440"/>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9B85548" w14:textId="06DD3C00" w:rsidR="00BF79E8" w:rsidRPr="00BF79E8" w:rsidRDefault="2E2FD2A2"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Provider </w:t>
            </w:r>
            <w:r w:rsidR="44ADC895" w:rsidRPr="2B3D61D0">
              <w:rPr>
                <w:rFonts w:ascii="Times New Roman" w:eastAsia="Times New Roman" w:hAnsi="Times New Roman" w:cs="Times New Roman"/>
              </w:rPr>
              <w:t>t</w:t>
            </w:r>
            <w:r w:rsidRPr="2B3D61D0">
              <w:rPr>
                <w:rFonts w:ascii="Times New Roman" w:eastAsia="Times New Roman" w:hAnsi="Times New Roman" w:cs="Times New Roman"/>
              </w:rPr>
              <w:t>ype (Mode)</w:t>
            </w:r>
          </w:p>
        </w:tc>
        <w:tc>
          <w:tcPr>
            <w:tcW w:w="4676" w:type="dxa"/>
            <w:tcBorders>
              <w:top w:val="nil"/>
              <w:left w:val="nil"/>
              <w:bottom w:val="single" w:sz="4" w:space="0" w:color="auto"/>
              <w:right w:val="single" w:sz="4" w:space="0" w:color="auto"/>
            </w:tcBorders>
            <w:shd w:val="clear" w:color="auto" w:fill="auto"/>
            <w:vAlign w:val="center"/>
            <w:hideMark/>
          </w:tcPr>
          <w:p w14:paraId="69A6C58E" w14:textId="1CF5EA0B" w:rsidR="00BF79E8" w:rsidRPr="00BF79E8" w:rsidRDefault="540C572D"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Most frequently reported provider type (i.e., type of hospital or healthcare facility based on services provided) across all cost-reporting years for a given hospital.</w:t>
            </w:r>
            <w:r w:rsidR="6B7A3F20" w:rsidRPr="2B3D61D0">
              <w:rPr>
                <w:rFonts w:ascii="Times New Roman" w:eastAsia="Times New Roman" w:hAnsi="Times New Roman" w:cs="Times New Roman"/>
              </w:rPr>
              <w:t xml:space="preserve"> Encoded </w:t>
            </w:r>
            <w:proofErr w:type="gramStart"/>
            <w:r w:rsidR="6B7A3F20" w:rsidRPr="2B3D61D0">
              <w:rPr>
                <w:rFonts w:ascii="Times New Roman" w:eastAsia="Times New Roman" w:hAnsi="Times New Roman" w:cs="Times New Roman"/>
              </w:rPr>
              <w:t>as :1</w:t>
            </w:r>
            <w:proofErr w:type="gramEnd"/>
            <w:r w:rsidR="6B7A3F20" w:rsidRPr="2B3D61D0">
              <w:rPr>
                <w:rFonts w:ascii="Times New Roman" w:eastAsia="Times New Roman" w:hAnsi="Times New Roman" w:cs="Times New Roman"/>
              </w:rPr>
              <w:t xml:space="preserve"> = General Short Term (includes CAHs), 2 = General Long Term, 3 = Cancer, 4 = Psychiatric, 5 = Rehabilitation, 6 = Religious Non‐Medical Health Care Institution, 7 = Children, 8 = Reserved for Future Use, 9 = Other, 10 = Extended Neoplastic Disease Care, 11 = Indian Health Services, and 12 = Rural Emergency Hospital.</w:t>
            </w:r>
          </w:p>
        </w:tc>
      </w:tr>
      <w:tr w:rsidR="00BF79E8" w:rsidRPr="00BF79E8" w14:paraId="396B6256"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105CB0B" w14:textId="49176A22" w:rsidR="00BF79E8" w:rsidRPr="00BF79E8" w:rsidRDefault="1ED84591"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Critical </w:t>
            </w:r>
            <w:r w:rsidR="039CAB18" w:rsidRPr="2B3D61D0">
              <w:rPr>
                <w:rFonts w:ascii="Times New Roman" w:eastAsia="Times New Roman" w:hAnsi="Times New Roman" w:cs="Times New Roman"/>
              </w:rPr>
              <w:t>a</w:t>
            </w:r>
            <w:r w:rsidRPr="2B3D61D0">
              <w:rPr>
                <w:rFonts w:ascii="Times New Roman" w:eastAsia="Times New Roman" w:hAnsi="Times New Roman" w:cs="Times New Roman"/>
              </w:rPr>
              <w:t xml:space="preserve">ccess </w:t>
            </w:r>
            <w:r w:rsidR="5F29D13C" w:rsidRPr="2B3D61D0">
              <w:rPr>
                <w:rFonts w:ascii="Times New Roman" w:eastAsia="Times New Roman" w:hAnsi="Times New Roman" w:cs="Times New Roman"/>
              </w:rPr>
              <w:t>h</w:t>
            </w:r>
            <w:r w:rsidRPr="2B3D61D0">
              <w:rPr>
                <w:rFonts w:ascii="Times New Roman" w:eastAsia="Times New Roman" w:hAnsi="Times New Roman" w:cs="Times New Roman"/>
              </w:rPr>
              <w:t xml:space="preserve">ospital (CAH) </w:t>
            </w:r>
            <w:r w:rsidR="096F46F2" w:rsidRPr="2B3D61D0">
              <w:rPr>
                <w:rFonts w:ascii="Times New Roman" w:eastAsia="Times New Roman" w:hAnsi="Times New Roman" w:cs="Times New Roman"/>
              </w:rPr>
              <w:t>s</w:t>
            </w:r>
            <w:r w:rsidRPr="2B3D61D0">
              <w:rPr>
                <w:rFonts w:ascii="Times New Roman" w:eastAsia="Times New Roman" w:hAnsi="Times New Roman" w:cs="Times New Roman"/>
              </w:rPr>
              <w:t>tatus (Mode)</w:t>
            </w:r>
          </w:p>
        </w:tc>
        <w:tc>
          <w:tcPr>
            <w:tcW w:w="4676" w:type="dxa"/>
            <w:tcBorders>
              <w:top w:val="nil"/>
              <w:left w:val="nil"/>
              <w:bottom w:val="single" w:sz="4" w:space="0" w:color="auto"/>
              <w:right w:val="single" w:sz="4" w:space="0" w:color="auto"/>
            </w:tcBorders>
            <w:shd w:val="clear" w:color="auto" w:fill="auto"/>
            <w:vAlign w:val="center"/>
            <w:hideMark/>
          </w:tcPr>
          <w:p w14:paraId="389F6569" w14:textId="195ABBFF" w:rsidR="00BF79E8" w:rsidRPr="00BF79E8" w:rsidRDefault="4872F82C"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Most frequently reported Critical Access Hospital (CAH) designation across all reporting years for each hospital, indicating whether the hospital </w:t>
            </w:r>
            <w:proofErr w:type="gramStart"/>
            <w:r w:rsidRPr="2B3D61D0">
              <w:rPr>
                <w:rFonts w:ascii="Times New Roman" w:eastAsia="Times New Roman" w:hAnsi="Times New Roman" w:cs="Times New Roman"/>
              </w:rPr>
              <w:t>is classified</w:t>
            </w:r>
            <w:proofErr w:type="gramEnd"/>
            <w:r w:rsidRPr="2B3D61D0">
              <w:rPr>
                <w:rFonts w:ascii="Times New Roman" w:eastAsia="Times New Roman" w:hAnsi="Times New Roman" w:cs="Times New Roman"/>
              </w:rPr>
              <w:t xml:space="preserve"> as a CAH.</w:t>
            </w:r>
            <w:r w:rsidR="6B7A3F20" w:rsidRPr="2B3D61D0">
              <w:rPr>
                <w:rFonts w:ascii="Times New Roman" w:eastAsia="Times New Roman" w:hAnsi="Times New Roman" w:cs="Times New Roman"/>
              </w:rPr>
              <w:t xml:space="preserve"> Encoded as: 1 = CAH, 0 = </w:t>
            </w:r>
            <w:r w:rsidR="6EB62178" w:rsidRPr="2B3D61D0">
              <w:rPr>
                <w:rFonts w:ascii="Times New Roman" w:eastAsia="Times New Roman" w:hAnsi="Times New Roman" w:cs="Times New Roman"/>
              </w:rPr>
              <w:t>non-CAH</w:t>
            </w:r>
          </w:p>
        </w:tc>
      </w:tr>
      <w:tr w:rsidR="00BF79E8" w:rsidRPr="00BF79E8" w14:paraId="1D736871" w14:textId="77777777" w:rsidTr="2B3D61D0">
        <w:trPr>
          <w:trHeight w:val="1440"/>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54C8B41E" w14:textId="2B7B7B85" w:rsidR="00BF79E8" w:rsidRPr="00BF79E8" w:rsidRDefault="65940FA1"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Type of control (mode)</w:t>
            </w:r>
          </w:p>
        </w:tc>
        <w:tc>
          <w:tcPr>
            <w:tcW w:w="4676" w:type="dxa"/>
            <w:tcBorders>
              <w:top w:val="nil"/>
              <w:left w:val="nil"/>
              <w:bottom w:val="single" w:sz="4" w:space="0" w:color="auto"/>
              <w:right w:val="single" w:sz="4" w:space="0" w:color="auto"/>
            </w:tcBorders>
            <w:shd w:val="clear" w:color="auto" w:fill="auto"/>
            <w:vAlign w:val="center"/>
            <w:hideMark/>
          </w:tcPr>
          <w:p w14:paraId="5A37C732" w14:textId="0F626373" w:rsidR="00BF79E8" w:rsidRPr="00BF79E8" w:rsidRDefault="65940FA1"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Most frequently reported ownership/control type across all reporting years for each hospital.</w:t>
            </w:r>
            <w:r w:rsidR="6B7A3F20" w:rsidRPr="2B3D61D0">
              <w:rPr>
                <w:rFonts w:ascii="Times New Roman" w:eastAsia="Times New Roman" w:hAnsi="Times New Roman" w:cs="Times New Roman"/>
              </w:rPr>
              <w:t xml:space="preserve"> Encoded </w:t>
            </w:r>
            <w:proofErr w:type="gramStart"/>
            <w:r w:rsidR="6B7A3F20" w:rsidRPr="2B3D61D0">
              <w:rPr>
                <w:rFonts w:ascii="Times New Roman" w:eastAsia="Times New Roman" w:hAnsi="Times New Roman" w:cs="Times New Roman"/>
              </w:rPr>
              <w:t>as :1</w:t>
            </w:r>
            <w:proofErr w:type="gramEnd"/>
            <w:r w:rsidR="6B7A3F20" w:rsidRPr="2B3D61D0">
              <w:rPr>
                <w:rFonts w:ascii="Times New Roman" w:eastAsia="Times New Roman" w:hAnsi="Times New Roman" w:cs="Times New Roman"/>
              </w:rPr>
              <w:t>= Voluntary Non‐Profit‐Church, 2 = Voluntary Non‐Profit‐Other, 3 = Proprietary‐Individual, 4 = Proprietary‐Corporation, 5 = Proprietary‐Partnership, 6 = Proprietary‐Other, 7 = Governmental‐Federal, 8 = Governmental‐City‐County, 9 = Governmental‐County, 10 = Governmental‐State, 11 = Governmental‐Hospital District, 12 = Governmental‐City, 13 = Governmental‐Other.</w:t>
            </w:r>
          </w:p>
        </w:tc>
      </w:tr>
      <w:tr w:rsidR="00BF79E8" w:rsidRPr="00BF79E8" w14:paraId="795C567E" w14:textId="77777777" w:rsidTr="2B3D61D0">
        <w:trPr>
          <w:trHeight w:val="172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2E1EA603" w14:textId="374360E9" w:rsidR="00BF79E8" w:rsidRPr="00BF79E8" w:rsidRDefault="64D07E31"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N</w:t>
            </w:r>
            <w:r w:rsidR="6B7A3F20" w:rsidRPr="2B3D61D0">
              <w:rPr>
                <w:rFonts w:ascii="Times New Roman" w:eastAsia="Times New Roman" w:hAnsi="Times New Roman" w:cs="Times New Roman"/>
              </w:rPr>
              <w:t>egative</w:t>
            </w:r>
            <w:r w:rsidR="01249B13" w:rsidRPr="2B3D61D0">
              <w:rPr>
                <w:rFonts w:ascii="Times New Roman" w:eastAsia="Times New Roman" w:hAnsi="Times New Roman" w:cs="Times New Roman"/>
              </w:rPr>
              <w:t xml:space="preserve"> </w:t>
            </w:r>
            <w:r w:rsidR="68521DAF" w:rsidRPr="2B3D61D0">
              <w:rPr>
                <w:rFonts w:ascii="Times New Roman" w:eastAsia="Times New Roman" w:hAnsi="Times New Roman" w:cs="Times New Roman"/>
              </w:rPr>
              <w:t>e</w:t>
            </w:r>
            <w:r w:rsidR="3F9C2124" w:rsidRPr="2B3D61D0">
              <w:rPr>
                <w:rFonts w:ascii="Times New Roman" w:eastAsia="Times New Roman" w:hAnsi="Times New Roman" w:cs="Times New Roman"/>
              </w:rPr>
              <w:t xml:space="preserve">quity </w:t>
            </w:r>
            <w:r w:rsidR="34AAC61D" w:rsidRPr="2B3D61D0">
              <w:rPr>
                <w:rFonts w:ascii="Times New Roman" w:eastAsia="Times New Roman" w:hAnsi="Times New Roman" w:cs="Times New Roman"/>
              </w:rPr>
              <w:t>c</w:t>
            </w:r>
            <w:r w:rsidR="3F9C2124" w:rsidRPr="2B3D61D0">
              <w:rPr>
                <w:rFonts w:ascii="Times New Roman" w:eastAsia="Times New Roman" w:hAnsi="Times New Roman" w:cs="Times New Roman"/>
              </w:rPr>
              <w:t>ategory (Mode)</w:t>
            </w:r>
          </w:p>
        </w:tc>
        <w:tc>
          <w:tcPr>
            <w:tcW w:w="4676" w:type="dxa"/>
            <w:tcBorders>
              <w:top w:val="nil"/>
              <w:left w:val="nil"/>
              <w:bottom w:val="single" w:sz="4" w:space="0" w:color="auto"/>
              <w:right w:val="single" w:sz="4" w:space="0" w:color="auto"/>
            </w:tcBorders>
            <w:shd w:val="clear" w:color="auto" w:fill="auto"/>
            <w:vAlign w:val="center"/>
            <w:hideMark/>
          </w:tcPr>
          <w:p w14:paraId="109FF58C" w14:textId="66FA7FF5"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Most frequently reported hospital equity </w:t>
            </w:r>
            <w:r w:rsidR="16444B34" w:rsidRPr="2B3D61D0">
              <w:rPr>
                <w:rFonts w:ascii="Times New Roman" w:eastAsia="Times New Roman" w:hAnsi="Times New Roman" w:cs="Times New Roman"/>
              </w:rPr>
              <w:t>categories</w:t>
            </w:r>
            <w:r w:rsidRPr="2B3D61D0">
              <w:rPr>
                <w:rFonts w:ascii="Times New Roman" w:eastAsia="Times New Roman" w:hAnsi="Times New Roman" w:cs="Times New Roman"/>
              </w:rPr>
              <w:t xml:space="preserve"> across all reporting years, representing the hospital’s overall solvency status. Calculated as Total Assets (Sum of all assets) − Total Liabilities (Sum of all current and long-term liabilities) for each hospital-year. Equity values </w:t>
            </w:r>
            <w:proofErr w:type="gramStart"/>
            <w:r w:rsidRPr="2B3D61D0">
              <w:rPr>
                <w:rFonts w:ascii="Times New Roman" w:eastAsia="Times New Roman" w:hAnsi="Times New Roman" w:cs="Times New Roman"/>
              </w:rPr>
              <w:t>are then binned</w:t>
            </w:r>
            <w:proofErr w:type="gramEnd"/>
            <w:r w:rsidRPr="2B3D61D0">
              <w:rPr>
                <w:rFonts w:ascii="Times New Roman" w:eastAsia="Times New Roman" w:hAnsi="Times New Roman" w:cs="Times New Roman"/>
              </w:rPr>
              <w:t xml:space="preserve"> into four ordered categories using the 25th and 50th percentile thresholds. Encoded as: 0 = Negative (Loss</w:t>
            </w:r>
            <w:proofErr w:type="gramStart"/>
            <w:r w:rsidRPr="2B3D61D0">
              <w:rPr>
                <w:rFonts w:ascii="Times New Roman" w:eastAsia="Times New Roman" w:hAnsi="Times New Roman" w:cs="Times New Roman"/>
              </w:rPr>
              <w:t>)-</w:t>
            </w:r>
            <w:proofErr w:type="gramEnd"/>
            <w:r w:rsidRPr="2B3D61D0">
              <w:rPr>
                <w:rFonts w:ascii="Times New Roman" w:eastAsia="Times New Roman" w:hAnsi="Times New Roman" w:cs="Times New Roman"/>
              </w:rPr>
              <w:t xml:space="preserve"> liabilities exceed assets; 1 = Low Equity — equity between 0 and 25th </w:t>
            </w:r>
            <w:r w:rsidRPr="2B3D61D0">
              <w:rPr>
                <w:rFonts w:ascii="Times New Roman" w:eastAsia="Times New Roman" w:hAnsi="Times New Roman" w:cs="Times New Roman"/>
              </w:rPr>
              <w:lastRenderedPageBreak/>
              <w:t>percentile; 2 = Moderate Equity — equity between 25th and 50th percentile; 3 = High Equity — equity above the 50th percentile.</w:t>
            </w:r>
          </w:p>
        </w:tc>
      </w:tr>
      <w:tr w:rsidR="00C56479" w:rsidRPr="00BF79E8" w14:paraId="0155B9AD" w14:textId="77777777" w:rsidTr="2B3D61D0">
        <w:trPr>
          <w:trHeight w:val="1728"/>
        </w:trPr>
        <w:tc>
          <w:tcPr>
            <w:tcW w:w="4674" w:type="dxa"/>
            <w:tcBorders>
              <w:top w:val="nil"/>
              <w:left w:val="single" w:sz="4" w:space="0" w:color="auto"/>
              <w:bottom w:val="single" w:sz="4" w:space="0" w:color="auto"/>
              <w:right w:val="single" w:sz="4" w:space="0" w:color="auto"/>
            </w:tcBorders>
            <w:shd w:val="clear" w:color="auto" w:fill="auto"/>
            <w:vAlign w:val="center"/>
          </w:tcPr>
          <w:p w14:paraId="6F684A2B" w14:textId="02B8B450" w:rsidR="00C56479" w:rsidRPr="2B3D61D0" w:rsidRDefault="00C56479"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lastRenderedPageBreak/>
              <w:t>Total hospital days (Mean)</w:t>
            </w:r>
          </w:p>
        </w:tc>
        <w:tc>
          <w:tcPr>
            <w:tcW w:w="4676" w:type="dxa"/>
            <w:tcBorders>
              <w:top w:val="nil"/>
              <w:left w:val="nil"/>
              <w:bottom w:val="single" w:sz="4" w:space="0" w:color="auto"/>
              <w:right w:val="single" w:sz="4" w:space="0" w:color="auto"/>
            </w:tcBorders>
            <w:shd w:val="clear" w:color="auto" w:fill="auto"/>
            <w:vAlign w:val="center"/>
          </w:tcPr>
          <w:p w14:paraId="50C0DC24" w14:textId="77777777" w:rsidR="00C56479" w:rsidRPr="00BF79E8" w:rsidRDefault="00C56479" w:rsidP="00C56479">
            <w:pPr>
              <w:spacing w:after="0" w:line="240" w:lineRule="auto"/>
              <w:rPr>
                <w:rFonts w:ascii="Times New Roman" w:eastAsia="Times New Roman" w:hAnsi="Times New Roman" w:cs="Times New Roman"/>
                <w:color w:val="000000" w:themeColor="text1"/>
              </w:rPr>
            </w:pPr>
            <w:r w:rsidRPr="2B3D61D0">
              <w:rPr>
                <w:rFonts w:ascii="Times New Roman" w:eastAsia="Times New Roman" w:hAnsi="Times New Roman" w:cs="Times New Roman"/>
              </w:rPr>
              <w:t xml:space="preserve">Total hospital days: Total number of inpatient days for all classes of patients;   </w:t>
            </w:r>
          </w:p>
          <w:p w14:paraId="0EF2528E" w14:textId="11CA370F"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                                                                                  Total hospital days (Mean): Average number of inpatient days for all classes of patients across available cost-reporting years for each hospital.</w:t>
            </w:r>
          </w:p>
        </w:tc>
      </w:tr>
      <w:tr w:rsidR="00BF79E8" w:rsidRPr="00BF79E8" w14:paraId="5282100B"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1B5E380" w14:textId="45BCBF18" w:rsidR="00BF79E8" w:rsidRPr="00BF79E8" w:rsidRDefault="3245734C"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days (Median)</w:t>
            </w:r>
          </w:p>
          <w:p w14:paraId="5F48E6D3" w14:textId="08EDAA5A" w:rsidR="00BF79E8" w:rsidRPr="00BF79E8" w:rsidRDefault="00BF79E8" w:rsidP="2B3D61D0">
            <w:pPr>
              <w:spacing w:after="0" w:line="240" w:lineRule="auto"/>
              <w:rPr>
                <w:rFonts w:ascii="Times New Roman" w:eastAsia="Times New Roman" w:hAnsi="Times New Roman" w:cs="Times New Roman"/>
              </w:rPr>
            </w:pPr>
          </w:p>
        </w:tc>
        <w:tc>
          <w:tcPr>
            <w:tcW w:w="4676" w:type="dxa"/>
            <w:tcBorders>
              <w:top w:val="nil"/>
              <w:left w:val="nil"/>
              <w:bottom w:val="single" w:sz="4" w:space="0" w:color="auto"/>
              <w:right w:val="single" w:sz="4" w:space="0" w:color="auto"/>
            </w:tcBorders>
            <w:shd w:val="clear" w:color="auto" w:fill="auto"/>
            <w:vAlign w:val="center"/>
            <w:hideMark/>
          </w:tcPr>
          <w:p w14:paraId="516F4DF7"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number of inpatient days for all classes of patients across reporting years.</w:t>
            </w:r>
          </w:p>
        </w:tc>
      </w:tr>
      <w:tr w:rsidR="00BF79E8" w:rsidRPr="00BF79E8" w14:paraId="0A3C21CD"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58A48A7" w14:textId="0E534C37" w:rsidR="00BF79E8" w:rsidRPr="00BF79E8" w:rsidRDefault="674395C5"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days (Standard deviation)</w:t>
            </w:r>
          </w:p>
          <w:p w14:paraId="103CEB1C" w14:textId="03B45C25" w:rsidR="00BF79E8" w:rsidRPr="00BF79E8" w:rsidRDefault="00BF79E8" w:rsidP="2B3D61D0">
            <w:pPr>
              <w:spacing w:after="0" w:line="240" w:lineRule="auto"/>
              <w:rPr>
                <w:rFonts w:ascii="Times New Roman" w:eastAsia="Times New Roman" w:hAnsi="Times New Roman" w:cs="Times New Roman"/>
              </w:rPr>
            </w:pPr>
          </w:p>
        </w:tc>
        <w:tc>
          <w:tcPr>
            <w:tcW w:w="4676" w:type="dxa"/>
            <w:tcBorders>
              <w:top w:val="nil"/>
              <w:left w:val="nil"/>
              <w:bottom w:val="single" w:sz="4" w:space="0" w:color="auto"/>
              <w:right w:val="single" w:sz="4" w:space="0" w:color="auto"/>
            </w:tcBorders>
            <w:shd w:val="clear" w:color="auto" w:fill="auto"/>
            <w:vAlign w:val="center"/>
            <w:hideMark/>
          </w:tcPr>
          <w:p w14:paraId="735E90D3"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total inpatient days across reporting years.</w:t>
            </w:r>
          </w:p>
        </w:tc>
      </w:tr>
      <w:tr w:rsidR="00BF79E8" w:rsidRPr="00BF79E8" w14:paraId="44CD8CC3"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0AE5B583" w14:textId="57F7B33B" w:rsidR="00BF79E8" w:rsidRPr="00BF79E8" w:rsidRDefault="3B39C548"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days (Interquartile range)</w:t>
            </w:r>
          </w:p>
          <w:p w14:paraId="35EA437F" w14:textId="5632BBBF" w:rsidR="00BF79E8" w:rsidRPr="00BF79E8" w:rsidRDefault="00BF79E8" w:rsidP="2B3D61D0">
            <w:pPr>
              <w:spacing w:after="0" w:line="240" w:lineRule="auto"/>
              <w:rPr>
                <w:rFonts w:ascii="Times New Roman" w:eastAsia="Times New Roman" w:hAnsi="Times New Roman" w:cs="Times New Roman"/>
              </w:rPr>
            </w:pPr>
          </w:p>
        </w:tc>
        <w:tc>
          <w:tcPr>
            <w:tcW w:w="4676" w:type="dxa"/>
            <w:tcBorders>
              <w:top w:val="nil"/>
              <w:left w:val="nil"/>
              <w:bottom w:val="single" w:sz="4" w:space="0" w:color="auto"/>
              <w:right w:val="single" w:sz="4" w:space="0" w:color="auto"/>
            </w:tcBorders>
            <w:shd w:val="clear" w:color="auto" w:fill="auto"/>
            <w:vAlign w:val="center"/>
            <w:hideMark/>
          </w:tcPr>
          <w:p w14:paraId="493709D0"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Interquartile range (IQR) of total inpatient days across reporting years.</w:t>
            </w:r>
          </w:p>
        </w:tc>
      </w:tr>
      <w:tr w:rsidR="00C56479" w:rsidRPr="00BF79E8" w14:paraId="186DB1E9"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520D3FCA" w14:textId="23149364" w:rsidR="00C56479" w:rsidRPr="2B3D61D0" w:rsidRDefault="00C56479"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beds (Mean)</w:t>
            </w:r>
          </w:p>
        </w:tc>
        <w:tc>
          <w:tcPr>
            <w:tcW w:w="4676" w:type="dxa"/>
            <w:tcBorders>
              <w:top w:val="nil"/>
              <w:left w:val="nil"/>
              <w:bottom w:val="single" w:sz="4" w:space="0" w:color="auto"/>
              <w:right w:val="single" w:sz="4" w:space="0" w:color="auto"/>
            </w:tcBorders>
            <w:shd w:val="clear" w:color="auto" w:fill="auto"/>
            <w:vAlign w:val="center"/>
          </w:tcPr>
          <w:p w14:paraId="6155175A" w14:textId="224480A7" w:rsidR="00C56479" w:rsidRPr="2B3D61D0" w:rsidRDefault="00C56479"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Total hospital beds: The number of beds available for use by patients at the end of the </w:t>
            </w:r>
            <w:proofErr w:type="gramStart"/>
            <w:r w:rsidRPr="2B3D61D0">
              <w:rPr>
                <w:rFonts w:ascii="Times New Roman" w:eastAsia="Times New Roman" w:hAnsi="Times New Roman" w:cs="Times New Roman"/>
              </w:rPr>
              <w:t>cost reporting</w:t>
            </w:r>
            <w:proofErr w:type="gramEnd"/>
            <w:r w:rsidRPr="2B3D61D0">
              <w:rPr>
                <w:rFonts w:ascii="Times New Roman" w:eastAsia="Times New Roman" w:hAnsi="Times New Roman" w:cs="Times New Roman"/>
              </w:rPr>
              <w:t xml:space="preserve"> period.                                                                                                                                                     Total hospital beds (Mean): Average number of beds available for use by patients at the end of each cost-reporting period across all available years. A “bed” includes adult beds, pediatric beds, birthing rooms, and newborn intensive-care beds (excluding newborn bassinets) that </w:t>
            </w:r>
            <w:proofErr w:type="gramStart"/>
            <w:r w:rsidRPr="2B3D61D0">
              <w:rPr>
                <w:rFonts w:ascii="Times New Roman" w:eastAsia="Times New Roman" w:hAnsi="Times New Roman" w:cs="Times New Roman"/>
              </w:rPr>
              <w:t>are maintained</w:t>
            </w:r>
            <w:proofErr w:type="gramEnd"/>
            <w:r w:rsidRPr="2B3D61D0">
              <w:rPr>
                <w:rFonts w:ascii="Times New Roman" w:eastAsia="Times New Roman" w:hAnsi="Times New Roman" w:cs="Times New Roman"/>
              </w:rPr>
              <w:t xml:space="preserve"> in a patient-care area for lodging patients in acute, long-term, or domiciliary areas of the hospital.</w:t>
            </w:r>
          </w:p>
        </w:tc>
      </w:tr>
      <w:tr w:rsidR="00BF79E8" w:rsidRPr="00BF79E8" w14:paraId="72ED8502"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476DCCFC" w14:textId="35C481E7" w:rsidR="00BF79E8" w:rsidRPr="00BF79E8" w:rsidRDefault="26513E81"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beds (Me</w:t>
            </w:r>
            <w:r w:rsidR="56BC433F" w:rsidRPr="2B3D61D0">
              <w:rPr>
                <w:rFonts w:ascii="Times New Roman" w:eastAsia="Times New Roman" w:hAnsi="Times New Roman" w:cs="Times New Roman"/>
              </w:rPr>
              <w:t>dian</w:t>
            </w:r>
            <w:r w:rsidRPr="2B3D61D0">
              <w:rPr>
                <w:rFonts w:ascii="Times New Roman" w:eastAsia="Times New Roman" w:hAnsi="Times New Roman" w:cs="Times New Roman"/>
              </w:rPr>
              <w:t>)</w:t>
            </w:r>
          </w:p>
          <w:p w14:paraId="28D3BF7A" w14:textId="72B64843" w:rsidR="00BF79E8" w:rsidRPr="00BF79E8" w:rsidRDefault="00BF79E8" w:rsidP="2B3D61D0">
            <w:pPr>
              <w:spacing w:after="0" w:line="240" w:lineRule="auto"/>
              <w:rPr>
                <w:rFonts w:ascii="Times New Roman" w:eastAsia="Times New Roman" w:hAnsi="Times New Roman" w:cs="Times New Roman"/>
              </w:rPr>
            </w:pPr>
          </w:p>
        </w:tc>
        <w:tc>
          <w:tcPr>
            <w:tcW w:w="4676" w:type="dxa"/>
            <w:tcBorders>
              <w:top w:val="nil"/>
              <w:left w:val="nil"/>
              <w:bottom w:val="single" w:sz="4" w:space="0" w:color="auto"/>
              <w:right w:val="single" w:sz="4" w:space="0" w:color="auto"/>
            </w:tcBorders>
            <w:shd w:val="clear" w:color="auto" w:fill="auto"/>
            <w:vAlign w:val="center"/>
            <w:hideMark/>
          </w:tcPr>
          <w:p w14:paraId="47F78B97"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number of hospital beds available for patient use across all reporting years.</w:t>
            </w:r>
          </w:p>
        </w:tc>
      </w:tr>
      <w:tr w:rsidR="00BF79E8" w:rsidRPr="00BF79E8" w14:paraId="3F0370CD"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B71C9E9" w14:textId="3AD9AC85" w:rsidR="00BF79E8" w:rsidRPr="00BF79E8" w:rsidRDefault="784E9127"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beds (</w:t>
            </w:r>
            <w:r w:rsidR="764A8A01" w:rsidRPr="2B3D61D0">
              <w:rPr>
                <w:rFonts w:ascii="Times New Roman" w:eastAsia="Times New Roman" w:hAnsi="Times New Roman" w:cs="Times New Roman"/>
              </w:rPr>
              <w:t>Standard deviation</w:t>
            </w:r>
            <w:r w:rsidRPr="2B3D61D0">
              <w:rPr>
                <w:rFonts w:ascii="Times New Roman" w:eastAsia="Times New Roman" w:hAnsi="Times New Roman" w:cs="Times New Roman"/>
              </w:rPr>
              <w:t>)</w:t>
            </w:r>
          </w:p>
          <w:p w14:paraId="1A843516" w14:textId="1A9FDD19" w:rsidR="00BF79E8" w:rsidRPr="00BF79E8" w:rsidRDefault="00BF79E8" w:rsidP="2B3D61D0">
            <w:pPr>
              <w:spacing w:after="0" w:line="240" w:lineRule="auto"/>
              <w:rPr>
                <w:rFonts w:ascii="Times New Roman" w:eastAsia="Times New Roman" w:hAnsi="Times New Roman" w:cs="Times New Roman"/>
              </w:rPr>
            </w:pPr>
          </w:p>
        </w:tc>
        <w:tc>
          <w:tcPr>
            <w:tcW w:w="4676" w:type="dxa"/>
            <w:tcBorders>
              <w:top w:val="nil"/>
              <w:left w:val="nil"/>
              <w:bottom w:val="single" w:sz="4" w:space="0" w:color="auto"/>
              <w:right w:val="single" w:sz="4" w:space="0" w:color="auto"/>
            </w:tcBorders>
            <w:shd w:val="clear" w:color="auto" w:fill="auto"/>
            <w:vAlign w:val="center"/>
            <w:hideMark/>
          </w:tcPr>
          <w:p w14:paraId="4DECAF96"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the number of hospital beds available for patient use across reporting years.</w:t>
            </w:r>
          </w:p>
        </w:tc>
      </w:tr>
      <w:tr w:rsidR="00BF79E8" w:rsidRPr="00BF79E8" w14:paraId="1CA58007"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3391420" w14:textId="44A5DC35" w:rsidR="00BF79E8" w:rsidRPr="00BF79E8" w:rsidRDefault="4D8E019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beds (</w:t>
            </w:r>
            <w:r w:rsidR="4072F27F" w:rsidRPr="2B3D61D0">
              <w:rPr>
                <w:rFonts w:ascii="Times New Roman" w:eastAsia="Times New Roman" w:hAnsi="Times New Roman" w:cs="Times New Roman"/>
              </w:rPr>
              <w:t>Interquartile range</w:t>
            </w:r>
            <w:r w:rsidRPr="2B3D61D0">
              <w:rPr>
                <w:rFonts w:ascii="Times New Roman" w:eastAsia="Times New Roman" w:hAnsi="Times New Roman" w:cs="Times New Roman"/>
              </w:rPr>
              <w:t>)</w:t>
            </w:r>
          </w:p>
          <w:p w14:paraId="07DAE83B" w14:textId="526E6ABC" w:rsidR="00BF79E8" w:rsidRPr="00BF79E8" w:rsidRDefault="00BF79E8" w:rsidP="2B3D61D0">
            <w:pPr>
              <w:spacing w:after="0" w:line="240" w:lineRule="auto"/>
              <w:rPr>
                <w:rFonts w:ascii="Times New Roman" w:eastAsia="Times New Roman" w:hAnsi="Times New Roman" w:cs="Times New Roman"/>
              </w:rPr>
            </w:pPr>
          </w:p>
        </w:tc>
        <w:tc>
          <w:tcPr>
            <w:tcW w:w="4676" w:type="dxa"/>
            <w:tcBorders>
              <w:top w:val="nil"/>
              <w:left w:val="nil"/>
              <w:bottom w:val="single" w:sz="4" w:space="0" w:color="auto"/>
              <w:right w:val="single" w:sz="4" w:space="0" w:color="auto"/>
            </w:tcBorders>
            <w:shd w:val="clear" w:color="auto" w:fill="auto"/>
            <w:vAlign w:val="center"/>
            <w:hideMark/>
          </w:tcPr>
          <w:p w14:paraId="40413C21"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Interquartile range (IQR) of the number of hospital beds available for patient use across reporting years.</w:t>
            </w:r>
          </w:p>
        </w:tc>
      </w:tr>
      <w:tr w:rsidR="00C56479" w:rsidRPr="00BF79E8" w14:paraId="0A383C3B"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2B4C3DF1" w14:textId="0247729F" w:rsidR="00C56479" w:rsidRPr="2B3D61D0" w:rsidRDefault="00C56479"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bed-days available (Mean)</w:t>
            </w:r>
          </w:p>
        </w:tc>
        <w:tc>
          <w:tcPr>
            <w:tcW w:w="4676" w:type="dxa"/>
            <w:tcBorders>
              <w:top w:val="nil"/>
              <w:left w:val="nil"/>
              <w:bottom w:val="single" w:sz="4" w:space="0" w:color="auto"/>
              <w:right w:val="single" w:sz="4" w:space="0" w:color="auto"/>
            </w:tcBorders>
            <w:shd w:val="clear" w:color="auto" w:fill="auto"/>
            <w:vAlign w:val="center"/>
          </w:tcPr>
          <w:p w14:paraId="43DEFF8A"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Total hospital bed-days available: number of hospital bed-days available across all reporting years. Bed-days available </w:t>
            </w:r>
            <w:proofErr w:type="gramStart"/>
            <w:r w:rsidRPr="2B3D61D0">
              <w:rPr>
                <w:rFonts w:ascii="Times New Roman" w:eastAsia="Times New Roman" w:hAnsi="Times New Roman" w:cs="Times New Roman"/>
              </w:rPr>
              <w:t>are computed</w:t>
            </w:r>
            <w:proofErr w:type="gramEnd"/>
            <w:r w:rsidRPr="2B3D61D0">
              <w:rPr>
                <w:rFonts w:ascii="Times New Roman" w:eastAsia="Times New Roman" w:hAnsi="Times New Roman" w:cs="Times New Roman"/>
              </w:rPr>
              <w:t xml:space="preserve"> by multiplying the number of beds available during each part of the reporting period by the number of beds available during that part of the reporting period.                                                                     </w:t>
            </w:r>
          </w:p>
          <w:p w14:paraId="5CFE1F48" w14:textId="77777777" w:rsidR="00C56479" w:rsidRPr="00BF79E8" w:rsidRDefault="00C56479" w:rsidP="00C56479">
            <w:pPr>
              <w:spacing w:after="0" w:line="240" w:lineRule="auto"/>
              <w:rPr>
                <w:rFonts w:ascii="Times New Roman" w:eastAsia="Times New Roman" w:hAnsi="Times New Roman" w:cs="Times New Roman"/>
              </w:rPr>
            </w:pPr>
          </w:p>
          <w:p w14:paraId="1C02F84E"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bed-days available (Mean):</w:t>
            </w:r>
          </w:p>
          <w:p w14:paraId="26F11826" w14:textId="38FC986F"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 Average number of hospital bed-days available across all reporting years.</w:t>
            </w:r>
          </w:p>
        </w:tc>
      </w:tr>
      <w:tr w:rsidR="00BF79E8" w:rsidRPr="00BF79E8" w14:paraId="403E3DB6"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0F9230D2" w14:textId="168CF247" w:rsidR="00BF79E8" w:rsidRPr="00BF79E8" w:rsidRDefault="0DF82A7F"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lastRenderedPageBreak/>
              <w:t>Total hospital bed-days available</w:t>
            </w:r>
            <w:r w:rsidR="046952BD" w:rsidRPr="2B3D61D0">
              <w:rPr>
                <w:rFonts w:ascii="Times New Roman" w:eastAsia="Times New Roman" w:hAnsi="Times New Roman" w:cs="Times New Roman"/>
              </w:rPr>
              <w:t xml:space="preserve"> (Median)</w:t>
            </w:r>
          </w:p>
        </w:tc>
        <w:tc>
          <w:tcPr>
            <w:tcW w:w="4676" w:type="dxa"/>
            <w:tcBorders>
              <w:top w:val="nil"/>
              <w:left w:val="nil"/>
              <w:bottom w:val="single" w:sz="4" w:space="0" w:color="auto"/>
              <w:right w:val="single" w:sz="4" w:space="0" w:color="auto"/>
            </w:tcBorders>
            <w:shd w:val="clear" w:color="auto" w:fill="auto"/>
            <w:vAlign w:val="center"/>
            <w:hideMark/>
          </w:tcPr>
          <w:p w14:paraId="242A1BF3" w14:textId="24249631" w:rsidR="00BF79E8" w:rsidRPr="00BF79E8" w:rsidRDefault="734F3006"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A median</w:t>
            </w:r>
            <w:r w:rsidR="6B7A3F20" w:rsidRPr="2B3D61D0">
              <w:rPr>
                <w:rFonts w:ascii="Times New Roman" w:eastAsia="Times New Roman" w:hAnsi="Times New Roman" w:cs="Times New Roman"/>
              </w:rPr>
              <w:t xml:space="preserve"> number of hospital bed-days available across all reporting years.</w:t>
            </w:r>
          </w:p>
        </w:tc>
      </w:tr>
      <w:tr w:rsidR="00BF79E8" w:rsidRPr="00BF79E8" w14:paraId="09B4560D"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CABC529" w14:textId="1F40474C" w:rsidR="00BF79E8" w:rsidRPr="00BF79E8" w:rsidRDefault="2C7955EE"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bed-days available</w:t>
            </w:r>
            <w:r w:rsidR="6E0A066C" w:rsidRPr="2B3D61D0">
              <w:rPr>
                <w:rFonts w:ascii="Times New Roman" w:eastAsia="Times New Roman" w:hAnsi="Times New Roman" w:cs="Times New Roman"/>
              </w:rPr>
              <w:t xml:space="preserve">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7A3F0997"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hospital bed-days available across all reporting years.</w:t>
            </w:r>
          </w:p>
        </w:tc>
      </w:tr>
      <w:tr w:rsidR="00BF79E8" w:rsidRPr="00BF79E8" w14:paraId="1BD3EF29"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4A7764D5" w14:textId="372C7119" w:rsidR="00BF79E8" w:rsidRPr="00BF79E8" w:rsidRDefault="182C22CA"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hospital bed-days available</w:t>
            </w:r>
            <w:r w:rsidR="3D4D3048" w:rsidRPr="2B3D61D0">
              <w:rPr>
                <w:rFonts w:ascii="Times New Roman" w:eastAsia="Times New Roman" w:hAnsi="Times New Roman" w:cs="Times New Roman"/>
              </w:rPr>
              <w:t xml:space="preserve">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3E5ACABF"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Interquartile range (IQR) of hospital bed-days available across all reporting years.</w:t>
            </w:r>
          </w:p>
        </w:tc>
      </w:tr>
      <w:tr w:rsidR="00C56479" w:rsidRPr="00BF79E8" w14:paraId="32EF9F04"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1F1EAF63" w14:textId="281DF9C7" w:rsidR="00C56479" w:rsidRPr="2B3D61D0" w:rsidRDefault="00C56479"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margin (Mean)</w:t>
            </w:r>
          </w:p>
        </w:tc>
        <w:tc>
          <w:tcPr>
            <w:tcW w:w="4676" w:type="dxa"/>
            <w:tcBorders>
              <w:top w:val="nil"/>
              <w:left w:val="nil"/>
              <w:bottom w:val="single" w:sz="4" w:space="0" w:color="auto"/>
              <w:right w:val="single" w:sz="4" w:space="0" w:color="auto"/>
            </w:tcBorders>
            <w:shd w:val="clear" w:color="auto" w:fill="auto"/>
            <w:vAlign w:val="center"/>
          </w:tcPr>
          <w:p w14:paraId="0F4A92F4"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Total margin: measures a hospital’s overall profitability.                                        </w:t>
            </w:r>
          </w:p>
          <w:p w14:paraId="3AF461D3" w14:textId="77777777" w:rsidR="00C56479" w:rsidRPr="00BF79E8" w:rsidRDefault="00C56479" w:rsidP="00C56479">
            <w:pPr>
              <w:spacing w:after="0" w:line="240" w:lineRule="auto"/>
              <w:rPr>
                <w:rFonts w:ascii="Times New Roman" w:eastAsia="Times New Roman" w:hAnsi="Times New Roman" w:cs="Times New Roman"/>
              </w:rPr>
            </w:pPr>
          </w:p>
          <w:p w14:paraId="773B2461" w14:textId="4C59A48F"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margin (Mean): Average overall profitability of the hospital across all available cost-reporting years.</w:t>
            </w:r>
          </w:p>
        </w:tc>
      </w:tr>
      <w:tr w:rsidR="00BF79E8" w:rsidRPr="00BF79E8" w14:paraId="5D5F304A"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0F3446D" w14:textId="1231A861" w:rsidR="00BF79E8" w:rsidRPr="00BF79E8" w:rsidRDefault="1E774878"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margin (Median)</w:t>
            </w:r>
          </w:p>
        </w:tc>
        <w:tc>
          <w:tcPr>
            <w:tcW w:w="4676" w:type="dxa"/>
            <w:tcBorders>
              <w:top w:val="nil"/>
              <w:left w:val="nil"/>
              <w:bottom w:val="single" w:sz="4" w:space="0" w:color="auto"/>
              <w:right w:val="single" w:sz="4" w:space="0" w:color="auto"/>
            </w:tcBorders>
            <w:shd w:val="clear" w:color="auto" w:fill="auto"/>
            <w:vAlign w:val="center"/>
            <w:hideMark/>
          </w:tcPr>
          <w:p w14:paraId="7699A9E7"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overall profitability of the hospital across all available cost-reporting years.</w:t>
            </w:r>
          </w:p>
        </w:tc>
      </w:tr>
      <w:tr w:rsidR="00BF79E8" w:rsidRPr="00BF79E8" w14:paraId="0E0E1F45"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F6E0FD7" w14:textId="7451EFDB" w:rsidR="00BF79E8" w:rsidRPr="00BF79E8" w:rsidRDefault="75CEA925"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margin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6F21C200"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total margin across all reporting years.</w:t>
            </w:r>
          </w:p>
        </w:tc>
      </w:tr>
      <w:tr w:rsidR="00BF79E8" w:rsidRPr="00BF79E8" w14:paraId="30BEA8F3"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BAAD251" w14:textId="1A1FF888" w:rsidR="00BF79E8" w:rsidRPr="00BF79E8" w:rsidRDefault="3A60363F"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Total margin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4B76E6F5"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of total margin across all reporting years.</w:t>
            </w:r>
          </w:p>
        </w:tc>
      </w:tr>
      <w:tr w:rsidR="00C56479" w:rsidRPr="00BF79E8" w14:paraId="5D0E71DF"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7F33693B" w14:textId="2DB10FA4" w:rsidR="00C56479" w:rsidRPr="2B3D61D0" w:rsidRDefault="00C56479"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Outpatient revenue to total revenue (Mean)</w:t>
            </w:r>
          </w:p>
        </w:tc>
        <w:tc>
          <w:tcPr>
            <w:tcW w:w="4676" w:type="dxa"/>
            <w:tcBorders>
              <w:top w:val="nil"/>
              <w:left w:val="nil"/>
              <w:bottom w:val="single" w:sz="4" w:space="0" w:color="auto"/>
              <w:right w:val="single" w:sz="4" w:space="0" w:color="auto"/>
            </w:tcBorders>
            <w:shd w:val="clear" w:color="auto" w:fill="auto"/>
            <w:vAlign w:val="center"/>
          </w:tcPr>
          <w:p w14:paraId="431501A9" w14:textId="77777777" w:rsidR="00C56479" w:rsidRPr="00BF79E8" w:rsidRDefault="00C56479" w:rsidP="00C56479">
            <w:pPr>
              <w:spacing w:after="0" w:line="240" w:lineRule="auto"/>
              <w:rPr>
                <w:rFonts w:ascii="Times New Roman" w:eastAsia="Times New Roman" w:hAnsi="Times New Roman" w:cs="Times New Roman"/>
                <w:color w:val="000000" w:themeColor="text1"/>
              </w:rPr>
            </w:pPr>
            <w:r w:rsidRPr="2B3D61D0">
              <w:rPr>
                <w:rFonts w:ascii="Times New Roman" w:eastAsia="Times New Roman" w:hAnsi="Times New Roman" w:cs="Times New Roman"/>
              </w:rPr>
              <w:t xml:space="preserve">Outpatient revenue to total revenue: total patient revenue derived from outpatient services across all available cost-reporting years.                                                                </w:t>
            </w:r>
          </w:p>
          <w:p w14:paraId="17ED9494" w14:textId="77777777" w:rsidR="00C56479" w:rsidRPr="00BF79E8" w:rsidRDefault="00C56479" w:rsidP="00C56479">
            <w:pPr>
              <w:spacing w:after="0" w:line="240" w:lineRule="auto"/>
              <w:rPr>
                <w:rFonts w:ascii="Times New Roman" w:eastAsia="Times New Roman" w:hAnsi="Times New Roman" w:cs="Times New Roman"/>
              </w:rPr>
            </w:pPr>
          </w:p>
          <w:p w14:paraId="72590B2B" w14:textId="10699FA0"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Outpatient revenue to total revenue (Mean): Average percentage of total patient revenue derived from outpatient services across all available cost-reporting years.</w:t>
            </w:r>
          </w:p>
        </w:tc>
      </w:tr>
      <w:tr w:rsidR="00BF79E8" w:rsidRPr="00BF79E8" w14:paraId="4FD29504"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D1A727D" w14:textId="799A1F53" w:rsidR="00BF79E8" w:rsidRPr="00BF79E8" w:rsidRDefault="04A2E6A2"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Outpatient revenue to total revenue (Median)</w:t>
            </w:r>
          </w:p>
        </w:tc>
        <w:tc>
          <w:tcPr>
            <w:tcW w:w="4676" w:type="dxa"/>
            <w:tcBorders>
              <w:top w:val="nil"/>
              <w:left w:val="nil"/>
              <w:bottom w:val="single" w:sz="4" w:space="0" w:color="auto"/>
              <w:right w:val="single" w:sz="4" w:space="0" w:color="auto"/>
            </w:tcBorders>
            <w:shd w:val="clear" w:color="auto" w:fill="auto"/>
            <w:vAlign w:val="center"/>
            <w:hideMark/>
          </w:tcPr>
          <w:p w14:paraId="3C755237" w14:textId="1028F17E" w:rsidR="00BF79E8" w:rsidRPr="00BF79E8" w:rsidRDefault="5FA453C6"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w:t>
            </w:r>
            <w:r w:rsidR="6B7A3F20" w:rsidRPr="2B3D61D0">
              <w:rPr>
                <w:rFonts w:ascii="Times New Roman" w:eastAsia="Times New Roman" w:hAnsi="Times New Roman" w:cs="Times New Roman"/>
              </w:rPr>
              <w:t xml:space="preserve"> the percentage of total patient revenue derived from outpatient services across all available cost-reporting years.</w:t>
            </w:r>
          </w:p>
        </w:tc>
      </w:tr>
      <w:tr w:rsidR="00BF79E8" w:rsidRPr="00BF79E8" w14:paraId="3AA64C87"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BF1FDF2" w14:textId="3FFC5E73" w:rsidR="00BF79E8" w:rsidRPr="00BF79E8" w:rsidRDefault="5BA79C98"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Outpatient revenue to total revenue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2D551036"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the percentage of total patient revenue derived from outpatient services across all available cost-reporting years.</w:t>
            </w:r>
          </w:p>
        </w:tc>
      </w:tr>
      <w:tr w:rsidR="00BF79E8" w:rsidRPr="00BF79E8" w14:paraId="71D50F04"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7D02D9F6" w14:textId="221C361D" w:rsidR="00BF79E8" w:rsidRPr="00BF79E8" w:rsidRDefault="008AF929"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Outpatient revenue to total revenue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08DE6B3E" w14:textId="77777777" w:rsidR="00BF79E8" w:rsidRPr="00BF79E8" w:rsidRDefault="6B7A3F20"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of the percentage of total patient revenue derived from outpatient services across all available cost-reporting years.</w:t>
            </w:r>
          </w:p>
        </w:tc>
      </w:tr>
      <w:tr w:rsidR="00C56479" w:rsidRPr="00BF79E8" w14:paraId="1D22C014"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tcPr>
          <w:p w14:paraId="5C013468" w14:textId="64C7D238"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Uncompensated care as a percentage of operating expenses (Mean)</w:t>
            </w:r>
          </w:p>
        </w:tc>
        <w:tc>
          <w:tcPr>
            <w:tcW w:w="4676" w:type="dxa"/>
            <w:tcBorders>
              <w:top w:val="nil"/>
              <w:left w:val="nil"/>
              <w:bottom w:val="single" w:sz="4" w:space="0" w:color="auto"/>
              <w:right w:val="single" w:sz="4" w:space="0" w:color="auto"/>
            </w:tcBorders>
            <w:shd w:val="clear" w:color="auto" w:fill="auto"/>
            <w:vAlign w:val="center"/>
          </w:tcPr>
          <w:p w14:paraId="631317B9"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Uncompensated care refers to the total cost of healthcare services that hospitals provide but do not receive payment </w:t>
            </w:r>
            <w:proofErr w:type="gramStart"/>
            <w:r w:rsidRPr="2B3D61D0">
              <w:rPr>
                <w:rFonts w:ascii="Times New Roman" w:eastAsia="Times New Roman" w:hAnsi="Times New Roman" w:cs="Times New Roman"/>
              </w:rPr>
              <w:t>for</w:t>
            </w:r>
            <w:proofErr w:type="gramEnd"/>
            <w:r w:rsidRPr="2B3D61D0">
              <w:rPr>
                <w:rFonts w:ascii="Times New Roman" w:eastAsia="Times New Roman" w:hAnsi="Times New Roman" w:cs="Times New Roman"/>
              </w:rPr>
              <w:t xml:space="preserve">. </w:t>
            </w:r>
          </w:p>
          <w:p w14:paraId="6E8206FF" w14:textId="77777777" w:rsidR="00C56479" w:rsidRPr="00BF79E8" w:rsidRDefault="00C56479" w:rsidP="00C56479">
            <w:pPr>
              <w:spacing w:after="0" w:line="240" w:lineRule="auto"/>
              <w:rPr>
                <w:rFonts w:ascii="Times New Roman" w:eastAsia="Times New Roman" w:hAnsi="Times New Roman" w:cs="Times New Roman"/>
              </w:rPr>
            </w:pPr>
          </w:p>
          <w:p w14:paraId="0D5348F8"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Uncompensated care as a percentage of operating expenses: proportion of hospital operating expenses attributable to uncompensated care (including charity care and bad debt)   </w:t>
            </w:r>
          </w:p>
          <w:p w14:paraId="4F230DF6" w14:textId="77777777" w:rsidR="00C56479" w:rsidRPr="00BF79E8" w:rsidRDefault="00C56479" w:rsidP="00C56479">
            <w:pPr>
              <w:spacing w:after="0" w:line="240" w:lineRule="auto"/>
              <w:rPr>
                <w:rFonts w:ascii="Times New Roman" w:eastAsia="Times New Roman" w:hAnsi="Times New Roman" w:cs="Times New Roman"/>
              </w:rPr>
            </w:pPr>
          </w:p>
          <w:p w14:paraId="35446D52" w14:textId="0EDB753B"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Uncompensated care as a percentage of operating expenses (Mean): Average proportion of hospital operating expenses attributable to uncompensated care (including charity care and bad debt) across all available cost-reporting years. </w:t>
            </w:r>
          </w:p>
        </w:tc>
      </w:tr>
      <w:tr w:rsidR="00C56479" w:rsidRPr="00BF79E8" w14:paraId="34B7C6E0" w14:textId="77777777" w:rsidTr="2B3D61D0">
        <w:trPr>
          <w:trHeight w:val="864"/>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5C55F4AD" w14:textId="71B1C7A8"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lastRenderedPageBreak/>
              <w:t>Uncompensated care as a percentage of operating expenses (Median)</w:t>
            </w:r>
          </w:p>
        </w:tc>
        <w:tc>
          <w:tcPr>
            <w:tcW w:w="4676" w:type="dxa"/>
            <w:tcBorders>
              <w:top w:val="nil"/>
              <w:left w:val="nil"/>
              <w:bottom w:val="single" w:sz="4" w:space="0" w:color="auto"/>
              <w:right w:val="single" w:sz="4" w:space="0" w:color="auto"/>
            </w:tcBorders>
            <w:shd w:val="clear" w:color="auto" w:fill="auto"/>
            <w:vAlign w:val="center"/>
            <w:hideMark/>
          </w:tcPr>
          <w:p w14:paraId="710B6A45" w14:textId="6364B168"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Median the proportion of hospital operating expenses attributable to uncompensated care (including charity care and bad debt) across all available cost-reporting years. </w:t>
            </w:r>
          </w:p>
        </w:tc>
      </w:tr>
      <w:tr w:rsidR="00C56479" w:rsidRPr="00BF79E8" w14:paraId="036C4C8B"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5269034" w14:textId="05AAFE0D"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Uncompensated care as a percentage of operating expenses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0EDD4D53"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Standard deviation of the proportion of hospital operating expenses attributable to uncompensated care (including charity care and bad debt) across all available cost-reporting years. </w:t>
            </w:r>
          </w:p>
        </w:tc>
      </w:tr>
      <w:tr w:rsidR="00C56479" w:rsidRPr="00BF79E8" w14:paraId="05E88313"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C6A2619" w14:textId="19AF2A9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Uncompensated care as a percentage of operating expenses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42E3FBDC" w14:textId="33612634"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IQR of the proportion of hospital operating expenses attributable to uncompensated care (including charity care and bad debt) across all available cost-reporting years. </w:t>
            </w:r>
          </w:p>
        </w:tc>
      </w:tr>
      <w:tr w:rsidR="00C56479" w:rsidRPr="00BF79E8" w14:paraId="3A763236"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tcPr>
          <w:p w14:paraId="286357C6" w14:textId="536237D1"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Operating margin (Mean)</w:t>
            </w:r>
          </w:p>
        </w:tc>
        <w:tc>
          <w:tcPr>
            <w:tcW w:w="4676" w:type="dxa"/>
            <w:tcBorders>
              <w:top w:val="nil"/>
              <w:left w:val="nil"/>
              <w:bottom w:val="single" w:sz="4" w:space="0" w:color="auto"/>
              <w:right w:val="single" w:sz="4" w:space="0" w:color="auto"/>
            </w:tcBorders>
            <w:shd w:val="clear" w:color="auto" w:fill="auto"/>
            <w:vAlign w:val="center"/>
          </w:tcPr>
          <w:p w14:paraId="662AA3A1"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Operating margin: shows the hospital’s financial health from patient-care activities alone;                                                                     </w:t>
            </w:r>
          </w:p>
          <w:p w14:paraId="0CD44483" w14:textId="77777777" w:rsidR="00C56479" w:rsidRPr="00BF79E8" w:rsidRDefault="00C56479" w:rsidP="00C56479">
            <w:pPr>
              <w:spacing w:after="0" w:line="240" w:lineRule="auto"/>
              <w:rPr>
                <w:rFonts w:ascii="Times New Roman" w:eastAsia="Times New Roman" w:hAnsi="Times New Roman" w:cs="Times New Roman"/>
              </w:rPr>
            </w:pPr>
          </w:p>
          <w:p w14:paraId="062AFE9B" w14:textId="46551414"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Operating margin (Mean): Average profitability from patient-care services across all available cost-reporting years</w:t>
            </w:r>
          </w:p>
        </w:tc>
      </w:tr>
      <w:tr w:rsidR="00C56479" w:rsidRPr="00BF79E8" w14:paraId="6B0F1857"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7A8272DA" w14:textId="396BFE0E"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Operating margin (Median)</w:t>
            </w:r>
          </w:p>
        </w:tc>
        <w:tc>
          <w:tcPr>
            <w:tcW w:w="4676" w:type="dxa"/>
            <w:tcBorders>
              <w:top w:val="nil"/>
              <w:left w:val="nil"/>
              <w:bottom w:val="single" w:sz="4" w:space="0" w:color="auto"/>
              <w:right w:val="single" w:sz="4" w:space="0" w:color="auto"/>
            </w:tcBorders>
            <w:shd w:val="clear" w:color="auto" w:fill="auto"/>
            <w:vAlign w:val="center"/>
            <w:hideMark/>
          </w:tcPr>
          <w:p w14:paraId="0F996952"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profitability from patient-care services across all available cost-reporting years</w:t>
            </w:r>
          </w:p>
        </w:tc>
      </w:tr>
      <w:tr w:rsidR="00C56479" w:rsidRPr="00BF79E8" w14:paraId="26D3A176"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3B49A21" w14:textId="23902738"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Operating margin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06561921" w14:textId="7343B1C2"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profitability from patient-care services across all available cost-reporting years</w:t>
            </w:r>
          </w:p>
        </w:tc>
      </w:tr>
      <w:tr w:rsidR="00C56479" w:rsidRPr="00BF79E8" w14:paraId="3F2E67FD"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1B8268D" w14:textId="659D95A8"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Operating margin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6D4FD39E"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of profitability from patient-care services across all available cost-reporting years</w:t>
            </w:r>
          </w:p>
        </w:tc>
      </w:tr>
      <w:tr w:rsidR="00C56479" w:rsidRPr="00BF79E8" w14:paraId="15033D95"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308592CD" w14:textId="078041C1"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Charge markup (Mean)</w:t>
            </w:r>
          </w:p>
        </w:tc>
        <w:tc>
          <w:tcPr>
            <w:tcW w:w="4676" w:type="dxa"/>
            <w:tcBorders>
              <w:top w:val="nil"/>
              <w:left w:val="nil"/>
              <w:bottom w:val="single" w:sz="4" w:space="0" w:color="auto"/>
              <w:right w:val="single" w:sz="4" w:space="0" w:color="auto"/>
            </w:tcBorders>
            <w:shd w:val="clear" w:color="auto" w:fill="auto"/>
            <w:vAlign w:val="center"/>
          </w:tcPr>
          <w:p w14:paraId="0481D3AA"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Charge markup: Charge markup measures how much higher a hospital’s billed charges </w:t>
            </w:r>
            <w:proofErr w:type="gramStart"/>
            <w:r w:rsidRPr="2B3D61D0">
              <w:rPr>
                <w:rFonts w:ascii="Times New Roman" w:eastAsia="Times New Roman" w:hAnsi="Times New Roman" w:cs="Times New Roman"/>
              </w:rPr>
              <w:t>are compared</w:t>
            </w:r>
            <w:proofErr w:type="gramEnd"/>
            <w:r w:rsidRPr="2B3D61D0">
              <w:rPr>
                <w:rFonts w:ascii="Times New Roman" w:eastAsia="Times New Roman" w:hAnsi="Times New Roman" w:cs="Times New Roman"/>
              </w:rPr>
              <w:t xml:space="preserve"> to its actual costs for providing care.                                                                         </w:t>
            </w:r>
          </w:p>
          <w:p w14:paraId="03A1D330" w14:textId="77777777" w:rsidR="00C56479" w:rsidRPr="00BF79E8" w:rsidRDefault="00C56479" w:rsidP="00C56479">
            <w:pPr>
              <w:spacing w:after="0" w:line="240" w:lineRule="auto"/>
              <w:rPr>
                <w:rFonts w:ascii="Times New Roman" w:eastAsia="Times New Roman" w:hAnsi="Times New Roman" w:cs="Times New Roman"/>
              </w:rPr>
            </w:pPr>
          </w:p>
          <w:p w14:paraId="0F5D9AAB" w14:textId="722F9547"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Charge markup (Mean): Average ratio of hospital service charges to estimated costs across all available cost-reporting years</w:t>
            </w:r>
          </w:p>
        </w:tc>
      </w:tr>
      <w:tr w:rsidR="00C56479" w:rsidRPr="00BF79E8" w14:paraId="6F3A2D39"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2A7CEB15" w14:textId="1F3272F3" w:rsidR="00C56479" w:rsidRDefault="00C56479" w:rsidP="00C56479">
            <w:pPr>
              <w:spacing w:after="0"/>
              <w:rPr>
                <w:rFonts w:ascii="Times New Roman" w:eastAsia="Times New Roman" w:hAnsi="Times New Roman" w:cs="Times New Roman"/>
              </w:rPr>
            </w:pPr>
            <w:bookmarkStart w:id="0" w:name="_GoBack"/>
            <w:bookmarkEnd w:id="0"/>
            <w:r w:rsidRPr="2B3D61D0">
              <w:rPr>
                <w:rFonts w:ascii="Times New Roman" w:eastAsia="Times New Roman" w:hAnsi="Times New Roman" w:cs="Times New Roman"/>
              </w:rPr>
              <w:t>Charge markup (Median)</w:t>
            </w:r>
          </w:p>
        </w:tc>
        <w:tc>
          <w:tcPr>
            <w:tcW w:w="4676" w:type="dxa"/>
            <w:tcBorders>
              <w:top w:val="nil"/>
              <w:left w:val="nil"/>
              <w:bottom w:val="single" w:sz="4" w:space="0" w:color="auto"/>
              <w:right w:val="single" w:sz="4" w:space="0" w:color="auto"/>
            </w:tcBorders>
            <w:shd w:val="clear" w:color="auto" w:fill="auto"/>
            <w:vAlign w:val="center"/>
            <w:hideMark/>
          </w:tcPr>
          <w:p w14:paraId="337C2960" w14:textId="7A9606F4"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ratio of hospital service charges to estimated costs across all available cost-reporting years.</w:t>
            </w:r>
          </w:p>
        </w:tc>
      </w:tr>
      <w:tr w:rsidR="00C56479" w:rsidRPr="00BF79E8" w14:paraId="5E8C5512"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51225608" w14:textId="15615462"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Charge markup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111253D3" w14:textId="65A50154"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hospital service charges to estimated costs across all available cost-reporting years.</w:t>
            </w:r>
          </w:p>
        </w:tc>
      </w:tr>
      <w:tr w:rsidR="00C56479" w:rsidRPr="00BF79E8" w14:paraId="19F847EB"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B57BA33" w14:textId="3A2A0139"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Charge markup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4D5A84A7" w14:textId="3073F910"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ratio of hospital service charges to estimated costs across all available cost-reporting years.</w:t>
            </w:r>
          </w:p>
        </w:tc>
      </w:tr>
      <w:tr w:rsidR="00C56479" w:rsidRPr="00BF79E8" w14:paraId="04591A49"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42118FE5" w14:textId="184C90A0" w:rsidR="00C56479" w:rsidRPr="2B3D61D0"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Occupancy rate (Mean)</w:t>
            </w:r>
          </w:p>
        </w:tc>
        <w:tc>
          <w:tcPr>
            <w:tcW w:w="4676" w:type="dxa"/>
            <w:tcBorders>
              <w:top w:val="nil"/>
              <w:left w:val="nil"/>
              <w:bottom w:val="single" w:sz="4" w:space="0" w:color="auto"/>
              <w:right w:val="single" w:sz="4" w:space="0" w:color="auto"/>
            </w:tcBorders>
            <w:shd w:val="clear" w:color="auto" w:fill="auto"/>
            <w:vAlign w:val="center"/>
          </w:tcPr>
          <w:p w14:paraId="7DEF325F" w14:textId="77777777" w:rsidR="00C56479" w:rsidRPr="00BF79E8" w:rsidRDefault="00C56479" w:rsidP="00C56479">
            <w:pPr>
              <w:spacing w:after="0" w:line="240" w:lineRule="auto"/>
              <w:rPr>
                <w:rFonts w:ascii="Times New Roman" w:eastAsia="Times New Roman" w:hAnsi="Times New Roman" w:cs="Times New Roman"/>
                <w:color w:val="000000" w:themeColor="text1"/>
              </w:rPr>
            </w:pPr>
            <w:r w:rsidRPr="2B3D61D0">
              <w:rPr>
                <w:rFonts w:ascii="Times New Roman" w:eastAsia="Times New Roman" w:hAnsi="Times New Roman" w:cs="Times New Roman"/>
              </w:rPr>
              <w:t xml:space="preserve">Occupancy rate: measures how efficiently a hospital uses its available beds. </w:t>
            </w:r>
            <w:proofErr w:type="gramStart"/>
            <w:r w:rsidRPr="2B3D61D0">
              <w:rPr>
                <w:rFonts w:ascii="Times New Roman" w:eastAsia="Times New Roman" w:hAnsi="Times New Roman" w:cs="Times New Roman"/>
              </w:rPr>
              <w:t>measures</w:t>
            </w:r>
            <w:proofErr w:type="gramEnd"/>
            <w:r w:rsidRPr="2B3D61D0">
              <w:rPr>
                <w:rFonts w:ascii="Times New Roman" w:eastAsia="Times New Roman" w:hAnsi="Times New Roman" w:cs="Times New Roman"/>
              </w:rPr>
              <w:t xml:space="preserve"> how efficiently a hospital uses its available beds.                                                                       </w:t>
            </w:r>
          </w:p>
          <w:p w14:paraId="5C6C570D" w14:textId="77777777" w:rsidR="00C56479" w:rsidRDefault="00C56479" w:rsidP="00C56479">
            <w:pPr>
              <w:spacing w:after="0" w:line="240" w:lineRule="auto"/>
              <w:rPr>
                <w:rFonts w:ascii="Times New Roman" w:eastAsia="Times New Roman" w:hAnsi="Times New Roman" w:cs="Times New Roman"/>
              </w:rPr>
            </w:pPr>
          </w:p>
          <w:p w14:paraId="36CA2779" w14:textId="43548755"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Occupancy rate (Mean): Average percentage of available hospital bed-days that were occupied by inpatients across all available cost-reporting years</w:t>
            </w:r>
          </w:p>
        </w:tc>
      </w:tr>
      <w:tr w:rsidR="00C56479" w:rsidRPr="00BF79E8" w14:paraId="1AA72F66"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F669E91" w14:textId="6BF14725"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Occupancy rate (Median)</w:t>
            </w:r>
          </w:p>
        </w:tc>
        <w:tc>
          <w:tcPr>
            <w:tcW w:w="4676" w:type="dxa"/>
            <w:tcBorders>
              <w:top w:val="nil"/>
              <w:left w:val="nil"/>
              <w:bottom w:val="single" w:sz="4" w:space="0" w:color="auto"/>
              <w:right w:val="single" w:sz="4" w:space="0" w:color="auto"/>
            </w:tcBorders>
            <w:shd w:val="clear" w:color="auto" w:fill="auto"/>
            <w:vAlign w:val="center"/>
            <w:hideMark/>
          </w:tcPr>
          <w:p w14:paraId="4A12D427"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Median percentage of available hospital bed-days that </w:t>
            </w:r>
            <w:proofErr w:type="gramStart"/>
            <w:r w:rsidRPr="2B3D61D0">
              <w:rPr>
                <w:rFonts w:ascii="Times New Roman" w:eastAsia="Times New Roman" w:hAnsi="Times New Roman" w:cs="Times New Roman"/>
              </w:rPr>
              <w:t>were occupied</w:t>
            </w:r>
            <w:proofErr w:type="gramEnd"/>
            <w:r w:rsidRPr="2B3D61D0">
              <w:rPr>
                <w:rFonts w:ascii="Times New Roman" w:eastAsia="Times New Roman" w:hAnsi="Times New Roman" w:cs="Times New Roman"/>
              </w:rPr>
              <w:t xml:space="preserve"> by inpatients across all available cost-reporting years.</w:t>
            </w:r>
          </w:p>
        </w:tc>
      </w:tr>
      <w:tr w:rsidR="00C56479" w:rsidRPr="00BF79E8" w14:paraId="1997EB51"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644B653" w14:textId="4B230645"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lastRenderedPageBreak/>
              <w:t>Occupancy rate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21064666" w14:textId="77777777" w:rsidR="00C56479" w:rsidRPr="00BF79E8" w:rsidRDefault="00C56479" w:rsidP="00C56479">
            <w:pPr>
              <w:spacing w:after="0" w:line="240" w:lineRule="auto"/>
              <w:rPr>
                <w:rFonts w:ascii="Times New Roman" w:eastAsia="Times New Roman" w:hAnsi="Times New Roman" w:cs="Times New Roman"/>
              </w:rPr>
            </w:pPr>
            <w:proofErr w:type="gramStart"/>
            <w:r w:rsidRPr="2B3D61D0">
              <w:rPr>
                <w:rFonts w:ascii="Times New Roman" w:eastAsia="Times New Roman" w:hAnsi="Times New Roman" w:cs="Times New Roman"/>
              </w:rPr>
              <w:t>standard</w:t>
            </w:r>
            <w:proofErr w:type="gramEnd"/>
            <w:r w:rsidRPr="2B3D61D0">
              <w:rPr>
                <w:rFonts w:ascii="Times New Roman" w:eastAsia="Times New Roman" w:hAnsi="Times New Roman" w:cs="Times New Roman"/>
              </w:rPr>
              <w:t xml:space="preserve"> deviation percentage of available hospital bed-days that were occupied by inpatients across all available cost-reporting years.</w:t>
            </w:r>
          </w:p>
        </w:tc>
      </w:tr>
      <w:tr w:rsidR="00C56479" w:rsidRPr="00BF79E8" w14:paraId="75129D92"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7B49CFF8" w14:textId="4E4C57E3"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Occupancy rate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24757922"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IQR percentage of available hospital bed-days that </w:t>
            </w:r>
            <w:proofErr w:type="gramStart"/>
            <w:r w:rsidRPr="2B3D61D0">
              <w:rPr>
                <w:rFonts w:ascii="Times New Roman" w:eastAsia="Times New Roman" w:hAnsi="Times New Roman" w:cs="Times New Roman"/>
              </w:rPr>
              <w:t>were occupied</w:t>
            </w:r>
            <w:proofErr w:type="gramEnd"/>
            <w:r w:rsidRPr="2B3D61D0">
              <w:rPr>
                <w:rFonts w:ascii="Times New Roman" w:eastAsia="Times New Roman" w:hAnsi="Times New Roman" w:cs="Times New Roman"/>
              </w:rPr>
              <w:t xml:space="preserve"> by inpatients across all available cost-reporting years.</w:t>
            </w:r>
          </w:p>
        </w:tc>
      </w:tr>
      <w:tr w:rsidR="00C56479" w:rsidRPr="00BF79E8" w14:paraId="0BCC65A7"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tcPr>
          <w:p w14:paraId="29D09763" w14:textId="3F0D0F90" w:rsidR="00C56479" w:rsidRPr="2B3D61D0"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Medicaid payer mix (Mean)</w:t>
            </w:r>
          </w:p>
        </w:tc>
        <w:tc>
          <w:tcPr>
            <w:tcW w:w="4676" w:type="dxa"/>
            <w:tcBorders>
              <w:top w:val="nil"/>
              <w:left w:val="nil"/>
              <w:bottom w:val="single" w:sz="4" w:space="0" w:color="auto"/>
              <w:right w:val="single" w:sz="4" w:space="0" w:color="auto"/>
            </w:tcBorders>
            <w:shd w:val="clear" w:color="auto" w:fill="auto"/>
            <w:vAlign w:val="center"/>
          </w:tcPr>
          <w:p w14:paraId="7D5ABFE5"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Medicaid payer mix shows what percentage of a hospital’s total billed charges came from Medicaid patients.      </w:t>
            </w:r>
          </w:p>
          <w:p w14:paraId="1D80B1A0" w14:textId="77777777" w:rsidR="00C56479" w:rsidRPr="00BF79E8" w:rsidRDefault="00C56479" w:rsidP="00C56479">
            <w:pPr>
              <w:spacing w:after="0" w:line="240" w:lineRule="auto"/>
              <w:rPr>
                <w:rFonts w:ascii="Times New Roman" w:eastAsia="Times New Roman" w:hAnsi="Times New Roman" w:cs="Times New Roman"/>
                <w:color w:val="000000" w:themeColor="text1"/>
              </w:rPr>
            </w:pPr>
            <w:r w:rsidRPr="2B3D61D0">
              <w:rPr>
                <w:rFonts w:ascii="Times New Roman" w:eastAsia="Times New Roman" w:hAnsi="Times New Roman" w:cs="Times New Roman"/>
              </w:rPr>
              <w:t xml:space="preserve">                                                        </w:t>
            </w:r>
          </w:p>
          <w:p w14:paraId="424C7FB7" w14:textId="6D2AFD4C"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Medicaid payer mix (Mean): Average proportion of total hospital charges attributed to Medicaid patients across all available cost-reporting years.</w:t>
            </w:r>
          </w:p>
        </w:tc>
      </w:tr>
      <w:tr w:rsidR="00C56479" w:rsidRPr="00BF79E8" w14:paraId="0AEEAE09"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58F52B76" w14:textId="43AD5223"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Medicaid payer mix (Median)</w:t>
            </w:r>
          </w:p>
        </w:tc>
        <w:tc>
          <w:tcPr>
            <w:tcW w:w="4676" w:type="dxa"/>
            <w:tcBorders>
              <w:top w:val="nil"/>
              <w:left w:val="nil"/>
              <w:bottom w:val="single" w:sz="4" w:space="0" w:color="auto"/>
              <w:right w:val="single" w:sz="4" w:space="0" w:color="auto"/>
            </w:tcBorders>
            <w:shd w:val="clear" w:color="auto" w:fill="auto"/>
            <w:vAlign w:val="center"/>
            <w:hideMark/>
          </w:tcPr>
          <w:p w14:paraId="284AE8CF"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proportion of total hospital charges attributed to Medicaid patients across all reporting years.</w:t>
            </w:r>
          </w:p>
        </w:tc>
      </w:tr>
      <w:tr w:rsidR="00C56479" w:rsidRPr="00BF79E8" w14:paraId="65CA8279"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CC41A29" w14:textId="0FFD714C"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Medicaid payer mix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729EB1FC"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the proportion of total hospital charges attributed to Medicaid patients across all reporting years.</w:t>
            </w:r>
          </w:p>
        </w:tc>
      </w:tr>
      <w:tr w:rsidR="00C56479" w:rsidRPr="00BF79E8" w14:paraId="275CBBB9"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2983200D" w14:textId="63C0A051"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Medicaid payer mix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766071DF" w14:textId="521EDA1A"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The IQR proportion of total hospital charges attributed to Medicaid patients across all reporting years.</w:t>
            </w:r>
          </w:p>
        </w:tc>
      </w:tr>
      <w:tr w:rsidR="00C56479" w:rsidRPr="00BF79E8" w14:paraId="21D5169D"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477B77A6" w14:textId="02482050" w:rsidR="00C56479" w:rsidRPr="2B3D61D0"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Return on equity (Mean)</w:t>
            </w:r>
          </w:p>
        </w:tc>
        <w:tc>
          <w:tcPr>
            <w:tcW w:w="4676" w:type="dxa"/>
            <w:tcBorders>
              <w:top w:val="nil"/>
              <w:left w:val="nil"/>
              <w:bottom w:val="single" w:sz="4" w:space="0" w:color="auto"/>
              <w:right w:val="single" w:sz="4" w:space="0" w:color="auto"/>
            </w:tcBorders>
            <w:shd w:val="clear" w:color="auto" w:fill="auto"/>
            <w:vAlign w:val="center"/>
          </w:tcPr>
          <w:p w14:paraId="7BAF9497" w14:textId="77777777" w:rsidR="00C56479" w:rsidRPr="00BF79E8" w:rsidRDefault="00C56479" w:rsidP="00C56479">
            <w:pPr>
              <w:spacing w:after="0" w:line="240" w:lineRule="auto"/>
              <w:rPr>
                <w:rFonts w:ascii="Times New Roman" w:eastAsia="Times New Roman" w:hAnsi="Times New Roman" w:cs="Times New Roman"/>
                <w:color w:val="000000" w:themeColor="text1"/>
              </w:rPr>
            </w:pPr>
            <w:r w:rsidRPr="2B3D61D0">
              <w:rPr>
                <w:rFonts w:ascii="Times New Roman" w:eastAsia="Times New Roman" w:hAnsi="Times New Roman" w:cs="Times New Roman"/>
              </w:rPr>
              <w:t xml:space="preserve">Return on equity: measures how efficiently a hospital turns its total equity (fund balances) into profit.                                                                 </w:t>
            </w:r>
          </w:p>
          <w:p w14:paraId="19E4522E" w14:textId="77777777" w:rsidR="00C56479" w:rsidRPr="00BF79E8" w:rsidRDefault="00C56479" w:rsidP="00C56479">
            <w:pPr>
              <w:spacing w:after="0" w:line="240" w:lineRule="auto"/>
              <w:rPr>
                <w:rFonts w:ascii="Times New Roman" w:eastAsia="Times New Roman" w:hAnsi="Times New Roman" w:cs="Times New Roman"/>
              </w:rPr>
            </w:pPr>
          </w:p>
          <w:p w14:paraId="66A9F97D" w14:textId="673162C9"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Return on equity (Mean): Average percentage of net income generated relative to total fund balances (equity) across all available cost-reporting years.</w:t>
            </w:r>
          </w:p>
        </w:tc>
      </w:tr>
      <w:tr w:rsidR="00C56479" w:rsidRPr="00BF79E8" w14:paraId="78721A69"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B068C16" w14:textId="2C4B19CD"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Return on equity (Median)</w:t>
            </w:r>
          </w:p>
        </w:tc>
        <w:tc>
          <w:tcPr>
            <w:tcW w:w="4676" w:type="dxa"/>
            <w:tcBorders>
              <w:top w:val="nil"/>
              <w:left w:val="nil"/>
              <w:bottom w:val="single" w:sz="4" w:space="0" w:color="auto"/>
              <w:right w:val="single" w:sz="4" w:space="0" w:color="auto"/>
            </w:tcBorders>
            <w:shd w:val="clear" w:color="auto" w:fill="auto"/>
            <w:vAlign w:val="center"/>
            <w:hideMark/>
          </w:tcPr>
          <w:p w14:paraId="75221BEF"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percentage of net income generated relative to total fund balances (equity) across all available cost-reporting years.</w:t>
            </w:r>
          </w:p>
        </w:tc>
      </w:tr>
      <w:tr w:rsidR="00C56479" w:rsidRPr="00BF79E8" w14:paraId="1EE86B07"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0058982A" w14:textId="05C7DC40"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Return on equity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3315E791"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the percentage of net income generated relative to total fund balances (equity) across all available cost-reporting years.</w:t>
            </w:r>
          </w:p>
        </w:tc>
      </w:tr>
      <w:tr w:rsidR="00C56479" w:rsidRPr="00BF79E8" w14:paraId="690A4B8D"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BBD89D3" w14:textId="57765556"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Return on equity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688280BF"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of the percentage of net income generated relative to total fund balances (equity) across all available cost-reporting years.</w:t>
            </w:r>
          </w:p>
        </w:tc>
      </w:tr>
      <w:tr w:rsidR="00C56479" w:rsidRPr="00BF79E8" w14:paraId="484A7C74" w14:textId="77777777" w:rsidTr="2B3D61D0">
        <w:trPr>
          <w:trHeight w:val="576"/>
        </w:trPr>
        <w:tc>
          <w:tcPr>
            <w:tcW w:w="4674" w:type="dxa"/>
            <w:tcBorders>
              <w:top w:val="nil"/>
              <w:left w:val="single" w:sz="4" w:space="0" w:color="auto"/>
              <w:bottom w:val="single" w:sz="4" w:space="0" w:color="auto"/>
              <w:right w:val="single" w:sz="4" w:space="0" w:color="auto"/>
            </w:tcBorders>
            <w:shd w:val="clear" w:color="auto" w:fill="auto"/>
            <w:vAlign w:val="center"/>
          </w:tcPr>
          <w:p w14:paraId="36CC283C" w14:textId="715C2103" w:rsidR="00C56479" w:rsidRPr="2B3D61D0"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Current ratio (Mean)</w:t>
            </w:r>
          </w:p>
        </w:tc>
        <w:tc>
          <w:tcPr>
            <w:tcW w:w="4676" w:type="dxa"/>
            <w:tcBorders>
              <w:top w:val="nil"/>
              <w:left w:val="nil"/>
              <w:bottom w:val="single" w:sz="4" w:space="0" w:color="auto"/>
              <w:right w:val="single" w:sz="4" w:space="0" w:color="auto"/>
            </w:tcBorders>
            <w:shd w:val="clear" w:color="auto" w:fill="auto"/>
            <w:vAlign w:val="center"/>
          </w:tcPr>
          <w:p w14:paraId="4A5245FE" w14:textId="77777777" w:rsidR="00C56479" w:rsidRPr="00BF79E8" w:rsidRDefault="00C56479" w:rsidP="00C56479">
            <w:pPr>
              <w:spacing w:after="0" w:line="240" w:lineRule="auto"/>
              <w:rPr>
                <w:rFonts w:ascii="Times New Roman" w:eastAsia="Times New Roman" w:hAnsi="Times New Roman" w:cs="Times New Roman"/>
                <w:color w:val="000000" w:themeColor="text1"/>
              </w:rPr>
            </w:pPr>
            <w:r w:rsidRPr="2B3D61D0">
              <w:rPr>
                <w:rFonts w:ascii="Times New Roman" w:eastAsia="Times New Roman" w:hAnsi="Times New Roman" w:cs="Times New Roman"/>
              </w:rPr>
              <w:t xml:space="preserve">Current ratio measures how easily a hospital can pay its short-term bills using its short-term assets.                                                                      </w:t>
            </w:r>
          </w:p>
          <w:p w14:paraId="5153FC76" w14:textId="77777777" w:rsidR="00C56479" w:rsidRPr="00BF79E8" w:rsidRDefault="00C56479" w:rsidP="00C56479">
            <w:pPr>
              <w:spacing w:after="0" w:line="240" w:lineRule="auto"/>
              <w:rPr>
                <w:rFonts w:ascii="Times New Roman" w:eastAsia="Times New Roman" w:hAnsi="Times New Roman" w:cs="Times New Roman"/>
              </w:rPr>
            </w:pPr>
          </w:p>
          <w:p w14:paraId="513062C8" w14:textId="1E0916E2"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Current ratio (Mean): Average liquidity ratio representing the hospital’s ability to meet short-term obligations across all available cost-reporting years.</w:t>
            </w:r>
          </w:p>
        </w:tc>
      </w:tr>
      <w:tr w:rsidR="00C56479" w:rsidRPr="00BF79E8" w14:paraId="12F57F31"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B60607E" w14:textId="168B9C6B"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Current ratio (Median)</w:t>
            </w:r>
          </w:p>
        </w:tc>
        <w:tc>
          <w:tcPr>
            <w:tcW w:w="4676" w:type="dxa"/>
            <w:tcBorders>
              <w:top w:val="nil"/>
              <w:left w:val="nil"/>
              <w:bottom w:val="single" w:sz="4" w:space="0" w:color="auto"/>
              <w:right w:val="single" w:sz="4" w:space="0" w:color="auto"/>
            </w:tcBorders>
            <w:shd w:val="clear" w:color="auto" w:fill="auto"/>
            <w:vAlign w:val="center"/>
            <w:hideMark/>
          </w:tcPr>
          <w:p w14:paraId="7F8AA5FB"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liquidity ratio across all cost-reporting years.</w:t>
            </w:r>
          </w:p>
        </w:tc>
      </w:tr>
      <w:tr w:rsidR="00C56479" w:rsidRPr="00BF79E8" w14:paraId="10C1CF44"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27A74D5E" w14:textId="1D43D025"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Current ratio (Standard deviation)</w:t>
            </w:r>
          </w:p>
        </w:tc>
        <w:tc>
          <w:tcPr>
            <w:tcW w:w="4676" w:type="dxa"/>
            <w:tcBorders>
              <w:top w:val="nil"/>
              <w:left w:val="nil"/>
              <w:bottom w:val="single" w:sz="4" w:space="0" w:color="auto"/>
              <w:right w:val="single" w:sz="4" w:space="0" w:color="auto"/>
            </w:tcBorders>
            <w:shd w:val="clear" w:color="auto" w:fill="auto"/>
            <w:vAlign w:val="bottom"/>
            <w:hideMark/>
          </w:tcPr>
          <w:p w14:paraId="02F9D0F4"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the current ratio across all reporting years.</w:t>
            </w:r>
          </w:p>
        </w:tc>
      </w:tr>
      <w:tr w:rsidR="00C56479" w:rsidRPr="00BF79E8" w14:paraId="7FE61D2D"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626AFF44" w14:textId="7CA99582"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lastRenderedPageBreak/>
              <w:t>Current ratio (Interquartile range)</w:t>
            </w:r>
          </w:p>
        </w:tc>
        <w:tc>
          <w:tcPr>
            <w:tcW w:w="4676" w:type="dxa"/>
            <w:tcBorders>
              <w:top w:val="nil"/>
              <w:left w:val="nil"/>
              <w:bottom w:val="single" w:sz="4" w:space="0" w:color="auto"/>
              <w:right w:val="single" w:sz="4" w:space="0" w:color="auto"/>
            </w:tcBorders>
            <w:shd w:val="clear" w:color="auto" w:fill="auto"/>
            <w:vAlign w:val="bottom"/>
            <w:hideMark/>
          </w:tcPr>
          <w:p w14:paraId="108FAF98"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of the liquidity ratio across all cost-reporting years.</w:t>
            </w:r>
          </w:p>
        </w:tc>
      </w:tr>
      <w:tr w:rsidR="00C56479" w:rsidRPr="00BF79E8" w14:paraId="49F2F46F"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6AEBE279" w14:textId="2E3466D8" w:rsidR="00C56479" w:rsidRPr="2B3D61D0"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Equity financing (Mean)</w:t>
            </w:r>
          </w:p>
        </w:tc>
        <w:tc>
          <w:tcPr>
            <w:tcW w:w="4676" w:type="dxa"/>
            <w:tcBorders>
              <w:top w:val="nil"/>
              <w:left w:val="nil"/>
              <w:bottom w:val="single" w:sz="4" w:space="0" w:color="auto"/>
              <w:right w:val="single" w:sz="4" w:space="0" w:color="auto"/>
            </w:tcBorders>
            <w:shd w:val="clear" w:color="auto" w:fill="auto"/>
            <w:vAlign w:val="bottom"/>
          </w:tcPr>
          <w:p w14:paraId="3EBDFC85"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Equity financing shows what portion of a hospital’s total assets </w:t>
            </w:r>
            <w:proofErr w:type="gramStart"/>
            <w:r w:rsidRPr="2B3D61D0">
              <w:rPr>
                <w:rFonts w:ascii="Times New Roman" w:eastAsia="Times New Roman" w:hAnsi="Times New Roman" w:cs="Times New Roman"/>
              </w:rPr>
              <w:t>are financed</w:t>
            </w:r>
            <w:proofErr w:type="gramEnd"/>
            <w:r w:rsidRPr="2B3D61D0">
              <w:rPr>
                <w:rFonts w:ascii="Times New Roman" w:eastAsia="Times New Roman" w:hAnsi="Times New Roman" w:cs="Times New Roman"/>
              </w:rPr>
              <w:t xml:space="preserve"> through its own funds (equity) instead of borrowed money (liabilities).       </w:t>
            </w:r>
          </w:p>
          <w:p w14:paraId="198D51E9" w14:textId="77777777" w:rsidR="00C56479" w:rsidRPr="00BF79E8" w:rsidRDefault="00C56479" w:rsidP="00C56479">
            <w:pPr>
              <w:spacing w:after="0" w:line="240" w:lineRule="auto"/>
              <w:rPr>
                <w:rFonts w:ascii="Times New Roman" w:eastAsia="Times New Roman" w:hAnsi="Times New Roman" w:cs="Times New Roman"/>
                <w:color w:val="000000" w:themeColor="text1"/>
              </w:rPr>
            </w:pPr>
            <w:r w:rsidRPr="2B3D61D0">
              <w:rPr>
                <w:rFonts w:ascii="Times New Roman" w:eastAsia="Times New Roman" w:hAnsi="Times New Roman" w:cs="Times New Roman"/>
              </w:rPr>
              <w:t xml:space="preserve">                                                              </w:t>
            </w:r>
          </w:p>
          <w:p w14:paraId="765C31E4" w14:textId="5D8C1815"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Equity financing (Mean): Average percentage of total hospital assets financed through equity (fund balances) across all available cost-reporting years.</w:t>
            </w:r>
          </w:p>
        </w:tc>
      </w:tr>
      <w:tr w:rsidR="00C56479" w:rsidRPr="00BF79E8" w14:paraId="66463B28"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54BB60C4" w14:textId="4150AE8C"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Equity financing (Median)</w:t>
            </w:r>
          </w:p>
        </w:tc>
        <w:tc>
          <w:tcPr>
            <w:tcW w:w="4676" w:type="dxa"/>
            <w:tcBorders>
              <w:top w:val="nil"/>
              <w:left w:val="nil"/>
              <w:bottom w:val="single" w:sz="4" w:space="0" w:color="auto"/>
              <w:right w:val="single" w:sz="4" w:space="0" w:color="auto"/>
            </w:tcBorders>
            <w:shd w:val="clear" w:color="auto" w:fill="auto"/>
            <w:vAlign w:val="center"/>
            <w:hideMark/>
          </w:tcPr>
          <w:p w14:paraId="39BD093C"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percentage of total hospital assets financed through equity across all available cost-reporting years.</w:t>
            </w:r>
          </w:p>
        </w:tc>
      </w:tr>
      <w:tr w:rsidR="00C56479" w:rsidRPr="00BF79E8" w14:paraId="41BAD7B4"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CD88121" w14:textId="5AF7EF0D"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Equity financing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48E63BF0"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equity financing ratios across all available cost-reporting years.</w:t>
            </w:r>
          </w:p>
        </w:tc>
      </w:tr>
      <w:tr w:rsidR="00C56479" w:rsidRPr="00BF79E8" w14:paraId="2E324986"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1FD1415F" w14:textId="24B163BA"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Equity financing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31A518D0"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of equity financing ratios across all available cost-reporting</w:t>
            </w:r>
          </w:p>
        </w:tc>
      </w:tr>
      <w:tr w:rsidR="00C56479" w:rsidRPr="00BF79E8" w14:paraId="79EF3A85"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66E2CC09" w14:textId="3B15EA23" w:rsidR="00C56479" w:rsidRPr="2B3D61D0"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Disproportionate Share Hospital (DSH) adjustment (Mean)</w:t>
            </w:r>
          </w:p>
        </w:tc>
        <w:tc>
          <w:tcPr>
            <w:tcW w:w="4676" w:type="dxa"/>
            <w:tcBorders>
              <w:top w:val="nil"/>
              <w:left w:val="nil"/>
              <w:bottom w:val="single" w:sz="4" w:space="0" w:color="auto"/>
              <w:right w:val="single" w:sz="4" w:space="0" w:color="auto"/>
            </w:tcBorders>
            <w:shd w:val="clear" w:color="auto" w:fill="auto"/>
            <w:vAlign w:val="center"/>
          </w:tcPr>
          <w:p w14:paraId="0D9810CC" w14:textId="77777777" w:rsidR="00C56479" w:rsidRPr="00BF79E8" w:rsidRDefault="00C56479" w:rsidP="00C56479">
            <w:pPr>
              <w:spacing w:after="0" w:line="240" w:lineRule="auto"/>
              <w:rPr>
                <w:rFonts w:ascii="Times New Roman" w:eastAsia="Times New Roman" w:hAnsi="Times New Roman" w:cs="Times New Roman"/>
                <w:color w:val="000000" w:themeColor="text1"/>
              </w:rPr>
            </w:pPr>
            <w:r w:rsidRPr="2B3D61D0">
              <w:rPr>
                <w:rFonts w:ascii="Times New Roman" w:eastAsia="Times New Roman" w:hAnsi="Times New Roman" w:cs="Times New Roman"/>
              </w:rPr>
              <w:t xml:space="preserve">DSH percentage shows how much extra reimbursement a hospital gets for serving low-income and Medicaid patients.                                                            </w:t>
            </w:r>
          </w:p>
          <w:p w14:paraId="1DC91AFB" w14:textId="77777777" w:rsidR="00C56479" w:rsidRPr="00BF79E8" w:rsidRDefault="00C56479" w:rsidP="00C56479">
            <w:pPr>
              <w:spacing w:after="0" w:line="240" w:lineRule="auto"/>
              <w:rPr>
                <w:rFonts w:ascii="Times New Roman" w:eastAsia="Times New Roman" w:hAnsi="Times New Roman" w:cs="Times New Roman"/>
              </w:rPr>
            </w:pPr>
          </w:p>
          <w:p w14:paraId="25BA5F85" w14:textId="471CE3DA"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DSH (Mean): Average allowable Disproportionate Share Hospital (DSH) adjustment percentage across all available cost-reporting years.</w:t>
            </w:r>
          </w:p>
        </w:tc>
      </w:tr>
      <w:tr w:rsidR="00C56479" w:rsidRPr="00BF79E8" w14:paraId="697105D4"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5573E52E" w14:textId="75139F6F"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Disproportionate Share Hospital (DSH) adjustment (Median)</w:t>
            </w:r>
          </w:p>
        </w:tc>
        <w:tc>
          <w:tcPr>
            <w:tcW w:w="4676" w:type="dxa"/>
            <w:tcBorders>
              <w:top w:val="nil"/>
              <w:left w:val="nil"/>
              <w:bottom w:val="single" w:sz="4" w:space="0" w:color="auto"/>
              <w:right w:val="single" w:sz="4" w:space="0" w:color="auto"/>
            </w:tcBorders>
            <w:shd w:val="clear" w:color="auto" w:fill="auto"/>
            <w:vAlign w:val="center"/>
            <w:hideMark/>
          </w:tcPr>
          <w:p w14:paraId="1C5142B0"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allowable DSH adjustment percentage across all available cost-reporting years.</w:t>
            </w:r>
          </w:p>
        </w:tc>
      </w:tr>
      <w:tr w:rsidR="00C56479" w:rsidRPr="00BF79E8" w14:paraId="18DB3189"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552A324F" w14:textId="66015FA1"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Disproportionate Share Hospital (DSH) adjustment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64D7E8E1"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allowable DSH percentages across all cost-reporting years.</w:t>
            </w:r>
          </w:p>
        </w:tc>
      </w:tr>
      <w:tr w:rsidR="00C56479" w:rsidRPr="00BF79E8" w14:paraId="61A2EF7A"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5350F8D" w14:textId="4F17DA7A"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Disproportionate Share Hospital (DSH) adjustment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350BC51D"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of allowable DSH percentages across all cost-reporting years.</w:t>
            </w:r>
          </w:p>
        </w:tc>
      </w:tr>
      <w:tr w:rsidR="00C56479" w:rsidRPr="00BF79E8" w14:paraId="7017B1A0"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7A2B3379" w14:textId="115B5F5E" w:rsidR="00C56479" w:rsidRPr="2B3D61D0"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Medicare discharge share (Mean)</w:t>
            </w:r>
          </w:p>
        </w:tc>
        <w:tc>
          <w:tcPr>
            <w:tcW w:w="4676" w:type="dxa"/>
            <w:tcBorders>
              <w:top w:val="nil"/>
              <w:left w:val="nil"/>
              <w:bottom w:val="single" w:sz="4" w:space="0" w:color="auto"/>
              <w:right w:val="single" w:sz="4" w:space="0" w:color="auto"/>
            </w:tcBorders>
            <w:shd w:val="clear" w:color="auto" w:fill="auto"/>
            <w:vAlign w:val="center"/>
          </w:tcPr>
          <w:p w14:paraId="13ABC0BB"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Medicare discharge share measures what percentage of a hospital’s total patients (discharges) covered by Medicare, the federal insurance program mainly for people aged 65 and older.       </w:t>
            </w:r>
          </w:p>
          <w:p w14:paraId="3F0D8EB0"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                     </w:t>
            </w:r>
          </w:p>
          <w:p w14:paraId="0627DE17"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Medicare discharge share (Mean): </w:t>
            </w:r>
          </w:p>
          <w:p w14:paraId="66629C6B" w14:textId="427FDE44"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 Average percentage of total hospital discharges attributed to Medicare-covered patients across all available cost-reporting years.</w:t>
            </w:r>
          </w:p>
        </w:tc>
      </w:tr>
      <w:tr w:rsidR="00C56479" w:rsidRPr="00BF79E8" w14:paraId="56123DD4"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0CF11AB4" w14:textId="53B5963E"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Medicare discharge share (Median)</w:t>
            </w:r>
          </w:p>
        </w:tc>
        <w:tc>
          <w:tcPr>
            <w:tcW w:w="4676" w:type="dxa"/>
            <w:tcBorders>
              <w:top w:val="nil"/>
              <w:left w:val="nil"/>
              <w:bottom w:val="single" w:sz="4" w:space="0" w:color="auto"/>
              <w:right w:val="single" w:sz="4" w:space="0" w:color="auto"/>
            </w:tcBorders>
            <w:shd w:val="clear" w:color="auto" w:fill="auto"/>
            <w:vAlign w:val="center"/>
            <w:hideMark/>
          </w:tcPr>
          <w:p w14:paraId="79B389CE"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percentage of discharges attributed to Medicare-covered patients across all available cost-reporting years.</w:t>
            </w:r>
          </w:p>
        </w:tc>
      </w:tr>
      <w:tr w:rsidR="00C56479" w:rsidRPr="00BF79E8" w14:paraId="057DD869"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D0785B4" w14:textId="368DA4F2"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Medicare discharge share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0683FA20"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Medicare discharge share across reporting years.</w:t>
            </w:r>
          </w:p>
        </w:tc>
      </w:tr>
      <w:tr w:rsidR="00C56479" w:rsidRPr="00BF79E8" w14:paraId="00FCE9CB"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6C41AA7" w14:textId="58280BC4"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Medicare discharge share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011D3488" w14:textId="2AFF8594"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of Medicare discharge share across reporting years.</w:t>
            </w:r>
          </w:p>
        </w:tc>
      </w:tr>
      <w:tr w:rsidR="00C56479" w:rsidRPr="00BF79E8" w14:paraId="3D90A6C8"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692F83F4" w14:textId="0A33DECB" w:rsidR="00C56479" w:rsidRPr="2B3D61D0"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Medicaid discharge share (Mean)</w:t>
            </w:r>
          </w:p>
        </w:tc>
        <w:tc>
          <w:tcPr>
            <w:tcW w:w="4676" w:type="dxa"/>
            <w:tcBorders>
              <w:top w:val="nil"/>
              <w:left w:val="nil"/>
              <w:bottom w:val="single" w:sz="4" w:space="0" w:color="auto"/>
              <w:right w:val="single" w:sz="4" w:space="0" w:color="auto"/>
            </w:tcBorders>
            <w:shd w:val="clear" w:color="auto" w:fill="auto"/>
            <w:vAlign w:val="center"/>
          </w:tcPr>
          <w:p w14:paraId="14B9B3D2" w14:textId="77777777" w:rsidR="00C56479" w:rsidRPr="00BF79E8" w:rsidRDefault="00C56479" w:rsidP="00C56479">
            <w:pPr>
              <w:spacing w:after="0" w:line="240" w:lineRule="auto"/>
              <w:rPr>
                <w:rFonts w:ascii="Times New Roman" w:eastAsia="Times New Roman" w:hAnsi="Times New Roman" w:cs="Times New Roman"/>
                <w:color w:val="000000" w:themeColor="text1"/>
              </w:rPr>
            </w:pPr>
            <w:r w:rsidRPr="2B3D61D0">
              <w:rPr>
                <w:rFonts w:ascii="Times New Roman" w:eastAsia="Times New Roman" w:hAnsi="Times New Roman" w:cs="Times New Roman"/>
              </w:rPr>
              <w:t xml:space="preserve">Medicaid discharge share shows what percentage of a hospital’s total patients (discharges) are </w:t>
            </w:r>
            <w:r w:rsidRPr="2B3D61D0">
              <w:rPr>
                <w:rFonts w:ascii="Times New Roman" w:eastAsia="Times New Roman" w:hAnsi="Times New Roman" w:cs="Times New Roman"/>
              </w:rPr>
              <w:lastRenderedPageBreak/>
              <w:t xml:space="preserve">covered by Medicaid, the public insurance program for low-income individuals and families.  </w:t>
            </w:r>
          </w:p>
          <w:p w14:paraId="33343FCE" w14:textId="77777777" w:rsidR="00C56479" w:rsidRPr="00BF79E8" w:rsidRDefault="00C56479" w:rsidP="00C56479">
            <w:pPr>
              <w:spacing w:after="0" w:line="240" w:lineRule="auto"/>
              <w:rPr>
                <w:rFonts w:ascii="Times New Roman" w:eastAsia="Times New Roman" w:hAnsi="Times New Roman" w:cs="Times New Roman"/>
              </w:rPr>
            </w:pPr>
          </w:p>
          <w:p w14:paraId="5EE62119" w14:textId="7680845F"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Medicaid discharge share (Mean): Average percentage of total hospital discharges attributed to Medicaid-covered patients across all available cost-reporting years.</w:t>
            </w:r>
          </w:p>
        </w:tc>
      </w:tr>
      <w:tr w:rsidR="00C56479" w:rsidRPr="00BF79E8" w14:paraId="30C3A1EB"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3997F53A" w14:textId="76A236C7"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lastRenderedPageBreak/>
              <w:t>Medicaid discharge share (Median)</w:t>
            </w:r>
          </w:p>
        </w:tc>
        <w:tc>
          <w:tcPr>
            <w:tcW w:w="4676" w:type="dxa"/>
            <w:tcBorders>
              <w:top w:val="nil"/>
              <w:left w:val="nil"/>
              <w:bottom w:val="single" w:sz="4" w:space="0" w:color="auto"/>
              <w:right w:val="single" w:sz="4" w:space="0" w:color="auto"/>
            </w:tcBorders>
            <w:shd w:val="clear" w:color="auto" w:fill="auto"/>
            <w:vAlign w:val="center"/>
            <w:hideMark/>
          </w:tcPr>
          <w:p w14:paraId="16B7C593"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Median percentage of discharges attributed to Medicaid-covered patients across all available cost-reporting years.</w:t>
            </w:r>
          </w:p>
        </w:tc>
      </w:tr>
      <w:tr w:rsidR="00C56479" w:rsidRPr="00BF79E8" w14:paraId="6A49255E"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5AC89771" w14:textId="290E7ADD"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Medicaid discharge share (Standard deviation)</w:t>
            </w:r>
          </w:p>
        </w:tc>
        <w:tc>
          <w:tcPr>
            <w:tcW w:w="4676" w:type="dxa"/>
            <w:tcBorders>
              <w:top w:val="nil"/>
              <w:left w:val="nil"/>
              <w:bottom w:val="single" w:sz="4" w:space="0" w:color="auto"/>
              <w:right w:val="single" w:sz="4" w:space="0" w:color="auto"/>
            </w:tcBorders>
            <w:shd w:val="clear" w:color="auto" w:fill="auto"/>
            <w:vAlign w:val="center"/>
            <w:hideMark/>
          </w:tcPr>
          <w:p w14:paraId="01E4F52B"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Standard deviation of Medicaid discharge share across reporting years.</w:t>
            </w:r>
          </w:p>
        </w:tc>
      </w:tr>
      <w:tr w:rsidR="00C56479" w:rsidRPr="00BF79E8" w14:paraId="726C5EC9"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hideMark/>
          </w:tcPr>
          <w:p w14:paraId="4D3B95AB" w14:textId="7AEA9CEB" w:rsidR="00C56479"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Medicaid discharge share (Interquartile range)</w:t>
            </w:r>
          </w:p>
        </w:tc>
        <w:tc>
          <w:tcPr>
            <w:tcW w:w="4676" w:type="dxa"/>
            <w:tcBorders>
              <w:top w:val="nil"/>
              <w:left w:val="nil"/>
              <w:bottom w:val="single" w:sz="4" w:space="0" w:color="auto"/>
              <w:right w:val="single" w:sz="4" w:space="0" w:color="auto"/>
            </w:tcBorders>
            <w:shd w:val="clear" w:color="auto" w:fill="auto"/>
            <w:vAlign w:val="center"/>
            <w:hideMark/>
          </w:tcPr>
          <w:p w14:paraId="6889C8D9" w14:textId="77777777" w:rsidR="00C56479" w:rsidRPr="00BF79E8"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IQR of Medicaid discharge share across reporting years.</w:t>
            </w:r>
          </w:p>
        </w:tc>
      </w:tr>
      <w:tr w:rsidR="00C56479" w:rsidRPr="00BF79E8" w14:paraId="7638590E" w14:textId="77777777" w:rsidTr="2B3D61D0">
        <w:trPr>
          <w:trHeight w:val="288"/>
        </w:trPr>
        <w:tc>
          <w:tcPr>
            <w:tcW w:w="4674" w:type="dxa"/>
            <w:tcBorders>
              <w:top w:val="nil"/>
              <w:left w:val="single" w:sz="4" w:space="0" w:color="auto"/>
              <w:bottom w:val="single" w:sz="4" w:space="0" w:color="auto"/>
              <w:right w:val="single" w:sz="4" w:space="0" w:color="auto"/>
            </w:tcBorders>
            <w:shd w:val="clear" w:color="auto" w:fill="auto"/>
            <w:vAlign w:val="center"/>
          </w:tcPr>
          <w:p w14:paraId="7DF383A4" w14:textId="7A2951AB" w:rsidR="00C56479" w:rsidRPr="2B3D61D0" w:rsidRDefault="00C56479" w:rsidP="00C56479">
            <w:pPr>
              <w:spacing w:after="0"/>
              <w:rPr>
                <w:rFonts w:ascii="Times New Roman" w:eastAsia="Times New Roman" w:hAnsi="Times New Roman" w:cs="Times New Roman"/>
              </w:rPr>
            </w:pPr>
            <w:r w:rsidRPr="2B3D61D0">
              <w:rPr>
                <w:rFonts w:ascii="Times New Roman" w:eastAsia="Times New Roman" w:hAnsi="Times New Roman" w:cs="Times New Roman"/>
              </w:rPr>
              <w:t>class</w:t>
            </w:r>
          </w:p>
        </w:tc>
        <w:tc>
          <w:tcPr>
            <w:tcW w:w="4676" w:type="dxa"/>
            <w:tcBorders>
              <w:top w:val="nil"/>
              <w:left w:val="nil"/>
              <w:bottom w:val="single" w:sz="4" w:space="0" w:color="auto"/>
              <w:right w:val="single" w:sz="4" w:space="0" w:color="auto"/>
            </w:tcBorders>
            <w:shd w:val="clear" w:color="auto" w:fill="auto"/>
            <w:vAlign w:val="center"/>
          </w:tcPr>
          <w:p w14:paraId="020E35F3" w14:textId="5810C78C" w:rsidR="00C56479" w:rsidRPr="2B3D61D0" w:rsidRDefault="00C56479" w:rsidP="00C56479">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 xml:space="preserve">Hospital operational status.  Indicates whether the hospital remained open or had closed. Encoded as 0: Closed; 1: open </w:t>
            </w:r>
          </w:p>
        </w:tc>
      </w:tr>
    </w:tbl>
    <w:p w14:paraId="7AD573BE" w14:textId="45ABD1BE" w:rsidR="21968D0E" w:rsidRDefault="21968D0E"/>
    <w:p w14:paraId="182FC4B6" w14:textId="65345BF2" w:rsidR="21968D0E" w:rsidRDefault="21968D0E"/>
    <w:p w14:paraId="02EB378F" w14:textId="77777777" w:rsidR="00BF79E8" w:rsidRDefault="00BF79E8"/>
    <w:p w14:paraId="6F87AFE9" w14:textId="77777777" w:rsidR="00BF79E8" w:rsidRDefault="00BF79E8" w:rsidP="21968D0E">
      <w:pPr>
        <w:rPr>
          <w:b/>
          <w:bCs/>
        </w:rPr>
      </w:pPr>
      <w:r w:rsidRPr="21968D0E">
        <w:rPr>
          <w:b/>
          <w:bCs/>
        </w:rPr>
        <w:t>Population and community</w:t>
      </w:r>
    </w:p>
    <w:tbl>
      <w:tblPr>
        <w:tblW w:w="9445" w:type="dxa"/>
        <w:tblLook w:val="04A0" w:firstRow="1" w:lastRow="0" w:firstColumn="1" w:lastColumn="0" w:noHBand="0" w:noVBand="1"/>
      </w:tblPr>
      <w:tblGrid>
        <w:gridCol w:w="4675"/>
        <w:gridCol w:w="4770"/>
      </w:tblGrid>
      <w:tr w:rsidR="00BF79E8" w:rsidRPr="00BF79E8" w14:paraId="60CF5F1B" w14:textId="77777777" w:rsidTr="2B3D61D0">
        <w:trPr>
          <w:trHeight w:val="288"/>
        </w:trPr>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3D19E" w14:textId="77777777" w:rsidR="00BF79E8" w:rsidRPr="00BF79E8" w:rsidRDefault="6B7A3F20" w:rsidP="2B3D61D0">
            <w:pPr>
              <w:spacing w:after="0" w:line="240" w:lineRule="auto"/>
              <w:rPr>
                <w:rFonts w:ascii="Times New Roman" w:eastAsia="Times New Roman" w:hAnsi="Times New Roman" w:cs="Times New Roman"/>
                <w:b/>
                <w:bCs/>
                <w:color w:val="000000"/>
              </w:rPr>
            </w:pPr>
            <w:r w:rsidRPr="2B3D61D0">
              <w:rPr>
                <w:rFonts w:ascii="Times New Roman" w:eastAsia="Times New Roman" w:hAnsi="Times New Roman" w:cs="Times New Roman"/>
                <w:b/>
                <w:bCs/>
                <w:color w:val="000000" w:themeColor="text1"/>
              </w:rPr>
              <w:t>Features</w:t>
            </w:r>
          </w:p>
        </w:tc>
        <w:tc>
          <w:tcPr>
            <w:tcW w:w="4770" w:type="dxa"/>
            <w:tcBorders>
              <w:top w:val="single" w:sz="4" w:space="0" w:color="auto"/>
              <w:left w:val="nil"/>
              <w:bottom w:val="single" w:sz="4" w:space="0" w:color="auto"/>
              <w:right w:val="single" w:sz="4" w:space="0" w:color="auto"/>
            </w:tcBorders>
            <w:shd w:val="clear" w:color="auto" w:fill="auto"/>
            <w:vAlign w:val="center"/>
            <w:hideMark/>
          </w:tcPr>
          <w:p w14:paraId="65933102" w14:textId="77777777" w:rsidR="00BF79E8" w:rsidRPr="00BF79E8" w:rsidRDefault="6B7A3F20" w:rsidP="2B3D61D0">
            <w:pPr>
              <w:spacing w:after="0" w:line="240" w:lineRule="auto"/>
              <w:rPr>
                <w:rFonts w:ascii="Times New Roman" w:eastAsia="Times New Roman" w:hAnsi="Times New Roman" w:cs="Times New Roman"/>
                <w:b/>
                <w:bCs/>
                <w:color w:val="000000"/>
              </w:rPr>
            </w:pPr>
            <w:r w:rsidRPr="2B3D61D0">
              <w:rPr>
                <w:rFonts w:ascii="Times New Roman" w:eastAsia="Times New Roman" w:hAnsi="Times New Roman" w:cs="Times New Roman"/>
                <w:b/>
                <w:bCs/>
                <w:color w:val="000000" w:themeColor="text1"/>
              </w:rPr>
              <w:t>Data Description</w:t>
            </w:r>
          </w:p>
        </w:tc>
      </w:tr>
      <w:tr w:rsidR="00BF79E8" w:rsidRPr="00BF79E8" w14:paraId="71E1E253" w14:textId="77777777" w:rsidTr="2B3D61D0">
        <w:trPr>
          <w:trHeight w:val="1152"/>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5D404CC4" w14:textId="4C17518C" w:rsidR="00BF79E8" w:rsidRPr="00BF79E8" w:rsidRDefault="72E33315" w:rsidP="2B3D61D0">
            <w:pPr>
              <w:spacing w:after="0" w:line="240" w:lineRule="auto"/>
              <w:rPr>
                <w:rFonts w:ascii="Times New Roman" w:eastAsia="Times New Roman" w:hAnsi="Times New Roman" w:cs="Times New Roman"/>
              </w:rPr>
            </w:pPr>
            <w:r w:rsidRPr="2B3D61D0">
              <w:rPr>
                <w:rFonts w:ascii="Times New Roman" w:eastAsia="Times New Roman" w:hAnsi="Times New Roman" w:cs="Times New Roman"/>
              </w:rPr>
              <w:t>Rural–Urban Commuting Area (RUCA)</w:t>
            </w:r>
          </w:p>
        </w:tc>
        <w:tc>
          <w:tcPr>
            <w:tcW w:w="4770" w:type="dxa"/>
            <w:tcBorders>
              <w:top w:val="nil"/>
              <w:left w:val="nil"/>
              <w:bottom w:val="single" w:sz="4" w:space="0" w:color="auto"/>
              <w:right w:val="single" w:sz="4" w:space="0" w:color="auto"/>
            </w:tcBorders>
            <w:shd w:val="clear" w:color="auto" w:fill="auto"/>
            <w:vAlign w:val="bottom"/>
            <w:hideMark/>
          </w:tcPr>
          <w:p w14:paraId="26C4308A" w14:textId="77777777" w:rsidR="00BF79E8" w:rsidRPr="00BF79E8" w:rsidRDefault="6B7A3F20" w:rsidP="2B3D61D0">
            <w:pPr>
              <w:spacing w:after="0" w:line="240" w:lineRule="auto"/>
              <w:rPr>
                <w:rFonts w:ascii="Times New Roman" w:eastAsia="Times New Roman" w:hAnsi="Times New Roman" w:cs="Times New Roman"/>
                <w:color w:val="000000"/>
              </w:rPr>
            </w:pPr>
            <w:r w:rsidRPr="2B3D61D0">
              <w:rPr>
                <w:rFonts w:ascii="Times New Roman" w:eastAsia="Times New Roman" w:hAnsi="Times New Roman" w:cs="Times New Roman"/>
                <w:color w:val="000000" w:themeColor="text1"/>
              </w:rPr>
              <w:t>Rural–Urban Commuting Area (RUCA) primary code indicating the level of rurality or urban influence for the hospital’s location, based on population density, urbanization, and commuting patterns. Lower codes denote more urban areas, while higher codes denote more rural or isolated regions.</w:t>
            </w:r>
          </w:p>
        </w:tc>
      </w:tr>
      <w:tr w:rsidR="00BF79E8" w:rsidRPr="00BF79E8" w14:paraId="607DFB9C" w14:textId="77777777" w:rsidTr="2B3D61D0">
        <w:trPr>
          <w:trHeight w:val="864"/>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5F394E91" w14:textId="1E92C8D6"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Age group distribution (Mean)</w:t>
            </w:r>
          </w:p>
        </w:tc>
        <w:tc>
          <w:tcPr>
            <w:tcW w:w="4770" w:type="dxa"/>
            <w:tcBorders>
              <w:top w:val="nil"/>
              <w:left w:val="nil"/>
              <w:bottom w:val="single" w:sz="4" w:space="0" w:color="auto"/>
              <w:right w:val="single" w:sz="4" w:space="0" w:color="auto"/>
            </w:tcBorders>
            <w:shd w:val="clear" w:color="auto" w:fill="auto"/>
            <w:vAlign w:val="bottom"/>
            <w:hideMark/>
          </w:tcPr>
          <w:p w14:paraId="7F3D1718" w14:textId="25118458"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 xml:space="preserve">Base variable: Percentage of the population within specific age groups (5–14, 15–24, 25–64, and ≥65 years) in the </w:t>
            </w:r>
            <w:proofErr w:type="gramStart"/>
            <w:r w:rsidRPr="2B3D61D0">
              <w:rPr>
                <w:rFonts w:ascii="Times New Roman" w:eastAsia="Times New Roman" w:hAnsi="Times New Roman" w:cs="Times New Roman"/>
              </w:rPr>
              <w:t>hospital’s</w:t>
            </w:r>
            <w:proofErr w:type="gramEnd"/>
            <w:r w:rsidRPr="2B3D61D0">
              <w:rPr>
                <w:rFonts w:ascii="Times New Roman" w:eastAsia="Times New Roman" w:hAnsi="Times New Roman" w:cs="Times New Roman"/>
              </w:rPr>
              <w:t xml:space="preserve"> ZIP Code Tabulation Area (ZCTA). </w:t>
            </w:r>
          </w:p>
          <w:p w14:paraId="3A7802AB" w14:textId="2A24B40C" w:rsidR="2B3D61D0" w:rsidRDefault="2B3D61D0" w:rsidP="2B3D61D0">
            <w:pPr>
              <w:spacing w:after="0"/>
              <w:rPr>
                <w:rFonts w:ascii="Times New Roman" w:eastAsia="Times New Roman" w:hAnsi="Times New Roman" w:cs="Times New Roman"/>
              </w:rPr>
            </w:pPr>
          </w:p>
          <w:p w14:paraId="57A38E31" w14:textId="3A0F17EC" w:rsidR="2B3D61D0" w:rsidRDefault="2B3D61D0" w:rsidP="2B3D61D0">
            <w:pPr>
              <w:spacing w:after="0"/>
              <w:rPr>
                <w:rFonts w:ascii="Times New Roman" w:eastAsia="Times New Roman" w:hAnsi="Times New Roman" w:cs="Times New Roman"/>
              </w:rPr>
            </w:pPr>
          </w:p>
          <w:p w14:paraId="0541B135" w14:textId="45FBFF1A" w:rsidR="2B3D61D0" w:rsidRDefault="2B3D61D0" w:rsidP="2B3D61D0">
            <w:pPr>
              <w:spacing w:after="0"/>
              <w:rPr>
                <w:rFonts w:ascii="Times New Roman" w:eastAsia="Times New Roman" w:hAnsi="Times New Roman" w:cs="Times New Roman"/>
              </w:rPr>
            </w:pPr>
            <w:proofErr w:type="gramStart"/>
            <w:r w:rsidRPr="2B3D61D0">
              <w:rPr>
                <w:rFonts w:ascii="Times New Roman" w:eastAsia="Times New Roman" w:hAnsi="Times New Roman" w:cs="Times New Roman"/>
              </w:rPr>
              <w:t>Mean: Average</w:t>
            </w:r>
            <w:proofErr w:type="gramEnd"/>
            <w:r w:rsidRPr="2B3D61D0">
              <w:rPr>
                <w:rFonts w:ascii="Times New Roman" w:eastAsia="Times New Roman" w:hAnsi="Times New Roman" w:cs="Times New Roman"/>
              </w:rPr>
              <w:t xml:space="preserve"> percentage of the population in each age group across all available reporting years (2011–2022) for each hospital.</w:t>
            </w:r>
          </w:p>
        </w:tc>
      </w:tr>
      <w:tr w:rsidR="00BF79E8" w:rsidRPr="00BF79E8" w14:paraId="1B974375"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4FFEA58A" w14:textId="721FC8B9"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Age group distribution (Median)</w:t>
            </w:r>
          </w:p>
        </w:tc>
        <w:tc>
          <w:tcPr>
            <w:tcW w:w="4770" w:type="dxa"/>
            <w:tcBorders>
              <w:top w:val="nil"/>
              <w:left w:val="nil"/>
              <w:bottom w:val="single" w:sz="4" w:space="0" w:color="auto"/>
              <w:right w:val="single" w:sz="4" w:space="0" w:color="auto"/>
            </w:tcBorders>
            <w:shd w:val="clear" w:color="auto" w:fill="auto"/>
            <w:vAlign w:val="bottom"/>
            <w:hideMark/>
          </w:tcPr>
          <w:p w14:paraId="338108EA" w14:textId="20E59282"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Median percentage of the population in each age group across all available reporting years for each hospital.</w:t>
            </w:r>
          </w:p>
        </w:tc>
      </w:tr>
      <w:tr w:rsidR="00BF79E8" w:rsidRPr="00BF79E8" w14:paraId="57FDA1D3"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54C64611" w14:textId="565D3032"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Age group distribution (Standard deviation)</w:t>
            </w:r>
          </w:p>
        </w:tc>
        <w:tc>
          <w:tcPr>
            <w:tcW w:w="4770" w:type="dxa"/>
            <w:tcBorders>
              <w:top w:val="nil"/>
              <w:left w:val="nil"/>
              <w:bottom w:val="single" w:sz="4" w:space="0" w:color="auto"/>
              <w:right w:val="single" w:sz="4" w:space="0" w:color="auto"/>
            </w:tcBorders>
            <w:shd w:val="clear" w:color="auto" w:fill="auto"/>
            <w:vAlign w:val="bottom"/>
            <w:hideMark/>
          </w:tcPr>
          <w:p w14:paraId="51CD20CC" w14:textId="2B348F14"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Standard deviation of the percentage of the population in each age group across all available reporting years for each hospital, representing variability over time.</w:t>
            </w:r>
          </w:p>
        </w:tc>
      </w:tr>
      <w:tr w:rsidR="00BF79E8" w:rsidRPr="00BF79E8" w14:paraId="097C8024"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4BE2BEAE" w14:textId="4073AAFF"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lastRenderedPageBreak/>
              <w:t>Age group distribution (Interquartile range)</w:t>
            </w:r>
          </w:p>
        </w:tc>
        <w:tc>
          <w:tcPr>
            <w:tcW w:w="4770" w:type="dxa"/>
            <w:tcBorders>
              <w:top w:val="nil"/>
              <w:left w:val="nil"/>
              <w:bottom w:val="single" w:sz="4" w:space="0" w:color="auto"/>
              <w:right w:val="single" w:sz="4" w:space="0" w:color="auto"/>
            </w:tcBorders>
            <w:shd w:val="clear" w:color="auto" w:fill="auto"/>
            <w:vAlign w:val="bottom"/>
            <w:hideMark/>
          </w:tcPr>
          <w:p w14:paraId="474CBCE8" w14:textId="3E945DF4"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Interquartile range (IQR) of the percentage of the population in each age group across all available reporting years for each hospital.</w:t>
            </w:r>
          </w:p>
        </w:tc>
      </w:tr>
      <w:tr w:rsidR="00BF79E8" w:rsidRPr="00BF79E8" w14:paraId="473FD106"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70F8F905" w14:textId="0F21242D"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Employment rate (Mean)</w:t>
            </w:r>
          </w:p>
        </w:tc>
        <w:tc>
          <w:tcPr>
            <w:tcW w:w="4770" w:type="dxa"/>
            <w:tcBorders>
              <w:top w:val="nil"/>
              <w:left w:val="nil"/>
              <w:bottom w:val="single" w:sz="4" w:space="0" w:color="auto"/>
              <w:right w:val="single" w:sz="4" w:space="0" w:color="auto"/>
            </w:tcBorders>
            <w:shd w:val="clear" w:color="auto" w:fill="auto"/>
            <w:vAlign w:val="bottom"/>
            <w:hideMark/>
          </w:tcPr>
          <w:p w14:paraId="21E484BF" w14:textId="21F84DF4"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 xml:space="preserve">Base variable: Percentage of the working-age population that is employed within the </w:t>
            </w:r>
            <w:proofErr w:type="gramStart"/>
            <w:r w:rsidRPr="2B3D61D0">
              <w:rPr>
                <w:rFonts w:ascii="Times New Roman" w:eastAsia="Times New Roman" w:hAnsi="Times New Roman" w:cs="Times New Roman"/>
              </w:rPr>
              <w:t>hospital’s</w:t>
            </w:r>
            <w:proofErr w:type="gramEnd"/>
            <w:r w:rsidRPr="2B3D61D0">
              <w:rPr>
                <w:rFonts w:ascii="Times New Roman" w:eastAsia="Times New Roman" w:hAnsi="Times New Roman" w:cs="Times New Roman"/>
              </w:rPr>
              <w:t xml:space="preserve"> ZCTA. </w:t>
            </w:r>
          </w:p>
          <w:p w14:paraId="41703060" w14:textId="490C9DFF" w:rsidR="2B3D61D0" w:rsidRDefault="2B3D61D0" w:rsidP="2B3D61D0">
            <w:pPr>
              <w:spacing w:after="0"/>
              <w:rPr>
                <w:rFonts w:ascii="Times New Roman" w:eastAsia="Times New Roman" w:hAnsi="Times New Roman" w:cs="Times New Roman"/>
              </w:rPr>
            </w:pPr>
          </w:p>
          <w:p w14:paraId="7E623E78" w14:textId="0A16846B" w:rsidR="2B3D61D0" w:rsidRDefault="2B3D61D0" w:rsidP="2B3D61D0">
            <w:pPr>
              <w:spacing w:after="0"/>
              <w:rPr>
                <w:rFonts w:ascii="Times New Roman" w:eastAsia="Times New Roman" w:hAnsi="Times New Roman" w:cs="Times New Roman"/>
              </w:rPr>
            </w:pPr>
            <w:proofErr w:type="gramStart"/>
            <w:r w:rsidRPr="2B3D61D0">
              <w:rPr>
                <w:rFonts w:ascii="Times New Roman" w:eastAsia="Times New Roman" w:hAnsi="Times New Roman" w:cs="Times New Roman"/>
              </w:rPr>
              <w:t>Mean: Average</w:t>
            </w:r>
            <w:proofErr w:type="gramEnd"/>
            <w:r w:rsidRPr="2B3D61D0">
              <w:rPr>
                <w:rFonts w:ascii="Times New Roman" w:eastAsia="Times New Roman" w:hAnsi="Times New Roman" w:cs="Times New Roman"/>
              </w:rPr>
              <w:t xml:space="preserve"> employment rate across all available reporting years (2011–2022) for each hospital.</w:t>
            </w:r>
          </w:p>
        </w:tc>
      </w:tr>
      <w:tr w:rsidR="00BF79E8" w:rsidRPr="00BF79E8" w14:paraId="16C9526E"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6A1D7D13" w14:textId="24C26D89"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Employment rate (Median)</w:t>
            </w:r>
          </w:p>
        </w:tc>
        <w:tc>
          <w:tcPr>
            <w:tcW w:w="4770" w:type="dxa"/>
            <w:tcBorders>
              <w:top w:val="nil"/>
              <w:left w:val="nil"/>
              <w:bottom w:val="single" w:sz="4" w:space="0" w:color="auto"/>
              <w:right w:val="single" w:sz="4" w:space="0" w:color="auto"/>
            </w:tcBorders>
            <w:shd w:val="clear" w:color="auto" w:fill="auto"/>
            <w:vAlign w:val="bottom"/>
            <w:hideMark/>
          </w:tcPr>
          <w:p w14:paraId="2DED916B" w14:textId="6F21B9CC"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Median employment rate across all available reporting years for each hospital.</w:t>
            </w:r>
          </w:p>
        </w:tc>
      </w:tr>
      <w:tr w:rsidR="00BF79E8" w:rsidRPr="00BF79E8" w14:paraId="02B7D9DD"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57A27371" w14:textId="4645AB41"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Employment rate (Standard deviation)</w:t>
            </w:r>
          </w:p>
        </w:tc>
        <w:tc>
          <w:tcPr>
            <w:tcW w:w="4770" w:type="dxa"/>
            <w:tcBorders>
              <w:top w:val="nil"/>
              <w:left w:val="nil"/>
              <w:bottom w:val="single" w:sz="4" w:space="0" w:color="auto"/>
              <w:right w:val="single" w:sz="4" w:space="0" w:color="auto"/>
            </w:tcBorders>
            <w:shd w:val="clear" w:color="auto" w:fill="auto"/>
            <w:vAlign w:val="bottom"/>
            <w:hideMark/>
          </w:tcPr>
          <w:p w14:paraId="032B0B64" w14:textId="1514D9F1"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Standard deviation of the employment rate across all available reporting years for each hospital.</w:t>
            </w:r>
          </w:p>
        </w:tc>
      </w:tr>
      <w:tr w:rsidR="00BF79E8" w:rsidRPr="00BF79E8" w14:paraId="1D8699B8"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5401F231" w14:textId="5C6B997C"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Employment rate (Interquartile range)</w:t>
            </w:r>
          </w:p>
        </w:tc>
        <w:tc>
          <w:tcPr>
            <w:tcW w:w="4770" w:type="dxa"/>
            <w:tcBorders>
              <w:top w:val="nil"/>
              <w:left w:val="nil"/>
              <w:bottom w:val="single" w:sz="4" w:space="0" w:color="auto"/>
              <w:right w:val="single" w:sz="4" w:space="0" w:color="auto"/>
            </w:tcBorders>
            <w:shd w:val="clear" w:color="auto" w:fill="auto"/>
            <w:vAlign w:val="bottom"/>
            <w:hideMark/>
          </w:tcPr>
          <w:p w14:paraId="0FCF80D3" w14:textId="0544C406"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Interquartile range (IQR) of the employment rate across all available reporting years for each hospital.</w:t>
            </w:r>
          </w:p>
        </w:tc>
      </w:tr>
      <w:tr w:rsidR="00BF79E8" w:rsidRPr="00BF79E8" w14:paraId="1C205D82"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58D0B318" w14:textId="573B5D6F"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Unemployment rate (Mean)</w:t>
            </w:r>
          </w:p>
        </w:tc>
        <w:tc>
          <w:tcPr>
            <w:tcW w:w="4770" w:type="dxa"/>
            <w:tcBorders>
              <w:top w:val="nil"/>
              <w:left w:val="nil"/>
              <w:bottom w:val="single" w:sz="4" w:space="0" w:color="auto"/>
              <w:right w:val="single" w:sz="4" w:space="0" w:color="auto"/>
            </w:tcBorders>
            <w:shd w:val="clear" w:color="auto" w:fill="auto"/>
            <w:vAlign w:val="bottom"/>
            <w:hideMark/>
          </w:tcPr>
          <w:p w14:paraId="14A5358B" w14:textId="1079571C"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 xml:space="preserve">Base variable: Percentage of the working-age population that is unemployed within the </w:t>
            </w:r>
            <w:proofErr w:type="gramStart"/>
            <w:r w:rsidRPr="2B3D61D0">
              <w:rPr>
                <w:rFonts w:ascii="Times New Roman" w:eastAsia="Times New Roman" w:hAnsi="Times New Roman" w:cs="Times New Roman"/>
              </w:rPr>
              <w:t>hospital’s</w:t>
            </w:r>
            <w:proofErr w:type="gramEnd"/>
            <w:r w:rsidRPr="2B3D61D0">
              <w:rPr>
                <w:rFonts w:ascii="Times New Roman" w:eastAsia="Times New Roman" w:hAnsi="Times New Roman" w:cs="Times New Roman"/>
              </w:rPr>
              <w:t xml:space="preserve"> ZCTA. </w:t>
            </w:r>
          </w:p>
          <w:p w14:paraId="48FE46BB" w14:textId="1C07B3DC" w:rsidR="2B3D61D0" w:rsidRDefault="2B3D61D0" w:rsidP="2B3D61D0">
            <w:pPr>
              <w:spacing w:after="0"/>
              <w:rPr>
                <w:rFonts w:ascii="Times New Roman" w:eastAsia="Times New Roman" w:hAnsi="Times New Roman" w:cs="Times New Roman"/>
              </w:rPr>
            </w:pPr>
          </w:p>
          <w:p w14:paraId="7BEDDE7A" w14:textId="0E01B18A" w:rsidR="2B3D61D0" w:rsidRDefault="2B3D61D0" w:rsidP="2B3D61D0">
            <w:pPr>
              <w:spacing w:after="0"/>
              <w:rPr>
                <w:rFonts w:ascii="Times New Roman" w:eastAsia="Times New Roman" w:hAnsi="Times New Roman" w:cs="Times New Roman"/>
              </w:rPr>
            </w:pPr>
            <w:proofErr w:type="gramStart"/>
            <w:r w:rsidRPr="2B3D61D0">
              <w:rPr>
                <w:rFonts w:ascii="Times New Roman" w:eastAsia="Times New Roman" w:hAnsi="Times New Roman" w:cs="Times New Roman"/>
              </w:rPr>
              <w:t>Mean: Average</w:t>
            </w:r>
            <w:proofErr w:type="gramEnd"/>
            <w:r w:rsidRPr="2B3D61D0">
              <w:rPr>
                <w:rFonts w:ascii="Times New Roman" w:eastAsia="Times New Roman" w:hAnsi="Times New Roman" w:cs="Times New Roman"/>
              </w:rPr>
              <w:t xml:space="preserve"> unemployment rate across all available reporting years (2011–2022) for each hospital.</w:t>
            </w:r>
          </w:p>
        </w:tc>
      </w:tr>
      <w:tr w:rsidR="00BF79E8" w:rsidRPr="00BF79E8" w14:paraId="2FF1D5FD"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2A63630D" w14:textId="3DBC4B1E"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Unemployment rate (Median)</w:t>
            </w:r>
          </w:p>
        </w:tc>
        <w:tc>
          <w:tcPr>
            <w:tcW w:w="4770" w:type="dxa"/>
            <w:tcBorders>
              <w:top w:val="nil"/>
              <w:left w:val="nil"/>
              <w:bottom w:val="single" w:sz="4" w:space="0" w:color="auto"/>
              <w:right w:val="single" w:sz="4" w:space="0" w:color="auto"/>
            </w:tcBorders>
            <w:shd w:val="clear" w:color="auto" w:fill="auto"/>
            <w:vAlign w:val="bottom"/>
            <w:hideMark/>
          </w:tcPr>
          <w:p w14:paraId="6295557B" w14:textId="37605F9B"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Median unemployment rate across all available reporting years for each hospital.</w:t>
            </w:r>
          </w:p>
        </w:tc>
      </w:tr>
      <w:tr w:rsidR="00BF79E8" w:rsidRPr="00BF79E8" w14:paraId="74658FBE"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5EA1C487" w14:textId="53B2B8E0"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Unemployment rate (Standard deviation)</w:t>
            </w:r>
          </w:p>
        </w:tc>
        <w:tc>
          <w:tcPr>
            <w:tcW w:w="4770" w:type="dxa"/>
            <w:tcBorders>
              <w:top w:val="nil"/>
              <w:left w:val="nil"/>
              <w:bottom w:val="single" w:sz="4" w:space="0" w:color="auto"/>
              <w:right w:val="single" w:sz="4" w:space="0" w:color="auto"/>
            </w:tcBorders>
            <w:shd w:val="clear" w:color="auto" w:fill="auto"/>
            <w:vAlign w:val="bottom"/>
            <w:hideMark/>
          </w:tcPr>
          <w:p w14:paraId="3A065D6B" w14:textId="064A6405"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Standard deviation of the unemployment rate across all available reporting years for each hospital.</w:t>
            </w:r>
          </w:p>
        </w:tc>
      </w:tr>
      <w:tr w:rsidR="00BF79E8" w:rsidRPr="00BF79E8" w14:paraId="4189E02F"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17ECF821" w14:textId="0CADA5F9"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Unemployment rate (Interquartile range)</w:t>
            </w:r>
          </w:p>
        </w:tc>
        <w:tc>
          <w:tcPr>
            <w:tcW w:w="4770" w:type="dxa"/>
            <w:tcBorders>
              <w:top w:val="nil"/>
              <w:left w:val="nil"/>
              <w:bottom w:val="single" w:sz="4" w:space="0" w:color="auto"/>
              <w:right w:val="single" w:sz="4" w:space="0" w:color="auto"/>
            </w:tcBorders>
            <w:shd w:val="clear" w:color="auto" w:fill="auto"/>
            <w:vAlign w:val="bottom"/>
            <w:hideMark/>
          </w:tcPr>
          <w:p w14:paraId="366808FB" w14:textId="36948D1D"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Interquartile range (IQR) of the unemployment rate across all available reporting years for each hospital.</w:t>
            </w:r>
          </w:p>
        </w:tc>
      </w:tr>
      <w:tr w:rsidR="00BF79E8" w:rsidRPr="00BF79E8" w14:paraId="3B5E2312"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0C5449B5" w14:textId="03ED132F"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Mean household income (Mean)</w:t>
            </w:r>
          </w:p>
        </w:tc>
        <w:tc>
          <w:tcPr>
            <w:tcW w:w="4770" w:type="dxa"/>
            <w:tcBorders>
              <w:top w:val="nil"/>
              <w:left w:val="nil"/>
              <w:bottom w:val="single" w:sz="4" w:space="0" w:color="auto"/>
              <w:right w:val="single" w:sz="4" w:space="0" w:color="auto"/>
            </w:tcBorders>
            <w:shd w:val="clear" w:color="auto" w:fill="auto"/>
            <w:vAlign w:val="bottom"/>
            <w:hideMark/>
          </w:tcPr>
          <w:p w14:paraId="6B7618B1" w14:textId="43A6AE2E"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 xml:space="preserve">Base variable: Mean household income (in U.S. dollars) within the </w:t>
            </w:r>
            <w:proofErr w:type="gramStart"/>
            <w:r w:rsidRPr="2B3D61D0">
              <w:rPr>
                <w:rFonts w:ascii="Times New Roman" w:eastAsia="Times New Roman" w:hAnsi="Times New Roman" w:cs="Times New Roman"/>
              </w:rPr>
              <w:t>hospital’s</w:t>
            </w:r>
            <w:proofErr w:type="gramEnd"/>
            <w:r w:rsidRPr="2B3D61D0">
              <w:rPr>
                <w:rFonts w:ascii="Times New Roman" w:eastAsia="Times New Roman" w:hAnsi="Times New Roman" w:cs="Times New Roman"/>
              </w:rPr>
              <w:t xml:space="preserve"> ZCTA. </w:t>
            </w:r>
          </w:p>
          <w:p w14:paraId="7D20D255" w14:textId="1047BD9C" w:rsidR="2B3D61D0" w:rsidRDefault="2B3D61D0" w:rsidP="2B3D61D0">
            <w:pPr>
              <w:spacing w:after="0"/>
              <w:rPr>
                <w:rFonts w:ascii="Times New Roman" w:eastAsia="Times New Roman" w:hAnsi="Times New Roman" w:cs="Times New Roman"/>
              </w:rPr>
            </w:pPr>
          </w:p>
          <w:p w14:paraId="52590EF2" w14:textId="571A292C" w:rsidR="2B3D61D0" w:rsidRDefault="2B3D61D0" w:rsidP="2B3D61D0">
            <w:pPr>
              <w:spacing w:after="0"/>
              <w:rPr>
                <w:rFonts w:ascii="Times New Roman" w:eastAsia="Times New Roman" w:hAnsi="Times New Roman" w:cs="Times New Roman"/>
              </w:rPr>
            </w:pPr>
            <w:proofErr w:type="gramStart"/>
            <w:r w:rsidRPr="2B3D61D0">
              <w:rPr>
                <w:rFonts w:ascii="Times New Roman" w:eastAsia="Times New Roman" w:hAnsi="Times New Roman" w:cs="Times New Roman"/>
              </w:rPr>
              <w:t>Mean: Average</w:t>
            </w:r>
            <w:proofErr w:type="gramEnd"/>
            <w:r w:rsidRPr="2B3D61D0">
              <w:rPr>
                <w:rFonts w:ascii="Times New Roman" w:eastAsia="Times New Roman" w:hAnsi="Times New Roman" w:cs="Times New Roman"/>
              </w:rPr>
              <w:t xml:space="preserve"> household income across all available reporting years (2011–2022) for each hospital.</w:t>
            </w:r>
          </w:p>
        </w:tc>
      </w:tr>
      <w:tr w:rsidR="00BF79E8" w:rsidRPr="00BF79E8" w14:paraId="26771593"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7F0E7C84" w14:textId="09064091"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Mean household income (Median)</w:t>
            </w:r>
          </w:p>
        </w:tc>
        <w:tc>
          <w:tcPr>
            <w:tcW w:w="4770" w:type="dxa"/>
            <w:tcBorders>
              <w:top w:val="nil"/>
              <w:left w:val="nil"/>
              <w:bottom w:val="single" w:sz="4" w:space="0" w:color="auto"/>
              <w:right w:val="single" w:sz="4" w:space="0" w:color="auto"/>
            </w:tcBorders>
            <w:shd w:val="clear" w:color="auto" w:fill="auto"/>
            <w:vAlign w:val="bottom"/>
            <w:hideMark/>
          </w:tcPr>
          <w:p w14:paraId="4CDF90F7" w14:textId="4DEE0A6D"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Median household income across all available reporting years for each hospital.</w:t>
            </w:r>
          </w:p>
        </w:tc>
      </w:tr>
      <w:tr w:rsidR="00BF79E8" w:rsidRPr="00BF79E8" w14:paraId="19FB27B4"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10475500" w14:textId="3A23E81D"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Mean household income (Standard deviation)</w:t>
            </w:r>
          </w:p>
        </w:tc>
        <w:tc>
          <w:tcPr>
            <w:tcW w:w="4770" w:type="dxa"/>
            <w:tcBorders>
              <w:top w:val="nil"/>
              <w:left w:val="nil"/>
              <w:bottom w:val="single" w:sz="4" w:space="0" w:color="auto"/>
              <w:right w:val="single" w:sz="4" w:space="0" w:color="auto"/>
            </w:tcBorders>
            <w:shd w:val="clear" w:color="auto" w:fill="auto"/>
            <w:vAlign w:val="bottom"/>
            <w:hideMark/>
          </w:tcPr>
          <w:p w14:paraId="00B117F7" w14:textId="5D9DDAA5"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Standard deviation of household income across all available reporting years for each hospital.</w:t>
            </w:r>
          </w:p>
        </w:tc>
      </w:tr>
      <w:tr w:rsidR="00BF79E8" w:rsidRPr="00BF79E8" w14:paraId="614AE765"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1A03E563" w14:textId="0309604A"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Mean household income (Interquartile range)</w:t>
            </w:r>
          </w:p>
        </w:tc>
        <w:tc>
          <w:tcPr>
            <w:tcW w:w="4770" w:type="dxa"/>
            <w:tcBorders>
              <w:top w:val="nil"/>
              <w:left w:val="nil"/>
              <w:bottom w:val="single" w:sz="4" w:space="0" w:color="auto"/>
              <w:right w:val="single" w:sz="4" w:space="0" w:color="auto"/>
            </w:tcBorders>
            <w:shd w:val="clear" w:color="auto" w:fill="auto"/>
            <w:vAlign w:val="bottom"/>
            <w:hideMark/>
          </w:tcPr>
          <w:p w14:paraId="4B10B885" w14:textId="662DC656"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Interquartile range (IQR) of household income across all available reporting years for each hospital.</w:t>
            </w:r>
          </w:p>
        </w:tc>
      </w:tr>
      <w:tr w:rsidR="00BF79E8" w:rsidRPr="00BF79E8" w14:paraId="642ECBC6" w14:textId="77777777" w:rsidTr="2B3D61D0">
        <w:trPr>
          <w:trHeight w:val="864"/>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6B1D2EE1" w14:textId="4BC4E624"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lastRenderedPageBreak/>
              <w:t>Race/ethnicity distribution (Mean)</w:t>
            </w:r>
          </w:p>
        </w:tc>
        <w:tc>
          <w:tcPr>
            <w:tcW w:w="4770" w:type="dxa"/>
            <w:tcBorders>
              <w:top w:val="nil"/>
              <w:left w:val="nil"/>
              <w:bottom w:val="single" w:sz="4" w:space="0" w:color="auto"/>
              <w:right w:val="single" w:sz="4" w:space="0" w:color="auto"/>
            </w:tcBorders>
            <w:shd w:val="clear" w:color="auto" w:fill="auto"/>
            <w:vAlign w:val="bottom"/>
            <w:hideMark/>
          </w:tcPr>
          <w:p w14:paraId="0E7BB7CB" w14:textId="0B94678E"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 xml:space="preserve">Base variable: Percentage of the population identifying as each race/ethnicity category (White, Black or African American, American Indian/Alaska Native, Asian, Native Hawaiian/Other Pacific Islander, and Some Other Race) within the hospital’s ZCTA. </w:t>
            </w:r>
          </w:p>
          <w:p w14:paraId="413C19CE" w14:textId="768669F6" w:rsidR="2B3D61D0" w:rsidRDefault="2B3D61D0" w:rsidP="2B3D61D0">
            <w:pPr>
              <w:spacing w:after="0"/>
              <w:rPr>
                <w:rFonts w:ascii="Times New Roman" w:eastAsia="Times New Roman" w:hAnsi="Times New Roman" w:cs="Times New Roman"/>
              </w:rPr>
            </w:pPr>
          </w:p>
          <w:p w14:paraId="422AC366" w14:textId="4BE3DBF9" w:rsidR="2B3D61D0" w:rsidRDefault="2B3D61D0" w:rsidP="2B3D61D0">
            <w:pPr>
              <w:spacing w:after="0"/>
              <w:rPr>
                <w:rFonts w:ascii="Times New Roman" w:eastAsia="Times New Roman" w:hAnsi="Times New Roman" w:cs="Times New Roman"/>
              </w:rPr>
            </w:pPr>
            <w:proofErr w:type="gramStart"/>
            <w:r w:rsidRPr="2B3D61D0">
              <w:rPr>
                <w:rFonts w:ascii="Times New Roman" w:eastAsia="Times New Roman" w:hAnsi="Times New Roman" w:cs="Times New Roman"/>
              </w:rPr>
              <w:t>Mean: Average</w:t>
            </w:r>
            <w:proofErr w:type="gramEnd"/>
            <w:r w:rsidRPr="2B3D61D0">
              <w:rPr>
                <w:rFonts w:ascii="Times New Roman" w:eastAsia="Times New Roman" w:hAnsi="Times New Roman" w:cs="Times New Roman"/>
              </w:rPr>
              <w:t xml:space="preserve"> percentage of each race/ethnicity group across all available reporting years for each hospital.</w:t>
            </w:r>
          </w:p>
        </w:tc>
      </w:tr>
      <w:tr w:rsidR="00BF79E8" w:rsidRPr="00BF79E8" w14:paraId="215337B0"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272A4D73" w14:textId="42E78959"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Race/ethnicity distribution (Median)</w:t>
            </w:r>
          </w:p>
        </w:tc>
        <w:tc>
          <w:tcPr>
            <w:tcW w:w="4770" w:type="dxa"/>
            <w:tcBorders>
              <w:top w:val="nil"/>
              <w:left w:val="nil"/>
              <w:bottom w:val="single" w:sz="4" w:space="0" w:color="auto"/>
              <w:right w:val="single" w:sz="4" w:space="0" w:color="auto"/>
            </w:tcBorders>
            <w:shd w:val="clear" w:color="auto" w:fill="auto"/>
            <w:vAlign w:val="bottom"/>
            <w:hideMark/>
          </w:tcPr>
          <w:p w14:paraId="09FFC43B" w14:textId="009B4067"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Median percentage of each race/ethnicity group across all available reporting years for each hospital.</w:t>
            </w:r>
          </w:p>
        </w:tc>
      </w:tr>
      <w:tr w:rsidR="00BF79E8" w:rsidRPr="00BF79E8" w14:paraId="42AFBFB3"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7C5C1227" w14:textId="6D59798E"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Race/ethnicity distribution (Standard deviation)</w:t>
            </w:r>
          </w:p>
        </w:tc>
        <w:tc>
          <w:tcPr>
            <w:tcW w:w="4770" w:type="dxa"/>
            <w:tcBorders>
              <w:top w:val="nil"/>
              <w:left w:val="nil"/>
              <w:bottom w:val="single" w:sz="4" w:space="0" w:color="auto"/>
              <w:right w:val="single" w:sz="4" w:space="0" w:color="auto"/>
            </w:tcBorders>
            <w:shd w:val="clear" w:color="auto" w:fill="auto"/>
            <w:vAlign w:val="bottom"/>
            <w:hideMark/>
          </w:tcPr>
          <w:p w14:paraId="73611E85" w14:textId="748A26C8"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Standard deviation of the percentage of each race/ethnicity group across all available reporting years for each hospital.</w:t>
            </w:r>
          </w:p>
        </w:tc>
      </w:tr>
      <w:tr w:rsidR="00BF79E8" w:rsidRPr="00BF79E8" w14:paraId="14D41107"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303E4AAC" w14:textId="7293F2D2"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Race/ethnicity distribution (Interquartile range)</w:t>
            </w:r>
          </w:p>
        </w:tc>
        <w:tc>
          <w:tcPr>
            <w:tcW w:w="4770" w:type="dxa"/>
            <w:tcBorders>
              <w:top w:val="nil"/>
              <w:left w:val="nil"/>
              <w:bottom w:val="single" w:sz="4" w:space="0" w:color="auto"/>
              <w:right w:val="single" w:sz="4" w:space="0" w:color="auto"/>
            </w:tcBorders>
            <w:shd w:val="clear" w:color="auto" w:fill="auto"/>
            <w:vAlign w:val="bottom"/>
            <w:hideMark/>
          </w:tcPr>
          <w:p w14:paraId="7F58C002" w14:textId="2FF6CCBC"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Interquartile range (IQR) of the percentage of each race/ethnicity group across all available reporting years for each hospital.</w:t>
            </w:r>
          </w:p>
        </w:tc>
      </w:tr>
      <w:tr w:rsidR="00BF79E8" w:rsidRPr="00BF79E8" w14:paraId="01A35B44" w14:textId="77777777" w:rsidTr="2B3D61D0">
        <w:trPr>
          <w:trHeight w:val="864"/>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1021897D" w14:textId="6FDB33F0"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Uninsured rate (Mean)</w:t>
            </w:r>
          </w:p>
        </w:tc>
        <w:tc>
          <w:tcPr>
            <w:tcW w:w="4770" w:type="dxa"/>
            <w:tcBorders>
              <w:top w:val="nil"/>
              <w:left w:val="nil"/>
              <w:bottom w:val="single" w:sz="4" w:space="0" w:color="auto"/>
              <w:right w:val="single" w:sz="4" w:space="0" w:color="auto"/>
            </w:tcBorders>
            <w:shd w:val="clear" w:color="auto" w:fill="auto"/>
            <w:vAlign w:val="bottom"/>
            <w:hideMark/>
          </w:tcPr>
          <w:p w14:paraId="279E4846" w14:textId="418AF44E"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 xml:space="preserve">Base variable: Percentage of individuals without health insurance within specific subgroups (e.g., age groups, sex, </w:t>
            </w:r>
            <w:proofErr w:type="gramStart"/>
            <w:r w:rsidRPr="2B3D61D0">
              <w:rPr>
                <w:rFonts w:ascii="Times New Roman" w:eastAsia="Times New Roman" w:hAnsi="Times New Roman" w:cs="Times New Roman"/>
              </w:rPr>
              <w:t>employment</w:t>
            </w:r>
            <w:proofErr w:type="gramEnd"/>
            <w:r w:rsidRPr="2B3D61D0">
              <w:rPr>
                <w:rFonts w:ascii="Times New Roman" w:eastAsia="Times New Roman" w:hAnsi="Times New Roman" w:cs="Times New Roman"/>
              </w:rPr>
              <w:t xml:space="preserve"> status) in the hospital’s ZCTA. </w:t>
            </w:r>
          </w:p>
          <w:p w14:paraId="2FBCBC08" w14:textId="7956E8D5" w:rsidR="2B3D61D0" w:rsidRDefault="2B3D61D0" w:rsidP="2B3D61D0">
            <w:pPr>
              <w:spacing w:after="0"/>
              <w:rPr>
                <w:rFonts w:ascii="Times New Roman" w:eastAsia="Times New Roman" w:hAnsi="Times New Roman" w:cs="Times New Roman"/>
              </w:rPr>
            </w:pPr>
          </w:p>
          <w:p w14:paraId="513689E3" w14:textId="7D0BF958" w:rsidR="2B3D61D0" w:rsidRDefault="2B3D61D0" w:rsidP="2B3D61D0">
            <w:pPr>
              <w:spacing w:after="0"/>
              <w:rPr>
                <w:rFonts w:ascii="Times New Roman" w:eastAsia="Times New Roman" w:hAnsi="Times New Roman" w:cs="Times New Roman"/>
              </w:rPr>
            </w:pPr>
            <w:proofErr w:type="gramStart"/>
            <w:r w:rsidRPr="2B3D61D0">
              <w:rPr>
                <w:rFonts w:ascii="Times New Roman" w:eastAsia="Times New Roman" w:hAnsi="Times New Roman" w:cs="Times New Roman"/>
              </w:rPr>
              <w:t>Mean: Average</w:t>
            </w:r>
            <w:proofErr w:type="gramEnd"/>
            <w:r w:rsidRPr="2B3D61D0">
              <w:rPr>
                <w:rFonts w:ascii="Times New Roman" w:eastAsia="Times New Roman" w:hAnsi="Times New Roman" w:cs="Times New Roman"/>
              </w:rPr>
              <w:t xml:space="preserve"> uninsured rate across all available reporting years (2011–2022) for each hospital.</w:t>
            </w:r>
          </w:p>
        </w:tc>
      </w:tr>
      <w:tr w:rsidR="00BF79E8" w:rsidRPr="00BF79E8" w14:paraId="68111FA1"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3FE2A34D" w14:textId="5460FD42"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Uninsured rate (Median)</w:t>
            </w:r>
          </w:p>
        </w:tc>
        <w:tc>
          <w:tcPr>
            <w:tcW w:w="4770" w:type="dxa"/>
            <w:tcBorders>
              <w:top w:val="nil"/>
              <w:left w:val="nil"/>
              <w:bottom w:val="single" w:sz="4" w:space="0" w:color="auto"/>
              <w:right w:val="single" w:sz="4" w:space="0" w:color="auto"/>
            </w:tcBorders>
            <w:shd w:val="clear" w:color="auto" w:fill="auto"/>
            <w:vAlign w:val="bottom"/>
            <w:hideMark/>
          </w:tcPr>
          <w:p w14:paraId="19C24FFA" w14:textId="6B6A8258"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Median uninsured rate across all available reporting years for each hospital.</w:t>
            </w:r>
          </w:p>
        </w:tc>
      </w:tr>
      <w:tr w:rsidR="00BF79E8" w:rsidRPr="00BF79E8" w14:paraId="371E0F95"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32233C6A" w14:textId="228E3800"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Uninsured rate (Standard deviation)</w:t>
            </w:r>
          </w:p>
        </w:tc>
        <w:tc>
          <w:tcPr>
            <w:tcW w:w="4770" w:type="dxa"/>
            <w:tcBorders>
              <w:top w:val="nil"/>
              <w:left w:val="nil"/>
              <w:bottom w:val="single" w:sz="4" w:space="0" w:color="auto"/>
              <w:right w:val="single" w:sz="4" w:space="0" w:color="auto"/>
            </w:tcBorders>
            <w:shd w:val="clear" w:color="auto" w:fill="auto"/>
            <w:vAlign w:val="bottom"/>
            <w:hideMark/>
          </w:tcPr>
          <w:p w14:paraId="2A3CA0CA" w14:textId="4384183E"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Standard deviation of uninsured rates across all available reporting years for each hospital.</w:t>
            </w:r>
          </w:p>
        </w:tc>
      </w:tr>
      <w:tr w:rsidR="00BF79E8" w:rsidRPr="00BF79E8" w14:paraId="1255EE54" w14:textId="77777777" w:rsidTr="2B3D61D0">
        <w:trPr>
          <w:trHeight w:val="576"/>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0403293A" w14:textId="5FD80DD6"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Uninsured rate (Interquartile range)</w:t>
            </w:r>
          </w:p>
        </w:tc>
        <w:tc>
          <w:tcPr>
            <w:tcW w:w="4770" w:type="dxa"/>
            <w:tcBorders>
              <w:top w:val="nil"/>
              <w:left w:val="nil"/>
              <w:bottom w:val="single" w:sz="4" w:space="0" w:color="auto"/>
              <w:right w:val="single" w:sz="4" w:space="0" w:color="auto"/>
            </w:tcBorders>
            <w:shd w:val="clear" w:color="auto" w:fill="auto"/>
            <w:vAlign w:val="bottom"/>
            <w:hideMark/>
          </w:tcPr>
          <w:p w14:paraId="26FCF5FB" w14:textId="457874C7" w:rsidR="2B3D61D0" w:rsidRDefault="2B3D61D0" w:rsidP="2B3D61D0">
            <w:pPr>
              <w:spacing w:after="0"/>
              <w:rPr>
                <w:rFonts w:ascii="Times New Roman" w:eastAsia="Times New Roman" w:hAnsi="Times New Roman" w:cs="Times New Roman"/>
              </w:rPr>
            </w:pPr>
            <w:r w:rsidRPr="2B3D61D0">
              <w:rPr>
                <w:rFonts w:ascii="Times New Roman" w:eastAsia="Times New Roman" w:hAnsi="Times New Roman" w:cs="Times New Roman"/>
              </w:rPr>
              <w:t>Interquartile range (IQR) of uninsured rates across all available reporting years for each hospital.</w:t>
            </w:r>
          </w:p>
        </w:tc>
      </w:tr>
    </w:tbl>
    <w:p w14:paraId="6A05A809" w14:textId="77777777" w:rsidR="00BF79E8" w:rsidRPr="00BF79E8" w:rsidRDefault="00BF79E8" w:rsidP="21968D0E">
      <w:pPr>
        <w:rPr>
          <w:b/>
          <w:bCs/>
        </w:rPr>
      </w:pPr>
    </w:p>
    <w:sectPr w:rsidR="00BF79E8" w:rsidRPr="00BF79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8nL8RHQsU3EqWS" int2:id="9pYBrPyG">
      <int2:state int2:type="spell" int2:value="Rejected"/>
    </int2:textHash>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9E8"/>
    <w:rsid w:val="008AF929"/>
    <w:rsid w:val="00BF79E8"/>
    <w:rsid w:val="00C56479"/>
    <w:rsid w:val="00D37685"/>
    <w:rsid w:val="00DE499E"/>
    <w:rsid w:val="01249B13"/>
    <w:rsid w:val="038DDE6E"/>
    <w:rsid w:val="039CAB18"/>
    <w:rsid w:val="03D02F21"/>
    <w:rsid w:val="041D8A24"/>
    <w:rsid w:val="046952BD"/>
    <w:rsid w:val="04A2E6A2"/>
    <w:rsid w:val="0518E4B2"/>
    <w:rsid w:val="053ED542"/>
    <w:rsid w:val="068B3847"/>
    <w:rsid w:val="07030AFC"/>
    <w:rsid w:val="071F84D8"/>
    <w:rsid w:val="07CCF097"/>
    <w:rsid w:val="08C5D179"/>
    <w:rsid w:val="096F46F2"/>
    <w:rsid w:val="0B390E08"/>
    <w:rsid w:val="0C092573"/>
    <w:rsid w:val="0D6055BA"/>
    <w:rsid w:val="0D617293"/>
    <w:rsid w:val="0DF82A7F"/>
    <w:rsid w:val="0E86EAB5"/>
    <w:rsid w:val="0ECA15C1"/>
    <w:rsid w:val="0F3074C5"/>
    <w:rsid w:val="0F7BC442"/>
    <w:rsid w:val="100D3A8C"/>
    <w:rsid w:val="115D8B60"/>
    <w:rsid w:val="13F9F3CA"/>
    <w:rsid w:val="145BA9A2"/>
    <w:rsid w:val="153FF985"/>
    <w:rsid w:val="1621F4A6"/>
    <w:rsid w:val="16444B34"/>
    <w:rsid w:val="17DBE644"/>
    <w:rsid w:val="182C22CA"/>
    <w:rsid w:val="186CB7A6"/>
    <w:rsid w:val="19C56A7B"/>
    <w:rsid w:val="1A4237CC"/>
    <w:rsid w:val="1B6C7D8A"/>
    <w:rsid w:val="1DD628C4"/>
    <w:rsid w:val="1E5F8895"/>
    <w:rsid w:val="1E774878"/>
    <w:rsid w:val="1ED84591"/>
    <w:rsid w:val="1EF0001F"/>
    <w:rsid w:val="1F692150"/>
    <w:rsid w:val="21968D0E"/>
    <w:rsid w:val="21D3DD72"/>
    <w:rsid w:val="22CD5E41"/>
    <w:rsid w:val="25A5D076"/>
    <w:rsid w:val="25E4E04D"/>
    <w:rsid w:val="25F6546E"/>
    <w:rsid w:val="26513E81"/>
    <w:rsid w:val="26FEAFBA"/>
    <w:rsid w:val="281AE372"/>
    <w:rsid w:val="2B1AF9A3"/>
    <w:rsid w:val="2B3D61D0"/>
    <w:rsid w:val="2C22662F"/>
    <w:rsid w:val="2C4FAF73"/>
    <w:rsid w:val="2C7955EE"/>
    <w:rsid w:val="2E2FD2A2"/>
    <w:rsid w:val="2E72E86E"/>
    <w:rsid w:val="2F9190C3"/>
    <w:rsid w:val="30142683"/>
    <w:rsid w:val="31CB3C6A"/>
    <w:rsid w:val="3245734C"/>
    <w:rsid w:val="33A2741D"/>
    <w:rsid w:val="34AAC61D"/>
    <w:rsid w:val="35BC3361"/>
    <w:rsid w:val="35EE9D12"/>
    <w:rsid w:val="379D4712"/>
    <w:rsid w:val="3A60363F"/>
    <w:rsid w:val="3B1327F3"/>
    <w:rsid w:val="3B39C548"/>
    <w:rsid w:val="3BA12A42"/>
    <w:rsid w:val="3BF78A09"/>
    <w:rsid w:val="3C8D59DB"/>
    <w:rsid w:val="3C9AA275"/>
    <w:rsid w:val="3CFD69D8"/>
    <w:rsid w:val="3D4D3048"/>
    <w:rsid w:val="3DFC601B"/>
    <w:rsid w:val="3EAA9034"/>
    <w:rsid w:val="3F9C2124"/>
    <w:rsid w:val="4072F27F"/>
    <w:rsid w:val="407517AF"/>
    <w:rsid w:val="4237D4AD"/>
    <w:rsid w:val="4367E02C"/>
    <w:rsid w:val="44ADC895"/>
    <w:rsid w:val="464C5214"/>
    <w:rsid w:val="48420B13"/>
    <w:rsid w:val="48602C3C"/>
    <w:rsid w:val="4872F82C"/>
    <w:rsid w:val="49794B07"/>
    <w:rsid w:val="4AE86AD5"/>
    <w:rsid w:val="4C216317"/>
    <w:rsid w:val="4CAB31FE"/>
    <w:rsid w:val="4CBBF6AF"/>
    <w:rsid w:val="4D5A299D"/>
    <w:rsid w:val="4D8E0190"/>
    <w:rsid w:val="4DD7663C"/>
    <w:rsid w:val="4DE00998"/>
    <w:rsid w:val="4EA4A894"/>
    <w:rsid w:val="4F5DB1C1"/>
    <w:rsid w:val="505C305E"/>
    <w:rsid w:val="509A1A22"/>
    <w:rsid w:val="5141E4D7"/>
    <w:rsid w:val="51544BC2"/>
    <w:rsid w:val="5166D573"/>
    <w:rsid w:val="51B3C35B"/>
    <w:rsid w:val="52FAB605"/>
    <w:rsid w:val="53F5F6EF"/>
    <w:rsid w:val="540C572D"/>
    <w:rsid w:val="56152029"/>
    <w:rsid w:val="56951574"/>
    <w:rsid w:val="56BC433F"/>
    <w:rsid w:val="573A75B6"/>
    <w:rsid w:val="5740CFD6"/>
    <w:rsid w:val="5787F7B5"/>
    <w:rsid w:val="57A885D9"/>
    <w:rsid w:val="5BA79C98"/>
    <w:rsid w:val="5BC019CE"/>
    <w:rsid w:val="5EC490D7"/>
    <w:rsid w:val="5F29D13C"/>
    <w:rsid w:val="5FA453C6"/>
    <w:rsid w:val="5FFA2F1C"/>
    <w:rsid w:val="6102F4CF"/>
    <w:rsid w:val="64D07E31"/>
    <w:rsid w:val="65940FA1"/>
    <w:rsid w:val="65AD301E"/>
    <w:rsid w:val="661F2FA2"/>
    <w:rsid w:val="67421BDC"/>
    <w:rsid w:val="674395C5"/>
    <w:rsid w:val="67DC0A40"/>
    <w:rsid w:val="67FA550E"/>
    <w:rsid w:val="68521DAF"/>
    <w:rsid w:val="68563512"/>
    <w:rsid w:val="6B7A3F20"/>
    <w:rsid w:val="6BCEE70A"/>
    <w:rsid w:val="6DE4223E"/>
    <w:rsid w:val="6E0A066C"/>
    <w:rsid w:val="6E339F77"/>
    <w:rsid w:val="6EB62178"/>
    <w:rsid w:val="6EEF1A6E"/>
    <w:rsid w:val="6F05F2E2"/>
    <w:rsid w:val="6F107A6E"/>
    <w:rsid w:val="6F332763"/>
    <w:rsid w:val="70473A21"/>
    <w:rsid w:val="70F2A5AE"/>
    <w:rsid w:val="72E33315"/>
    <w:rsid w:val="7341F108"/>
    <w:rsid w:val="734F3006"/>
    <w:rsid w:val="73643BA3"/>
    <w:rsid w:val="74556579"/>
    <w:rsid w:val="75CEA925"/>
    <w:rsid w:val="76128ABC"/>
    <w:rsid w:val="764A8A01"/>
    <w:rsid w:val="78193469"/>
    <w:rsid w:val="783BF5C3"/>
    <w:rsid w:val="784E9127"/>
    <w:rsid w:val="78B0609E"/>
    <w:rsid w:val="7A5CDDB1"/>
    <w:rsid w:val="7B1B42BD"/>
    <w:rsid w:val="7B2D5085"/>
    <w:rsid w:val="7D577807"/>
    <w:rsid w:val="7EE333CA"/>
    <w:rsid w:val="7F63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98AF3"/>
  <w15:chartTrackingRefBased/>
  <w15:docId w15:val="{27F55D57-FB1A-4B13-A6A2-50FA8B13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473143">
      <w:bodyDiv w:val="1"/>
      <w:marLeft w:val="0"/>
      <w:marRight w:val="0"/>
      <w:marTop w:val="0"/>
      <w:marBottom w:val="0"/>
      <w:divBdr>
        <w:top w:val="none" w:sz="0" w:space="0" w:color="auto"/>
        <w:left w:val="none" w:sz="0" w:space="0" w:color="auto"/>
        <w:bottom w:val="none" w:sz="0" w:space="0" w:color="auto"/>
        <w:right w:val="none" w:sz="0" w:space="0" w:color="auto"/>
      </w:divBdr>
    </w:div>
    <w:div w:id="1654213293">
      <w:bodyDiv w:val="1"/>
      <w:marLeft w:val="0"/>
      <w:marRight w:val="0"/>
      <w:marTop w:val="0"/>
      <w:marBottom w:val="0"/>
      <w:divBdr>
        <w:top w:val="none" w:sz="0" w:space="0" w:color="auto"/>
        <w:left w:val="none" w:sz="0" w:space="0" w:color="auto"/>
        <w:bottom w:val="none" w:sz="0" w:space="0" w:color="auto"/>
        <w:right w:val="none" w:sz="0" w:space="0" w:color="auto"/>
      </w:divBdr>
    </w:div>
    <w:div w:id="18724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d2b9e760c4594942" Type="http://schemas.microsoft.com/office/2020/10/relationships/intelligence" Target="intelligence2.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3022</Words>
  <Characters>17229</Characters>
  <Application>Microsoft Office Word</Application>
  <DocSecurity>0</DocSecurity>
  <Lines>143</Lines>
  <Paragraphs>40</Paragraphs>
  <ScaleCrop>false</ScaleCrop>
  <Company>UI College of Medicine Rockford</Company>
  <LinksUpToDate>false</LinksUpToDate>
  <CharactersWithSpaces>20211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Balakrishnan, Kiruthika</dc:creator>
  <cp:keywords/>
  <dc:description/>
  <cp:lastModifiedBy>Balakrishnan, Kiruthika</cp:lastModifiedBy>
  <cp:revision>5</cp:revision>
  <dcterms:created xsi:type="dcterms:W3CDTF">2026-01-17T03:05:00Z</dcterms:created>
  <dcterms:modified xsi:type="dcterms:W3CDTF">2026-05-11T19:52:00Z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53116af2-17be-455b-931e-97b785006d8e</vt:lpwstr>
  </property>
</Properties>
</file>