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D648D" w14:textId="77777777" w:rsidR="00C64AFC" w:rsidRDefault="00C64AFC" w:rsidP="00C64AFC">
      <w:pPr>
        <w:pStyle w:val="NormalWeb"/>
        <w:spacing w:line="480" w:lineRule="auto"/>
      </w:pPr>
      <w:r>
        <w:rPr>
          <w:rStyle w:val="Strong"/>
        </w:rPr>
        <w:t>Appendix 2: Expert Comments from Face and Content Validity Assessment</w:t>
      </w:r>
    </w:p>
    <w:p w14:paraId="0DB757E8" w14:textId="77777777" w:rsidR="00C64AFC" w:rsidRDefault="00C64AFC" w:rsidP="00C64AFC">
      <w:pPr>
        <w:pStyle w:val="NormalWeb"/>
        <w:numPr>
          <w:ilvl w:val="0"/>
          <w:numId w:val="1"/>
        </w:numPr>
        <w:spacing w:line="480" w:lineRule="auto"/>
        <w:jc w:val="both"/>
      </w:pPr>
      <w:r>
        <w:t>The wording and content of the questionnaire should be revised to ensure they are appropriate for the intended study population.</w:t>
      </w:r>
    </w:p>
    <w:p w14:paraId="4DB41B39" w14:textId="77777777" w:rsidR="00C64AFC" w:rsidRDefault="00C64AFC" w:rsidP="00C64AFC">
      <w:pPr>
        <w:pStyle w:val="NormalWeb"/>
        <w:numPr>
          <w:ilvl w:val="0"/>
          <w:numId w:val="1"/>
        </w:numPr>
        <w:spacing w:line="480" w:lineRule="auto"/>
        <w:jc w:val="both"/>
      </w:pPr>
      <w:r>
        <w:t xml:space="preserve">The questionnaire should be clear, simple, and straightforward, particularly because it will be administered online, so as to </w:t>
      </w:r>
      <w:proofErr w:type="spellStart"/>
      <w:r>
        <w:t>minimise</w:t>
      </w:r>
      <w:proofErr w:type="spellEnd"/>
      <w:r>
        <w:t xml:space="preserve"> the time required for respondents to complete it.</w:t>
      </w:r>
    </w:p>
    <w:p w14:paraId="11853F8A" w14:textId="77777777" w:rsidR="00C64AFC" w:rsidRPr="003A5BC4" w:rsidRDefault="00C64AFC" w:rsidP="00C64AFC">
      <w:pPr>
        <w:pStyle w:val="NormalWeb"/>
        <w:numPr>
          <w:ilvl w:val="0"/>
          <w:numId w:val="1"/>
        </w:numPr>
        <w:spacing w:line="480" w:lineRule="auto"/>
        <w:jc w:val="both"/>
        <w:rPr>
          <w:i/>
          <w:iCs/>
        </w:rPr>
      </w:pPr>
      <w:r>
        <w:t xml:space="preserve">A 5-point Likert scale should be adopted in the questionnaire instead of the response options used in Crockett et al. (2019), namely: </w:t>
      </w:r>
      <w:r w:rsidRPr="003A5BC4">
        <w:rPr>
          <w:rStyle w:val="Emphasis"/>
        </w:rPr>
        <w:t>disagree, neutral, agree,</w:t>
      </w:r>
      <w:r w:rsidRPr="003A5BC4">
        <w:rPr>
          <w:i/>
          <w:iCs/>
        </w:rPr>
        <w:t xml:space="preserve"> </w:t>
      </w:r>
      <w:r w:rsidRPr="003A5BC4">
        <w:t xml:space="preserve">and </w:t>
      </w:r>
      <w:r w:rsidRPr="003A5BC4">
        <w:rPr>
          <w:rStyle w:val="Emphasis"/>
        </w:rPr>
        <w:t>don’t know</w:t>
      </w:r>
      <w:r w:rsidRPr="003A5BC4">
        <w:rPr>
          <w:i/>
          <w:iCs/>
        </w:rPr>
        <w:t>.</w:t>
      </w:r>
    </w:p>
    <w:p w14:paraId="39B9D5EA" w14:textId="77777777" w:rsidR="00C64AFC" w:rsidRDefault="00C64AFC">
      <w:pPr>
        <w:spacing w:line="259" w:lineRule="auto"/>
        <w:rPr>
          <w:rFonts w:ascii="Times New Roman" w:eastAsia="Calibri" w:hAnsi="Times New Roman" w:cs="Times New Roman"/>
          <w:b/>
        </w:rPr>
      </w:pPr>
      <w:r>
        <w:rPr>
          <w:rFonts w:ascii="Times New Roman" w:eastAsia="Calibri" w:hAnsi="Times New Roman" w:cs="Times New Roman"/>
          <w:b/>
        </w:rPr>
        <w:br w:type="page"/>
      </w:r>
    </w:p>
    <w:p w14:paraId="12847756" w14:textId="2BA6D158" w:rsidR="00C64AFC" w:rsidRDefault="00C64AFC" w:rsidP="00C64AFC">
      <w:pPr>
        <w:rPr>
          <w:rFonts w:ascii="Times New Roman" w:eastAsia="Calibri" w:hAnsi="Times New Roman" w:cs="Times New Roman"/>
          <w:b/>
        </w:rPr>
      </w:pPr>
      <w:r>
        <w:rPr>
          <w:rFonts w:ascii="Times New Roman" w:eastAsia="Calibri" w:hAnsi="Times New Roman" w:cs="Times New Roman"/>
          <w:b/>
        </w:rPr>
        <w:lastRenderedPageBreak/>
        <w:t>Appendix Table 3</w:t>
      </w:r>
      <w:r w:rsidRPr="008D3DE2">
        <w:rPr>
          <w:rFonts w:ascii="Times New Roman" w:eastAsia="Calibri" w:hAnsi="Times New Roman" w:cs="Times New Roman"/>
          <w:b/>
        </w:rPr>
        <w:t xml:space="preserve">: </w:t>
      </w:r>
      <w:r>
        <w:rPr>
          <w:rFonts w:ascii="Times New Roman" w:eastAsia="Calibri" w:hAnsi="Times New Roman" w:cs="Times New Roman"/>
          <w:b/>
        </w:rPr>
        <w:t>Perception</w:t>
      </w:r>
      <w:r w:rsidRPr="008D3DE2">
        <w:rPr>
          <w:rFonts w:ascii="Times New Roman" w:eastAsia="Calibri" w:hAnsi="Times New Roman" w:cs="Times New Roman"/>
          <w:b/>
        </w:rPr>
        <w:t xml:space="preserve"> of PPI </w:t>
      </w:r>
      <w:r>
        <w:rPr>
          <w:rFonts w:ascii="Times New Roman" w:eastAsia="Calibri" w:hAnsi="Times New Roman" w:cs="Times New Roman"/>
          <w:b/>
        </w:rPr>
        <w:t>among physiotherapy researchers mapped using the INVOLVE framework (N=50)</w:t>
      </w:r>
    </w:p>
    <w:tbl>
      <w:tblPr>
        <w:tblStyle w:val="TableGrid"/>
        <w:tblW w:w="11314" w:type="dxa"/>
        <w:tblInd w:w="-1085" w:type="dxa"/>
        <w:tblLook w:val="04A0" w:firstRow="1" w:lastRow="0" w:firstColumn="1" w:lastColumn="0" w:noHBand="0" w:noVBand="1"/>
      </w:tblPr>
      <w:tblGrid>
        <w:gridCol w:w="1800"/>
        <w:gridCol w:w="3150"/>
        <w:gridCol w:w="3060"/>
        <w:gridCol w:w="3304"/>
      </w:tblGrid>
      <w:tr w:rsidR="00C64AFC" w:rsidRPr="00D31B80" w14:paraId="767F9792" w14:textId="77777777" w:rsidTr="00717C4C">
        <w:trPr>
          <w:trHeight w:val="276"/>
        </w:trPr>
        <w:tc>
          <w:tcPr>
            <w:tcW w:w="1800" w:type="dxa"/>
          </w:tcPr>
          <w:p w14:paraId="7EE2E98B" w14:textId="77777777" w:rsidR="00C64AFC" w:rsidRPr="00D31B80" w:rsidRDefault="00C64AFC" w:rsidP="00717C4C">
            <w:pPr>
              <w:rPr>
                <w:rFonts w:ascii="Times New Roman" w:eastAsia="Calibri" w:hAnsi="Times New Roman" w:cs="Times New Roman"/>
                <w:bCs/>
                <w:color w:val="000000" w:themeColor="text1"/>
                <w:sz w:val="22"/>
                <w:szCs w:val="22"/>
              </w:rPr>
            </w:pPr>
          </w:p>
        </w:tc>
        <w:tc>
          <w:tcPr>
            <w:tcW w:w="9514" w:type="dxa"/>
            <w:gridSpan w:val="3"/>
          </w:tcPr>
          <w:p w14:paraId="62266863" w14:textId="77777777" w:rsidR="00C64AFC" w:rsidRPr="00C64AFC" w:rsidRDefault="00C64AFC" w:rsidP="00C64AFC">
            <w:pPr>
              <w:jc w:val="center"/>
              <w:rPr>
                <w:rFonts w:ascii="Times New Roman" w:eastAsia="Times New Roman" w:hAnsi="Times New Roman" w:cs="Times New Roman"/>
                <w:b/>
                <w:color w:val="000000" w:themeColor="text1"/>
                <w:sz w:val="28"/>
                <w:szCs w:val="28"/>
              </w:rPr>
            </w:pPr>
            <w:r w:rsidRPr="00C64AFC">
              <w:rPr>
                <w:rFonts w:ascii="Times New Roman" w:eastAsia="Calibri" w:hAnsi="Times New Roman" w:cs="Times New Roman"/>
                <w:b/>
                <w:color w:val="000000" w:themeColor="text1"/>
                <w:sz w:val="28"/>
                <w:szCs w:val="28"/>
              </w:rPr>
              <w:t>Approach</w:t>
            </w:r>
          </w:p>
        </w:tc>
      </w:tr>
      <w:tr w:rsidR="00C64AFC" w:rsidRPr="00D31B80" w14:paraId="59549773" w14:textId="77777777" w:rsidTr="00C64AFC">
        <w:trPr>
          <w:trHeight w:val="276"/>
        </w:trPr>
        <w:tc>
          <w:tcPr>
            <w:tcW w:w="1800" w:type="dxa"/>
          </w:tcPr>
          <w:p w14:paraId="17E6B4AD" w14:textId="77777777" w:rsidR="00C64AFC" w:rsidRPr="00C64AFC" w:rsidRDefault="00C64AFC" w:rsidP="00717C4C">
            <w:pPr>
              <w:rPr>
                <w:rFonts w:ascii="Times New Roman" w:eastAsia="Calibri" w:hAnsi="Times New Roman" w:cs="Times New Roman"/>
                <w:b/>
                <w:color w:val="000000" w:themeColor="text1"/>
                <w:sz w:val="22"/>
                <w:szCs w:val="22"/>
              </w:rPr>
            </w:pPr>
            <w:r w:rsidRPr="00C64AFC">
              <w:rPr>
                <w:rFonts w:ascii="Times New Roman" w:eastAsia="Calibri" w:hAnsi="Times New Roman" w:cs="Times New Roman"/>
                <w:b/>
                <w:color w:val="000000" w:themeColor="text1"/>
                <w:sz w:val="22"/>
                <w:szCs w:val="22"/>
              </w:rPr>
              <w:t>Response</w:t>
            </w:r>
          </w:p>
        </w:tc>
        <w:tc>
          <w:tcPr>
            <w:tcW w:w="3150" w:type="dxa"/>
          </w:tcPr>
          <w:p w14:paraId="70C46A39" w14:textId="77777777" w:rsidR="00C64AFC" w:rsidRPr="00C64AFC" w:rsidRDefault="00C64AFC" w:rsidP="00717C4C">
            <w:pPr>
              <w:rPr>
                <w:rFonts w:ascii="Times New Roman" w:eastAsia="Calibri" w:hAnsi="Times New Roman" w:cs="Times New Roman"/>
                <w:b/>
                <w:color w:val="000000" w:themeColor="text1"/>
                <w:sz w:val="22"/>
                <w:szCs w:val="22"/>
              </w:rPr>
            </w:pPr>
            <w:r w:rsidRPr="00C64AFC">
              <w:rPr>
                <w:rFonts w:ascii="Times New Roman" w:eastAsia="Calibri" w:hAnsi="Times New Roman" w:cs="Times New Roman"/>
                <w:b/>
                <w:color w:val="000000" w:themeColor="text1"/>
                <w:sz w:val="22"/>
                <w:szCs w:val="22"/>
              </w:rPr>
              <w:t xml:space="preserve">Collaborative </w:t>
            </w:r>
          </w:p>
          <w:p w14:paraId="08AE1569" w14:textId="336737F9" w:rsidR="00C64AFC" w:rsidRPr="00C64AFC" w:rsidRDefault="00C64AFC" w:rsidP="00717C4C">
            <w:pPr>
              <w:rPr>
                <w:rFonts w:ascii="Times New Roman" w:eastAsia="Calibri" w:hAnsi="Times New Roman" w:cs="Times New Roman"/>
                <w:b/>
                <w:color w:val="000000" w:themeColor="text1"/>
                <w:sz w:val="22"/>
                <w:szCs w:val="22"/>
              </w:rPr>
            </w:pPr>
            <w:r w:rsidRPr="00C64AFC">
              <w:rPr>
                <w:rFonts w:ascii="Times New Roman" w:eastAsia="Calibri" w:hAnsi="Times New Roman" w:cs="Times New Roman"/>
                <w:b/>
                <w:color w:val="000000" w:themeColor="text1"/>
                <w:sz w:val="22"/>
                <w:szCs w:val="22"/>
              </w:rPr>
              <w:t>[Questions: 4, 5, 7, 13, 14, 15, 16, 18]</w:t>
            </w:r>
          </w:p>
        </w:tc>
        <w:tc>
          <w:tcPr>
            <w:tcW w:w="3060" w:type="dxa"/>
          </w:tcPr>
          <w:p w14:paraId="4670FE65" w14:textId="77777777" w:rsidR="00C64AFC" w:rsidRPr="00C64AFC" w:rsidRDefault="00C64AFC" w:rsidP="00717C4C">
            <w:pPr>
              <w:rPr>
                <w:rFonts w:ascii="Times New Roman" w:eastAsia="Calibri" w:hAnsi="Times New Roman" w:cs="Times New Roman"/>
                <w:b/>
                <w:color w:val="000000" w:themeColor="text1"/>
                <w:sz w:val="22"/>
                <w:szCs w:val="22"/>
              </w:rPr>
            </w:pPr>
            <w:r w:rsidRPr="00C64AFC">
              <w:rPr>
                <w:rFonts w:ascii="Times New Roman" w:eastAsia="Calibri" w:hAnsi="Times New Roman" w:cs="Times New Roman"/>
                <w:b/>
                <w:color w:val="000000" w:themeColor="text1"/>
                <w:sz w:val="22"/>
                <w:szCs w:val="22"/>
              </w:rPr>
              <w:t xml:space="preserve">Consultative </w:t>
            </w:r>
          </w:p>
          <w:p w14:paraId="19781857" w14:textId="703721D4" w:rsidR="00C64AFC" w:rsidRPr="00C64AFC" w:rsidRDefault="00C64AFC" w:rsidP="00717C4C">
            <w:pPr>
              <w:rPr>
                <w:rFonts w:ascii="Times New Roman" w:eastAsia="Calibri" w:hAnsi="Times New Roman" w:cs="Times New Roman"/>
                <w:b/>
                <w:color w:val="000000" w:themeColor="text1"/>
                <w:sz w:val="22"/>
                <w:szCs w:val="22"/>
              </w:rPr>
            </w:pPr>
            <w:r w:rsidRPr="00C64AFC">
              <w:rPr>
                <w:rFonts w:ascii="Times New Roman" w:eastAsia="Calibri" w:hAnsi="Times New Roman" w:cs="Times New Roman"/>
                <w:b/>
                <w:color w:val="000000" w:themeColor="text1"/>
                <w:sz w:val="22"/>
                <w:szCs w:val="22"/>
              </w:rPr>
              <w:t>[Questions 8, 10, 11, 12, 17]</w:t>
            </w:r>
          </w:p>
        </w:tc>
        <w:tc>
          <w:tcPr>
            <w:tcW w:w="3304" w:type="dxa"/>
          </w:tcPr>
          <w:p w14:paraId="3874B456" w14:textId="77777777" w:rsidR="00C64AFC" w:rsidRPr="00C64AFC" w:rsidRDefault="00C64AFC" w:rsidP="00717C4C">
            <w:pPr>
              <w:rPr>
                <w:rFonts w:ascii="Times New Roman" w:eastAsia="Times New Roman" w:hAnsi="Times New Roman" w:cs="Times New Roman"/>
                <w:b/>
                <w:color w:val="000000" w:themeColor="text1"/>
                <w:sz w:val="22"/>
                <w:szCs w:val="22"/>
              </w:rPr>
            </w:pPr>
            <w:r w:rsidRPr="00C64AFC">
              <w:rPr>
                <w:rFonts w:ascii="Times New Roman" w:eastAsia="Times New Roman" w:hAnsi="Times New Roman" w:cs="Times New Roman"/>
                <w:b/>
                <w:color w:val="000000" w:themeColor="text1"/>
                <w:sz w:val="22"/>
                <w:szCs w:val="22"/>
              </w:rPr>
              <w:t xml:space="preserve">Combined Collaborative and Consultative </w:t>
            </w:r>
          </w:p>
          <w:p w14:paraId="2F4A881D" w14:textId="2642C36A" w:rsidR="00C64AFC" w:rsidRPr="00C64AFC" w:rsidRDefault="00C64AFC" w:rsidP="00717C4C">
            <w:pPr>
              <w:rPr>
                <w:rFonts w:ascii="Times New Roman" w:eastAsia="Times New Roman" w:hAnsi="Times New Roman" w:cs="Times New Roman"/>
                <w:b/>
                <w:color w:val="000000" w:themeColor="text1"/>
                <w:sz w:val="22"/>
                <w:szCs w:val="22"/>
              </w:rPr>
            </w:pPr>
            <w:r w:rsidRPr="00C64AFC">
              <w:rPr>
                <w:rFonts w:ascii="Times New Roman" w:eastAsia="Times New Roman" w:hAnsi="Times New Roman" w:cs="Times New Roman"/>
                <w:b/>
                <w:color w:val="000000" w:themeColor="text1"/>
                <w:sz w:val="22"/>
                <w:szCs w:val="22"/>
              </w:rPr>
              <w:t>[Questions 1, 2, 3, 6, 9]</w:t>
            </w:r>
          </w:p>
        </w:tc>
      </w:tr>
      <w:tr w:rsidR="00C64AFC" w:rsidRPr="00D31B80" w14:paraId="163AD59A" w14:textId="77777777" w:rsidTr="00C64AFC">
        <w:trPr>
          <w:trHeight w:val="266"/>
        </w:trPr>
        <w:tc>
          <w:tcPr>
            <w:tcW w:w="1800" w:type="dxa"/>
          </w:tcPr>
          <w:p w14:paraId="1D430B98" w14:textId="77777777" w:rsidR="00C64AFC" w:rsidRPr="00C64AFC" w:rsidRDefault="00C64AFC" w:rsidP="00717C4C">
            <w:pPr>
              <w:rPr>
                <w:rFonts w:ascii="Times New Roman" w:eastAsia="Calibri" w:hAnsi="Times New Roman" w:cs="Times New Roman"/>
                <w:b/>
                <w:color w:val="000000" w:themeColor="text1"/>
                <w:sz w:val="22"/>
                <w:szCs w:val="22"/>
              </w:rPr>
            </w:pPr>
            <w:r w:rsidRPr="00C64AFC">
              <w:rPr>
                <w:rFonts w:ascii="Times New Roman" w:eastAsia="Times New Roman" w:hAnsi="Times New Roman" w:cs="Times New Roman"/>
                <w:b/>
                <w:color w:val="000000" w:themeColor="text1"/>
                <w:sz w:val="22"/>
                <w:szCs w:val="22"/>
              </w:rPr>
              <w:t>Agree (%)</w:t>
            </w:r>
          </w:p>
        </w:tc>
        <w:tc>
          <w:tcPr>
            <w:tcW w:w="3150" w:type="dxa"/>
          </w:tcPr>
          <w:p w14:paraId="30208084" w14:textId="77777777" w:rsidR="00C64AFC" w:rsidRPr="00D31B80" w:rsidRDefault="00C64AFC" w:rsidP="00717C4C">
            <w:pPr>
              <w:rPr>
                <w:rFonts w:ascii="Times New Roman" w:hAnsi="Times New Roman" w:cs="Times New Roman"/>
                <w:bCs/>
                <w:color w:val="000000" w:themeColor="text1"/>
                <w:sz w:val="22"/>
                <w:szCs w:val="22"/>
              </w:rPr>
            </w:pPr>
            <w:r w:rsidRPr="00D31B80">
              <w:rPr>
                <w:rFonts w:ascii="Times New Roman" w:hAnsi="Times New Roman" w:cs="Times New Roman"/>
                <w:bCs/>
                <w:color w:val="000000" w:themeColor="text1"/>
                <w:sz w:val="22"/>
                <w:szCs w:val="22"/>
              </w:rPr>
              <w:t>(86, 84, 96, 86, 32, 38, 70, 56)</w:t>
            </w:r>
          </w:p>
          <w:p w14:paraId="69EF0791" w14:textId="77777777" w:rsidR="00C64AFC" w:rsidRPr="00D31B80" w:rsidRDefault="00C64AFC" w:rsidP="00717C4C">
            <w:pPr>
              <w:rPr>
                <w:rFonts w:ascii="Times New Roman" w:eastAsia="Calibri" w:hAnsi="Times New Roman" w:cs="Times New Roman"/>
                <w:bCs/>
                <w:color w:val="000000" w:themeColor="text1"/>
                <w:sz w:val="22"/>
                <w:szCs w:val="22"/>
              </w:rPr>
            </w:pPr>
          </w:p>
        </w:tc>
        <w:tc>
          <w:tcPr>
            <w:tcW w:w="3060" w:type="dxa"/>
          </w:tcPr>
          <w:p w14:paraId="120227AF" w14:textId="77777777" w:rsidR="00C64AFC" w:rsidRPr="00D31B80" w:rsidRDefault="00C64AFC" w:rsidP="00717C4C">
            <w:pPr>
              <w:rPr>
                <w:rFonts w:ascii="Times New Roman" w:eastAsia="Calibri" w:hAnsi="Times New Roman" w:cs="Times New Roman"/>
                <w:bCs/>
                <w:color w:val="000000" w:themeColor="text1"/>
                <w:sz w:val="22"/>
                <w:szCs w:val="22"/>
              </w:rPr>
            </w:pPr>
            <w:r w:rsidRPr="00D31B80">
              <w:rPr>
                <w:rFonts w:ascii="Times New Roman" w:eastAsia="Calibri" w:hAnsi="Times New Roman" w:cs="Times New Roman"/>
                <w:bCs/>
                <w:color w:val="000000" w:themeColor="text1"/>
                <w:sz w:val="22"/>
                <w:szCs w:val="22"/>
              </w:rPr>
              <w:t xml:space="preserve">(66, 94, 92, 70, 54)                </w:t>
            </w:r>
          </w:p>
        </w:tc>
        <w:tc>
          <w:tcPr>
            <w:tcW w:w="3304" w:type="dxa"/>
          </w:tcPr>
          <w:p w14:paraId="77B92E86" w14:textId="77777777" w:rsidR="00C64AFC" w:rsidRPr="00D31B80" w:rsidRDefault="00C64AFC" w:rsidP="00717C4C">
            <w:pPr>
              <w:rPr>
                <w:rFonts w:ascii="Times New Roman" w:eastAsia="Calibri" w:hAnsi="Times New Roman" w:cs="Times New Roman"/>
                <w:bCs/>
                <w:color w:val="000000" w:themeColor="text1"/>
                <w:sz w:val="22"/>
                <w:szCs w:val="22"/>
              </w:rPr>
            </w:pPr>
            <w:r w:rsidRPr="00D31B80">
              <w:rPr>
                <w:rFonts w:ascii="Times New Roman" w:eastAsia="Calibri" w:hAnsi="Times New Roman" w:cs="Times New Roman"/>
                <w:bCs/>
                <w:color w:val="000000" w:themeColor="text1"/>
                <w:sz w:val="22"/>
                <w:szCs w:val="22"/>
              </w:rPr>
              <w:t>(100, 98, 98, 100, 94)</w:t>
            </w:r>
          </w:p>
        </w:tc>
      </w:tr>
      <w:tr w:rsidR="00C64AFC" w:rsidRPr="00D31B80" w14:paraId="64C4CE97" w14:textId="77777777" w:rsidTr="00C64AFC">
        <w:trPr>
          <w:trHeight w:val="276"/>
        </w:trPr>
        <w:tc>
          <w:tcPr>
            <w:tcW w:w="1800" w:type="dxa"/>
          </w:tcPr>
          <w:p w14:paraId="6A211F6D" w14:textId="77777777" w:rsidR="00C64AFC" w:rsidRPr="00C64AFC" w:rsidRDefault="00C64AFC" w:rsidP="00717C4C">
            <w:pPr>
              <w:rPr>
                <w:rFonts w:ascii="Times New Roman" w:eastAsia="Calibri" w:hAnsi="Times New Roman" w:cs="Times New Roman"/>
                <w:b/>
                <w:color w:val="000000" w:themeColor="text1"/>
                <w:sz w:val="22"/>
                <w:szCs w:val="22"/>
              </w:rPr>
            </w:pPr>
            <w:r w:rsidRPr="00C64AFC">
              <w:rPr>
                <w:rFonts w:ascii="Times New Roman" w:eastAsia="Times New Roman" w:hAnsi="Times New Roman" w:cs="Times New Roman"/>
                <w:b/>
                <w:color w:val="000000" w:themeColor="text1"/>
                <w:sz w:val="22"/>
                <w:szCs w:val="22"/>
              </w:rPr>
              <w:t>Disagree (%)</w:t>
            </w:r>
          </w:p>
        </w:tc>
        <w:tc>
          <w:tcPr>
            <w:tcW w:w="3150" w:type="dxa"/>
          </w:tcPr>
          <w:p w14:paraId="13BF986E" w14:textId="77777777" w:rsidR="00C64AFC" w:rsidRPr="00D31B80" w:rsidRDefault="00C64AFC" w:rsidP="00717C4C">
            <w:pPr>
              <w:rPr>
                <w:rFonts w:ascii="Times New Roman" w:eastAsia="Calibri" w:hAnsi="Times New Roman" w:cs="Times New Roman"/>
                <w:bCs/>
                <w:color w:val="000000" w:themeColor="text1"/>
                <w:sz w:val="22"/>
                <w:szCs w:val="22"/>
              </w:rPr>
            </w:pPr>
            <w:r w:rsidRPr="00D31B80">
              <w:rPr>
                <w:rFonts w:ascii="Times New Roman" w:eastAsia="Calibri" w:hAnsi="Times New Roman" w:cs="Times New Roman"/>
                <w:bCs/>
                <w:color w:val="000000" w:themeColor="text1"/>
                <w:sz w:val="22"/>
                <w:szCs w:val="22"/>
              </w:rPr>
              <w:t>(14, 16, 4, 14, 64, 60, 26, 42)</w:t>
            </w:r>
          </w:p>
        </w:tc>
        <w:tc>
          <w:tcPr>
            <w:tcW w:w="3060" w:type="dxa"/>
          </w:tcPr>
          <w:p w14:paraId="384762CB" w14:textId="77777777" w:rsidR="00C64AFC" w:rsidRPr="00D31B80" w:rsidRDefault="00C64AFC" w:rsidP="00717C4C">
            <w:pPr>
              <w:rPr>
                <w:rFonts w:ascii="Times New Roman" w:eastAsia="Calibri" w:hAnsi="Times New Roman" w:cs="Times New Roman"/>
                <w:bCs/>
                <w:color w:val="000000" w:themeColor="text1"/>
                <w:sz w:val="22"/>
                <w:szCs w:val="22"/>
              </w:rPr>
            </w:pPr>
            <w:r w:rsidRPr="00D31B80">
              <w:rPr>
                <w:rFonts w:ascii="Times New Roman" w:eastAsia="Calibri" w:hAnsi="Times New Roman" w:cs="Times New Roman"/>
                <w:bCs/>
                <w:color w:val="000000" w:themeColor="text1"/>
                <w:sz w:val="22"/>
                <w:szCs w:val="22"/>
              </w:rPr>
              <w:t>(26, 4, 8, 28, 44)</w:t>
            </w:r>
          </w:p>
        </w:tc>
        <w:tc>
          <w:tcPr>
            <w:tcW w:w="3304" w:type="dxa"/>
          </w:tcPr>
          <w:p w14:paraId="25A5CD61" w14:textId="77777777" w:rsidR="00C64AFC" w:rsidRPr="00D31B80" w:rsidRDefault="00C64AFC" w:rsidP="00717C4C">
            <w:pPr>
              <w:rPr>
                <w:rFonts w:ascii="Times New Roman" w:eastAsia="Calibri" w:hAnsi="Times New Roman" w:cs="Times New Roman"/>
                <w:bCs/>
                <w:color w:val="000000" w:themeColor="text1"/>
                <w:sz w:val="22"/>
                <w:szCs w:val="22"/>
              </w:rPr>
            </w:pPr>
            <w:r w:rsidRPr="00D31B80">
              <w:rPr>
                <w:rFonts w:ascii="Times New Roman" w:eastAsia="Calibri" w:hAnsi="Times New Roman" w:cs="Times New Roman"/>
                <w:bCs/>
                <w:color w:val="000000" w:themeColor="text1"/>
                <w:sz w:val="22"/>
                <w:szCs w:val="22"/>
              </w:rPr>
              <w:t>(0, 0, 2, 0, 6)</w:t>
            </w:r>
          </w:p>
        </w:tc>
      </w:tr>
      <w:tr w:rsidR="00C64AFC" w:rsidRPr="00D31B80" w14:paraId="6931C240" w14:textId="77777777" w:rsidTr="00C64AFC">
        <w:trPr>
          <w:trHeight w:val="266"/>
        </w:trPr>
        <w:tc>
          <w:tcPr>
            <w:tcW w:w="1800" w:type="dxa"/>
          </w:tcPr>
          <w:p w14:paraId="6D365437" w14:textId="77777777" w:rsidR="00C64AFC" w:rsidRPr="00C64AFC" w:rsidRDefault="00C64AFC" w:rsidP="00717C4C">
            <w:pPr>
              <w:rPr>
                <w:rFonts w:ascii="Times New Roman" w:eastAsia="Calibri" w:hAnsi="Times New Roman" w:cs="Times New Roman"/>
                <w:b/>
                <w:color w:val="000000" w:themeColor="text1"/>
                <w:sz w:val="22"/>
                <w:szCs w:val="22"/>
              </w:rPr>
            </w:pPr>
            <w:r w:rsidRPr="00C64AFC">
              <w:rPr>
                <w:rFonts w:ascii="Times New Roman" w:eastAsia="Times New Roman" w:hAnsi="Times New Roman" w:cs="Times New Roman"/>
                <w:b/>
                <w:color w:val="000000" w:themeColor="text1"/>
                <w:sz w:val="22"/>
                <w:szCs w:val="22"/>
              </w:rPr>
              <w:t>Don’t know (%)</w:t>
            </w:r>
          </w:p>
        </w:tc>
        <w:tc>
          <w:tcPr>
            <w:tcW w:w="3150" w:type="dxa"/>
          </w:tcPr>
          <w:p w14:paraId="5849A842" w14:textId="77777777" w:rsidR="00C64AFC" w:rsidRPr="00D31B80" w:rsidRDefault="00C64AFC" w:rsidP="00717C4C">
            <w:pPr>
              <w:rPr>
                <w:rFonts w:ascii="Times New Roman" w:eastAsia="Calibri" w:hAnsi="Times New Roman" w:cs="Times New Roman"/>
                <w:bCs/>
                <w:color w:val="000000" w:themeColor="text1"/>
                <w:sz w:val="22"/>
                <w:szCs w:val="22"/>
              </w:rPr>
            </w:pPr>
            <w:r w:rsidRPr="00D31B80">
              <w:rPr>
                <w:rFonts w:ascii="Times New Roman" w:eastAsia="Calibri" w:hAnsi="Times New Roman" w:cs="Times New Roman"/>
                <w:bCs/>
                <w:color w:val="000000" w:themeColor="text1"/>
                <w:sz w:val="22"/>
                <w:szCs w:val="22"/>
              </w:rPr>
              <w:t>(0, 0, 0, 0, 4, 2, 4, 2)</w:t>
            </w:r>
          </w:p>
        </w:tc>
        <w:tc>
          <w:tcPr>
            <w:tcW w:w="3060" w:type="dxa"/>
          </w:tcPr>
          <w:p w14:paraId="1CC8C392" w14:textId="77777777" w:rsidR="00C64AFC" w:rsidRPr="00D31B80" w:rsidRDefault="00C64AFC" w:rsidP="00717C4C">
            <w:pPr>
              <w:rPr>
                <w:rFonts w:ascii="Times New Roman" w:eastAsia="Calibri" w:hAnsi="Times New Roman" w:cs="Times New Roman"/>
                <w:bCs/>
                <w:color w:val="000000" w:themeColor="text1"/>
                <w:sz w:val="22"/>
                <w:szCs w:val="22"/>
              </w:rPr>
            </w:pPr>
            <w:r w:rsidRPr="00D31B80">
              <w:rPr>
                <w:rFonts w:ascii="Times New Roman" w:eastAsia="Calibri" w:hAnsi="Times New Roman" w:cs="Times New Roman"/>
                <w:bCs/>
                <w:color w:val="000000" w:themeColor="text1"/>
                <w:sz w:val="22"/>
                <w:szCs w:val="22"/>
              </w:rPr>
              <w:t>(8, 2, 0, 2, 2)</w:t>
            </w:r>
          </w:p>
        </w:tc>
        <w:tc>
          <w:tcPr>
            <w:tcW w:w="3304" w:type="dxa"/>
          </w:tcPr>
          <w:p w14:paraId="5D03787A" w14:textId="77777777" w:rsidR="00C64AFC" w:rsidRPr="00D31B80" w:rsidRDefault="00C64AFC" w:rsidP="00717C4C">
            <w:pPr>
              <w:rPr>
                <w:rFonts w:ascii="Times New Roman" w:eastAsia="Calibri" w:hAnsi="Times New Roman" w:cs="Times New Roman"/>
                <w:bCs/>
                <w:color w:val="000000" w:themeColor="text1"/>
                <w:sz w:val="22"/>
                <w:szCs w:val="22"/>
              </w:rPr>
            </w:pPr>
            <w:r w:rsidRPr="00D31B80">
              <w:rPr>
                <w:rFonts w:ascii="Times New Roman" w:eastAsia="Calibri" w:hAnsi="Times New Roman" w:cs="Times New Roman"/>
                <w:bCs/>
                <w:color w:val="000000" w:themeColor="text1"/>
                <w:sz w:val="22"/>
                <w:szCs w:val="22"/>
              </w:rPr>
              <w:t>(0, 2, 0, 0, 0)</w:t>
            </w:r>
          </w:p>
        </w:tc>
      </w:tr>
      <w:tr w:rsidR="00C64AFC" w:rsidRPr="00D31B80" w14:paraId="5B9BA841" w14:textId="77777777" w:rsidTr="00717C4C">
        <w:trPr>
          <w:trHeight w:val="266"/>
        </w:trPr>
        <w:tc>
          <w:tcPr>
            <w:tcW w:w="11314" w:type="dxa"/>
            <w:gridSpan w:val="4"/>
          </w:tcPr>
          <w:p w14:paraId="34F5FA9A" w14:textId="3822D262" w:rsidR="00C64AFC" w:rsidRPr="00D31B80" w:rsidRDefault="00C64AFC" w:rsidP="00717C4C">
            <w:pPr>
              <w:jc w:val="both"/>
              <w:rPr>
                <w:rFonts w:ascii="Times New Roman" w:eastAsia="Calibri" w:hAnsi="Times New Roman" w:cs="Times New Roman"/>
                <w:bCs/>
                <w:color w:val="000000" w:themeColor="text1"/>
                <w:sz w:val="22"/>
                <w:szCs w:val="22"/>
              </w:rPr>
            </w:pPr>
            <w:r w:rsidRPr="00D31B80">
              <w:rPr>
                <w:rFonts w:ascii="Times New Roman" w:hAnsi="Times New Roman" w:cs="Times New Roman"/>
                <w:color w:val="000000" w:themeColor="text1"/>
                <w:sz w:val="20"/>
                <w:szCs w:val="20"/>
              </w:rPr>
              <w:t xml:space="preserve">1. Involving </w:t>
            </w:r>
            <w:r w:rsidRPr="000B6728">
              <w:rPr>
                <w:rFonts w:ascii="Times New Roman" w:hAnsi="Times New Roman" w:cs="Times New Roman"/>
                <w:color w:val="4472C4" w:themeColor="accent1"/>
                <w:sz w:val="20"/>
                <w:szCs w:val="20"/>
              </w:rPr>
              <w:t xml:space="preserve">patients and the public </w:t>
            </w:r>
            <w:r w:rsidRPr="00D31B80">
              <w:rPr>
                <w:rFonts w:ascii="Times New Roman" w:hAnsi="Times New Roman" w:cs="Times New Roman"/>
                <w:color w:val="000000" w:themeColor="text1"/>
                <w:sz w:val="20"/>
                <w:szCs w:val="20"/>
              </w:rPr>
              <w:t xml:space="preserve">should be considered an integral process in health research, 2. Involving patients and the public in health research is useful, 3. </w:t>
            </w:r>
            <w:r w:rsidRPr="000B6728">
              <w:rPr>
                <w:rFonts w:ascii="Times New Roman" w:hAnsi="Times New Roman" w:cs="Times New Roman"/>
                <w:color w:val="4472C4" w:themeColor="accent1"/>
                <w:sz w:val="20"/>
                <w:szCs w:val="20"/>
              </w:rPr>
              <w:t>Patients and</w:t>
            </w:r>
            <w:r w:rsidR="000B6728" w:rsidRPr="000B6728">
              <w:rPr>
                <w:rFonts w:ascii="Times New Roman" w:hAnsi="Times New Roman" w:cs="Times New Roman"/>
                <w:color w:val="4472C4" w:themeColor="accent1"/>
                <w:sz w:val="20"/>
                <w:szCs w:val="20"/>
              </w:rPr>
              <w:t xml:space="preserve"> </w:t>
            </w:r>
            <w:r w:rsidRPr="000B6728">
              <w:rPr>
                <w:rFonts w:ascii="Times New Roman" w:hAnsi="Times New Roman" w:cs="Times New Roman"/>
                <w:color w:val="4472C4" w:themeColor="accent1"/>
                <w:sz w:val="20"/>
                <w:szCs w:val="20"/>
              </w:rPr>
              <w:t xml:space="preserve">the public </w:t>
            </w:r>
            <w:r w:rsidRPr="00D31B80">
              <w:rPr>
                <w:rFonts w:ascii="Times New Roman" w:hAnsi="Times New Roman" w:cs="Times New Roman"/>
                <w:color w:val="000000" w:themeColor="text1"/>
                <w:sz w:val="20"/>
                <w:szCs w:val="20"/>
              </w:rPr>
              <w:t xml:space="preserve">should be actively and meaningfully involved in health research, 4. </w:t>
            </w:r>
            <w:r w:rsidRPr="00071724">
              <w:rPr>
                <w:rFonts w:ascii="Times New Roman" w:hAnsi="Times New Roman" w:cs="Times New Roman"/>
                <w:color w:val="4472C4" w:themeColor="accent1"/>
                <w:sz w:val="20"/>
                <w:szCs w:val="20"/>
              </w:rPr>
              <w:t>Patients an</w:t>
            </w:r>
            <w:r w:rsidR="00071724" w:rsidRPr="00071724">
              <w:rPr>
                <w:rFonts w:ascii="Times New Roman" w:hAnsi="Times New Roman" w:cs="Times New Roman"/>
                <w:color w:val="4472C4" w:themeColor="accent1"/>
                <w:sz w:val="20"/>
                <w:szCs w:val="20"/>
              </w:rPr>
              <w:t>d</w:t>
            </w:r>
            <w:r w:rsidRPr="00071724">
              <w:rPr>
                <w:rFonts w:ascii="Times New Roman" w:hAnsi="Times New Roman" w:cs="Times New Roman"/>
                <w:color w:val="4472C4" w:themeColor="accent1"/>
                <w:sz w:val="20"/>
                <w:szCs w:val="20"/>
              </w:rPr>
              <w:t xml:space="preserve"> the public </w:t>
            </w:r>
            <w:r w:rsidRPr="00D31B80">
              <w:rPr>
                <w:rFonts w:ascii="Times New Roman" w:hAnsi="Times New Roman" w:cs="Times New Roman"/>
                <w:color w:val="000000" w:themeColor="text1"/>
                <w:sz w:val="20"/>
                <w:szCs w:val="20"/>
              </w:rPr>
              <w:t xml:space="preserve">should contribute fully to discussions and decisions of research, 5. Patients, researchers, and practitioners should work together from the beginning to identify research questions, problems and gaps and set priorities for research, 6. Involving </w:t>
            </w:r>
            <w:r w:rsidRPr="00071724">
              <w:rPr>
                <w:rFonts w:ascii="Times New Roman" w:hAnsi="Times New Roman" w:cs="Times New Roman"/>
                <w:color w:val="4472C4" w:themeColor="accent1"/>
                <w:sz w:val="20"/>
                <w:szCs w:val="20"/>
              </w:rPr>
              <w:t>patients an</w:t>
            </w:r>
            <w:r w:rsidR="00071724" w:rsidRPr="00071724">
              <w:rPr>
                <w:rFonts w:ascii="Times New Roman" w:hAnsi="Times New Roman" w:cs="Times New Roman"/>
                <w:color w:val="4472C4" w:themeColor="accent1"/>
                <w:sz w:val="20"/>
                <w:szCs w:val="20"/>
              </w:rPr>
              <w:t>d</w:t>
            </w:r>
            <w:r w:rsidRPr="00071724">
              <w:rPr>
                <w:rFonts w:ascii="Times New Roman" w:hAnsi="Times New Roman" w:cs="Times New Roman"/>
                <w:color w:val="4472C4" w:themeColor="accent1"/>
                <w:sz w:val="20"/>
                <w:szCs w:val="20"/>
              </w:rPr>
              <w:t xml:space="preserve"> the public </w:t>
            </w:r>
            <w:r w:rsidRPr="00D31B80">
              <w:rPr>
                <w:rFonts w:ascii="Times New Roman" w:hAnsi="Times New Roman" w:cs="Times New Roman"/>
                <w:color w:val="000000" w:themeColor="text1"/>
                <w:sz w:val="20"/>
                <w:szCs w:val="20"/>
              </w:rPr>
              <w:t xml:space="preserve">in health research improve the healthcare system, 7. </w:t>
            </w:r>
            <w:r w:rsidRPr="00201A86">
              <w:rPr>
                <w:rFonts w:ascii="Times New Roman" w:hAnsi="Times New Roman" w:cs="Times New Roman"/>
                <w:color w:val="4472C4" w:themeColor="accent1"/>
                <w:sz w:val="20"/>
                <w:szCs w:val="20"/>
              </w:rPr>
              <w:t>Patients an</w:t>
            </w:r>
            <w:r w:rsidR="00071724" w:rsidRPr="00201A86">
              <w:rPr>
                <w:rFonts w:ascii="Times New Roman" w:hAnsi="Times New Roman" w:cs="Times New Roman"/>
                <w:color w:val="4472C4" w:themeColor="accent1"/>
                <w:sz w:val="20"/>
                <w:szCs w:val="20"/>
              </w:rPr>
              <w:t>d</w:t>
            </w:r>
            <w:r w:rsidR="00201A86" w:rsidRPr="00201A86">
              <w:rPr>
                <w:rFonts w:ascii="Times New Roman" w:hAnsi="Times New Roman" w:cs="Times New Roman"/>
                <w:color w:val="4472C4" w:themeColor="accent1"/>
                <w:sz w:val="20"/>
                <w:szCs w:val="20"/>
              </w:rPr>
              <w:t xml:space="preserve"> the</w:t>
            </w:r>
            <w:r w:rsidRPr="00201A86">
              <w:rPr>
                <w:rFonts w:ascii="Times New Roman" w:hAnsi="Times New Roman" w:cs="Times New Roman"/>
                <w:color w:val="4472C4" w:themeColor="accent1"/>
                <w:sz w:val="20"/>
                <w:szCs w:val="20"/>
              </w:rPr>
              <w:t xml:space="preserve"> public </w:t>
            </w:r>
            <w:r w:rsidRPr="00D31B80">
              <w:rPr>
                <w:rFonts w:ascii="Times New Roman" w:hAnsi="Times New Roman" w:cs="Times New Roman"/>
                <w:color w:val="000000" w:themeColor="text1"/>
                <w:sz w:val="20"/>
                <w:szCs w:val="20"/>
              </w:rPr>
              <w:t xml:space="preserve">have a right to be involved in health research, 8. Funding agencies provide sufficient financial reimbursement to researchers for involving </w:t>
            </w:r>
            <w:r w:rsidRPr="00201A86">
              <w:rPr>
                <w:rFonts w:ascii="Times New Roman" w:hAnsi="Times New Roman" w:cs="Times New Roman"/>
                <w:color w:val="4472C4" w:themeColor="accent1"/>
                <w:sz w:val="20"/>
                <w:szCs w:val="20"/>
              </w:rPr>
              <w:t xml:space="preserve">patients and the public </w:t>
            </w:r>
            <w:r w:rsidRPr="00D31B80">
              <w:rPr>
                <w:rFonts w:ascii="Times New Roman" w:hAnsi="Times New Roman" w:cs="Times New Roman"/>
                <w:color w:val="000000" w:themeColor="text1"/>
                <w:sz w:val="20"/>
                <w:szCs w:val="20"/>
              </w:rPr>
              <w:t xml:space="preserve">in health research, 9. Acknowledging and valuing patient’s expertise and experience is important in health research, 10. Patient and public involvement helps to identify appropriate outcomes in health research, 11. Patient and public involvement helps with participant recruitment in health research, 12. Patient and public involvement should comment on instrumentation used to measure outcomes in health research, 13. Patient and public involvement help with data collection, 14. Patient and public involvement help with data analysis, 15. Patient and public involvement help with writing reports, 16. </w:t>
            </w:r>
            <w:r w:rsidRPr="009F2970">
              <w:rPr>
                <w:rFonts w:ascii="Times New Roman" w:hAnsi="Times New Roman" w:cs="Times New Roman"/>
                <w:color w:val="4472C4" w:themeColor="accent1"/>
                <w:sz w:val="20"/>
                <w:szCs w:val="20"/>
              </w:rPr>
              <w:t xml:space="preserve">Patient and </w:t>
            </w:r>
            <w:r w:rsidR="009F2970" w:rsidRPr="009F2970">
              <w:rPr>
                <w:rFonts w:ascii="Times New Roman" w:hAnsi="Times New Roman" w:cs="Times New Roman"/>
                <w:color w:val="4472C4" w:themeColor="accent1"/>
                <w:sz w:val="20"/>
                <w:szCs w:val="20"/>
              </w:rPr>
              <w:t xml:space="preserve">the </w:t>
            </w:r>
            <w:r w:rsidRPr="009F2970">
              <w:rPr>
                <w:rFonts w:ascii="Times New Roman" w:hAnsi="Times New Roman" w:cs="Times New Roman"/>
                <w:color w:val="4472C4" w:themeColor="accent1"/>
                <w:sz w:val="20"/>
                <w:szCs w:val="20"/>
              </w:rPr>
              <w:t xml:space="preserve">public </w:t>
            </w:r>
            <w:r w:rsidRPr="00D31B80">
              <w:rPr>
                <w:rFonts w:ascii="Times New Roman" w:hAnsi="Times New Roman" w:cs="Times New Roman"/>
                <w:color w:val="000000" w:themeColor="text1"/>
                <w:sz w:val="20"/>
                <w:szCs w:val="20"/>
              </w:rPr>
              <w:t>review reports, 17. Patients and public involvement help with disseminating results, 18. Patients and public involvement help with producing lay summaries of scientific reports</w:t>
            </w:r>
          </w:p>
        </w:tc>
      </w:tr>
    </w:tbl>
    <w:p w14:paraId="7D92BC4C" w14:textId="77777777" w:rsidR="00C64AFC" w:rsidRPr="00D31B80" w:rsidRDefault="00C64AFC" w:rsidP="00C64AFC">
      <w:pPr>
        <w:jc w:val="both"/>
        <w:rPr>
          <w:rFonts w:ascii="Times New Roman" w:hAnsi="Times New Roman" w:cs="Times New Roman"/>
          <w:sz w:val="20"/>
          <w:szCs w:val="20"/>
        </w:rPr>
      </w:pPr>
    </w:p>
    <w:p w14:paraId="5C05C588" w14:textId="77777777" w:rsidR="00E1170E" w:rsidRDefault="00E1170E"/>
    <w:sectPr w:rsidR="00E11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108D"/>
    <w:multiLevelType w:val="multilevel"/>
    <w:tmpl w:val="3A926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AFC"/>
    <w:rsid w:val="00071724"/>
    <w:rsid w:val="000B6728"/>
    <w:rsid w:val="00201A86"/>
    <w:rsid w:val="009F2970"/>
    <w:rsid w:val="00C64AFC"/>
    <w:rsid w:val="00E1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E003D"/>
  <w15:chartTrackingRefBased/>
  <w15:docId w15:val="{A784EBDF-2262-4EFB-887E-68EC0514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AFC"/>
    <w:pPr>
      <w:spacing w:line="278" w:lineRule="auto"/>
    </w:pPr>
    <w:rPr>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4AF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64AFC"/>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Strong">
    <w:name w:val="Strong"/>
    <w:basedOn w:val="DefaultParagraphFont"/>
    <w:uiPriority w:val="22"/>
    <w:qFormat/>
    <w:rsid w:val="00C64AFC"/>
    <w:rPr>
      <w:b/>
      <w:bCs/>
    </w:rPr>
  </w:style>
  <w:style w:type="character" w:styleId="Emphasis">
    <w:name w:val="Emphasis"/>
    <w:basedOn w:val="DefaultParagraphFont"/>
    <w:uiPriority w:val="20"/>
    <w:qFormat/>
    <w:rsid w:val="00C64A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405</Words>
  <Characters>2315</Characters>
  <Application>Microsoft Office Word</Application>
  <DocSecurity>0</DocSecurity>
  <Lines>19</Lines>
  <Paragraphs>5</Paragraphs>
  <ScaleCrop>false</ScaleCrop>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Sister Henrietta Fawole</dc:creator>
  <cp:keywords/>
  <dc:description/>
  <cp:lastModifiedBy>Sister Henrietta Fawole</cp:lastModifiedBy>
  <cp:revision>5</cp:revision>
  <dcterms:created xsi:type="dcterms:W3CDTF">2026-04-07T16:32:00Z</dcterms:created>
  <dcterms:modified xsi:type="dcterms:W3CDTF">2026-05-24T17:41:00Z</dcterms:modified>
</cp:coreProperties>
</file>