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1B5ED">
      <w:pPr>
        <w:spacing w:line="360" w:lineRule="auto"/>
        <w:rPr>
          <w:rFonts w:hint="default" w:ascii="Arial" w:hAnsi="Arial" w:cs="Arial"/>
          <w:b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sz w:val="20"/>
          <w:szCs w:val="20"/>
          <w:lang w:val="en-US" w:eastAsia="zh-CN"/>
        </w:rPr>
        <w:t>Supplementary Appendix</w:t>
      </w:r>
    </w:p>
    <w:p w14:paraId="607063EC">
      <w:pPr>
        <w:widowControl w:val="0"/>
        <w:spacing w:line="480" w:lineRule="auto"/>
        <w:jc w:val="center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. Robustness check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 of static efficiency between the main model including bed occupancy rate and the robustness model excluding bed occupancy rate.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689"/>
        <w:gridCol w:w="1231"/>
        <w:gridCol w:w="869"/>
      </w:tblGrid>
      <w:tr w14:paraId="6692A8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4108182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Region</w:t>
            </w: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28FE0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1231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4D823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95% CI </w:t>
            </w:r>
          </w:p>
        </w:tc>
        <w:tc>
          <w:tcPr>
            <w:tcW w:w="869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0AB23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-value</w:t>
            </w:r>
          </w:p>
        </w:tc>
      </w:tr>
      <w:tr w14:paraId="583E13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0DB77C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TE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A3DC3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0.937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69A513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808-0.999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7D3FF3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0.000</w:t>
            </w:r>
          </w:p>
        </w:tc>
      </w:tr>
      <w:tr w14:paraId="7430C5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F64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PTE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B7B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1.000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545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1.000-1.000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6967A2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000</w:t>
            </w:r>
          </w:p>
        </w:tc>
      </w:tr>
      <w:tr w14:paraId="3EE5B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FD8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SE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647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0.720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5E1ED0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0.327-0.994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018C6E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000</w:t>
            </w:r>
          </w:p>
        </w:tc>
      </w:tr>
    </w:tbl>
    <w:p w14:paraId="6B994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Notes: * TE, TC, PTE, SE and TFP when bed occupancy rate is not used as an output variable</w:t>
      </w:r>
    </w:p>
    <w:p w14:paraId="55CB7ED2">
      <w:pPr>
        <w:widowControl w:val="0"/>
        <w:spacing w:line="480" w:lineRule="auto"/>
        <w:jc w:val="center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. Efficiency and slack variables of healthcare resource allocation</w:t>
      </w:r>
    </w:p>
    <w:p w14:paraId="470BCABF">
      <w:pPr>
        <w:widowControl w:val="0"/>
        <w:spacing w:line="480" w:lineRule="auto"/>
        <w:jc w:val="center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in TCM hospitals across 30 regions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 in 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2023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 without considering bed occupancy rate.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580"/>
        <w:gridCol w:w="601"/>
        <w:gridCol w:w="565"/>
        <w:gridCol w:w="813"/>
        <w:gridCol w:w="677"/>
        <w:gridCol w:w="580"/>
        <w:gridCol w:w="788"/>
        <w:gridCol w:w="893"/>
        <w:gridCol w:w="997"/>
        <w:gridCol w:w="726"/>
      </w:tblGrid>
      <w:tr w14:paraId="6C8564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72FE370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Region</w:t>
            </w:r>
          </w:p>
        </w:tc>
        <w:tc>
          <w:tcPr>
            <w:tcW w:w="5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C43B1A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TE</w:t>
            </w:r>
          </w:p>
        </w:tc>
        <w:tc>
          <w:tcPr>
            <w:tcW w:w="60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7780F3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E</w:t>
            </w:r>
          </w:p>
        </w:tc>
        <w:tc>
          <w:tcPr>
            <w:tcW w:w="56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494B2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SE</w:t>
            </w:r>
          </w:p>
        </w:tc>
        <w:tc>
          <w:tcPr>
            <w:tcW w:w="81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D5403D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RTS</w:t>
            </w:r>
          </w:p>
        </w:tc>
        <w:tc>
          <w:tcPr>
            <w:tcW w:w="67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325771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/>
              </w:rPr>
              <w:t>+</w:t>
            </w:r>
          </w:p>
        </w:tc>
        <w:tc>
          <w:tcPr>
            <w:tcW w:w="58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567F7D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/>
              </w:rPr>
              <w:t>+</w:t>
            </w:r>
          </w:p>
        </w:tc>
        <w:tc>
          <w:tcPr>
            <w:tcW w:w="78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EC7457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/>
              </w:rPr>
              <w:t>-</w:t>
            </w:r>
          </w:p>
        </w:tc>
        <w:tc>
          <w:tcPr>
            <w:tcW w:w="893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5F7521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/>
              </w:rPr>
              <w:t>-</w:t>
            </w:r>
          </w:p>
        </w:tc>
        <w:tc>
          <w:tcPr>
            <w:tcW w:w="99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5AFBD9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/>
              </w:rPr>
              <w:t>-</w:t>
            </w:r>
          </w:p>
        </w:tc>
        <w:tc>
          <w:tcPr>
            <w:tcW w:w="7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DB5927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Status</w:t>
            </w:r>
          </w:p>
        </w:tc>
      </w:tr>
      <w:tr w14:paraId="3511E8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396D016B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Beijing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E40215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70FAE9C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2CB39D3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2B03032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0A7354F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2F5FB1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013764A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4DC3FFA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0D800A4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7246C8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WE</w:t>
            </w:r>
          </w:p>
        </w:tc>
      </w:tr>
      <w:tr w14:paraId="0E9F9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1327A052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Tianjin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061270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349623A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4398555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529CD2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6549424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5.55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8446CD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5378C4A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22.55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09B0FF7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0DA4875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757.97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1852A9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27B647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22F6D265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Hebei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31B655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0.69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44C320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3D538DE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0.97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7F1DC7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60395B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136EC5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5A44B8D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56.07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0AD675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98.99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370D128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37A39F3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1CEEF4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6B49EE5F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Shanxi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FE4B24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0.53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412AE01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0871589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67535AC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009A8BF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09623D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7E612C8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57.23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6E9D794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13.59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65F5EA8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6B99E9E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62051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148A7D5F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Inner Mongolia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5752BE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0.61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0C92A05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170B2C6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0BFED55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15CEDF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69312B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D75891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43.85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22A8C9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124.81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3B9BAEE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4B8F27F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68C8B1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60402AEC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Liaoning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E6C256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0.61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581B276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0.61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4747EE6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62279D7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280FDE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797B49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1C7AA26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50.80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744FE8C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462.61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664FA6D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5045746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60B759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6A5FCC5E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Jilin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BD83B5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66455D4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11E8691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24BD9AB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9CBDB5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CB7D15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57BE87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42.40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6D5CD26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1220.70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7166831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220F907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6D18B5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0543D287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Heilongjiang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B68766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51EA099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74E3AA1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04094A2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732093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23.75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CFCCB6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0559172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44.86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38A8A05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3526.99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368F73B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0467040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39B723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7779DD44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Shanghai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0F4325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45B6EAE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2B9FE06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0E72A6B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359E0F4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260A58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229DCA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73D822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3851AB5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5622A71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EF</w:t>
            </w:r>
          </w:p>
        </w:tc>
      </w:tr>
      <w:tr w14:paraId="00EE1D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6F49C3DE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Jiangsu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702BB3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7C9AD35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36DE540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49A820E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F1335C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E4A251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18E9928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55AFF40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41C3F51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797A52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EF</w:t>
            </w:r>
          </w:p>
        </w:tc>
      </w:tr>
      <w:tr w14:paraId="3A674F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2F19D1C0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Zhejiang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5CD8ABF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6CEDB1C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4C3E62D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9E799A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36E8E89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F4C91D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3398FA0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34CCE2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1172B9D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53A3A8D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WE</w:t>
            </w:r>
          </w:p>
        </w:tc>
      </w:tr>
      <w:tr w14:paraId="400BFC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092C05F1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Anhui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113E65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7B68F9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1C9025E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58567F2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ED945E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943.88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88B830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64BA474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73B4A10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5395.84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27FBE52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02F62E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4661BA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7080065D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Fujian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164CCF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215760B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6220407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472FCB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6574BE0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1AC840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52FD310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0.01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3F36B84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643D3DA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728D9F8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4003C9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161DB9D3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Jiangxi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A09E41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76891FA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01FDE7C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23E6A8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1822AF0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773.40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E2D657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7F9557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3D480C6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1305.37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26EED20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6DB37C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328842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471B900E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Shandong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59A66F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0.85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39571A3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1EC4753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1BEDE7A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36A1F9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571.54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21094B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1822350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111.54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4EEDACC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0BAD7E9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13011.29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5C7DEBD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13AC3D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2F047AAD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Henan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352DC3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3848407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27763D0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7FAB9DA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ADF103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E2C798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37A2191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0CC69FE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52E0F1D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821948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WE</w:t>
            </w:r>
          </w:p>
        </w:tc>
      </w:tr>
      <w:tr w14:paraId="292B3D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1311A6D8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Hubei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F49072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5DA2FB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217A1FF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5D1C793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1E1108B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913.00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52F46EC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20A9529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611DC3D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3240.04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3D9E1BD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52854F9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7C004F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3D725573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Hunan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5F9A43E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0.91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23D7E37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0.91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700C6BD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2229495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0539DF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1635.87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750993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32B13D4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5F4DFFA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3D14A70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39C916A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5523EF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71A74031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Guangdong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C3F060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0.91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2A21269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03C95E8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0.91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53D1C0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12FBBC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527E4D9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1493B15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4541448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133937F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43DE61F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WE</w:t>
            </w:r>
          </w:p>
        </w:tc>
      </w:tr>
      <w:tr w14:paraId="1B0D0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0B1E92AA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Guangxi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4CC245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52B5406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19B0FE0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D7CE07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E8A055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1360.73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2DF3FF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27EAF5E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4C8616C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70074C1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7CA3A5A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07B476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4D4D460E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Hainan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A472BF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57C412D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6F4E7D2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5178FA0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3DA2747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58A8CF7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57ED84E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681D88C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247.29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42873DD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325C04B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2F55A9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23D0CC60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Chongqing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1C2DCD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E2106C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556CEB5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5460AB9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1603B3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7A20D3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2319B08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6B19A86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28BE4C4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207B849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EF</w:t>
            </w:r>
          </w:p>
        </w:tc>
      </w:tr>
      <w:tr w14:paraId="5653F3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419E1BCA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Sichuan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FAFB4F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54071A0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5F8A5CE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1831BC4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C8BE43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2E1CD3D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047AAB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14B0A1A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7D04AF3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CA3206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EF</w:t>
            </w:r>
          </w:p>
        </w:tc>
      </w:tr>
      <w:tr w14:paraId="7F3F0A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20C763D3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Guizhou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36B0B2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FCB615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6DD57E3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2BFE693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018E4BF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806.95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E1F619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345E277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14.51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0ACE280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5660C36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4F79BAF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294103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0D3D513E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Yunnan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31E589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6A0E9FB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096AF09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4B4651D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28D6BFA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194.33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20FD15E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775DEA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8.43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7A06196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42F4E34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22E5753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61BD70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66BDFC5C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Shaanxi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B88005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0.81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79B313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1AD327A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7728609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210DD7D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523.18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57DA461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9D9667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21.18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39942D5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5552C29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0B38AB5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3DB8DA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39470132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Gansu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42BB3A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27E619E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2727BE2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7BB3235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3BDF28F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615.06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342A483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6FC3AEA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A6ACC6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1498.25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00C0E46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731DDEF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INE</w:t>
            </w:r>
          </w:p>
        </w:tc>
      </w:tr>
      <w:tr w14:paraId="4177FE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4F118356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Qinghai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33BDACF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10E3414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789E053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0.77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3804D0B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98C035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75B85A9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51A184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0B81259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2DFC692C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192164A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WE</w:t>
            </w:r>
          </w:p>
        </w:tc>
      </w:tr>
      <w:tr w14:paraId="4C3A31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7929DB5D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Ningxia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01898E7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2813CA8E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0A2B264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1B18CC0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irs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510241B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6970707B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6D27519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254ADE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491FC19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47578CBD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WE</w:t>
            </w:r>
          </w:p>
        </w:tc>
      </w:tr>
      <w:tr w14:paraId="6F0AD6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6CB20C40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Xinjiang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23F9841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478DA97A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385D0DA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4B19AF1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02B78FD6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1F1F3002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48C8045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2900CD07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2A1EB093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2E1354C9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EF</w:t>
            </w:r>
          </w:p>
        </w:tc>
      </w:tr>
      <w:tr w14:paraId="6812AF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 w14:paraId="4986A604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China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DFBD185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01" w:type="dxa"/>
            <w:tcBorders>
              <w:tl2br w:val="nil"/>
              <w:tr2bl w:val="nil"/>
            </w:tcBorders>
            <w:vAlign w:val="center"/>
          </w:tcPr>
          <w:p w14:paraId="01A53850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  <w:tc>
          <w:tcPr>
            <w:tcW w:w="565" w:type="dxa"/>
            <w:tcBorders>
              <w:tl2br w:val="nil"/>
              <w:tr2bl w:val="nil"/>
            </w:tcBorders>
            <w:vAlign w:val="center"/>
          </w:tcPr>
          <w:p w14:paraId="5A1CA9C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 w14:paraId="62991B03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77" w:type="dxa"/>
            <w:tcBorders>
              <w:tl2br w:val="nil"/>
              <w:tr2bl w:val="nil"/>
            </w:tcBorders>
            <w:vAlign w:val="center"/>
          </w:tcPr>
          <w:p w14:paraId="7B54DAA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278.91</w:t>
            </w:r>
          </w:p>
        </w:tc>
        <w:tc>
          <w:tcPr>
            <w:tcW w:w="580" w:type="dxa"/>
            <w:tcBorders>
              <w:tl2br w:val="nil"/>
              <w:tr2bl w:val="nil"/>
            </w:tcBorders>
            <w:vAlign w:val="center"/>
          </w:tcPr>
          <w:p w14:paraId="492A3A68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 w14:paraId="55FD9FB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15.81</w:t>
            </w:r>
          </w:p>
        </w:tc>
        <w:tc>
          <w:tcPr>
            <w:tcW w:w="893" w:type="dxa"/>
            <w:tcBorders>
              <w:tl2br w:val="nil"/>
              <w:tr2bl w:val="nil"/>
            </w:tcBorders>
            <w:vAlign w:val="center"/>
          </w:tcPr>
          <w:p w14:paraId="5FDACA54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571.15</w:t>
            </w:r>
          </w:p>
        </w:tc>
        <w:tc>
          <w:tcPr>
            <w:tcW w:w="997" w:type="dxa"/>
            <w:tcBorders>
              <w:tl2br w:val="nil"/>
              <w:tr2bl w:val="nil"/>
            </w:tcBorders>
            <w:vAlign w:val="center"/>
          </w:tcPr>
          <w:p w14:paraId="59DC2FD1">
            <w:pPr>
              <w:keepNext w:val="0"/>
              <w:keepLines w:val="0"/>
              <w:widowControl/>
              <w:suppressLineNumbers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458.98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 w14:paraId="2A5D73A9">
            <w:pPr>
              <w:spacing w:line="240" w:lineRule="auto"/>
              <w:jc w:val="righ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</w:tr>
    </w:tbl>
    <w:p w14:paraId="5A7DA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Notes: RTS denotes Returns to Scale (IRS: Increasing, DRS: Decreasing, -: Constant). 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vertAlign w:val="superscript"/>
          <w:lang w:val="en-US" w:eastAsia="zh-CN"/>
        </w:rPr>
        <w:t>1+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, 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, 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vertAlign w:val="superscript"/>
          <w:lang w:val="en-US" w:eastAsia="zh-CN"/>
        </w:rPr>
        <w:t>3+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, 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vertAlign w:val="superscript"/>
          <w:lang w:val="en-US" w:eastAsia="zh-CN"/>
        </w:rPr>
        <w:t>1-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, 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vertAlign w:val="superscript"/>
          <w:lang w:val="en-US" w:eastAsia="zh-CN"/>
        </w:rPr>
        <w:t>2-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, and S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vertAlign w:val="superscript"/>
          <w:lang w:val="en-US" w:eastAsia="zh-CN"/>
        </w:rPr>
        <w:t>3-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 xml:space="preserve"> are slack measures for outpatient visits (10,000), discharges, bed occupancy rate (%), number of hospitals, number of hospital beds, and healthcare professionals, respectively; "-" indicates a value of zero. Sta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tus categories are: EF (Efficient), WE (Weakly Effective), and INE (Inefficient). The "China" row reports national averages. * RTS and Status are not calculated for the national average. TE, PTE, and SE represent Technical Efficiency, Pure Technical Efficiency, and Scale Efficiency, respectively.</w:t>
      </w:r>
    </w:p>
    <w:p w14:paraId="030F7293">
      <w:pPr>
        <w:widowControl w:val="0"/>
        <w:spacing w:line="480" w:lineRule="auto"/>
        <w:jc w:val="center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S3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>. Robustness check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/>
        </w:rPr>
        <w:t xml:space="preserve"> of dynamic efficiency between the main model including bed occupancy rate and the robustness model excluding bed occupancy rate.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689"/>
        <w:gridCol w:w="1231"/>
        <w:gridCol w:w="869"/>
      </w:tblGrid>
      <w:tr w14:paraId="601F87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6C3FF47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Region</w:t>
            </w:r>
          </w:p>
        </w:tc>
        <w:tc>
          <w:tcPr>
            <w:tcW w:w="0" w:type="auto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BAA02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1231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21FF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95% CI </w:t>
            </w:r>
          </w:p>
        </w:tc>
        <w:tc>
          <w:tcPr>
            <w:tcW w:w="869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FC0F8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-value</w:t>
            </w:r>
          </w:p>
        </w:tc>
      </w:tr>
      <w:tr w14:paraId="295AE3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DA5C8F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TE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B6923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0.939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101097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791-0.986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340651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0.000</w:t>
            </w:r>
          </w:p>
        </w:tc>
      </w:tr>
      <w:tr w14:paraId="434C2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9DED2D">
            <w:pPr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TC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473A9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995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3703A6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969-0.999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37BA5F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000</w:t>
            </w:r>
          </w:p>
        </w:tc>
      </w:tr>
      <w:tr w14:paraId="64FC2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38C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PTE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A56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0.999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5CD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0.996-1.000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0D8D4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000</w:t>
            </w:r>
          </w:p>
        </w:tc>
      </w:tr>
      <w:tr w14:paraId="10E5C9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813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SE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2B7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0.839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0CA0E2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0.500-0.965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670A64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001</w:t>
            </w:r>
          </w:p>
        </w:tc>
      </w:tr>
      <w:tr w14:paraId="78F884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506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TFP and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TFP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new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4E9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0.999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 w14:paraId="3C0A61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0.992-1.000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3DB46A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000</w:t>
            </w:r>
          </w:p>
        </w:tc>
      </w:tr>
    </w:tbl>
    <w:p w14:paraId="08C7E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  <w:t>Notes: * TE, TC, PTE, SE and TFP when bed occupancy rate is not used as an output variable</w:t>
      </w:r>
    </w:p>
    <w:p w14:paraId="7761B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kern w:val="2"/>
          <w:sz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0623C"/>
    <w:rsid w:val="59D0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Arial" w:hAnsi="Arial" w:eastAsia="Times New Roman" w:cs="Times New Roman"/>
      <w:szCs w:val="24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2026-01-14T02:04:00Z</dcterms:created>
  <dc:creator>蕊</dc:creator>
  <cp:lastModifiedBy>蕊</cp:lastModifiedBy>
  <dcterms:modified xsi:type="dcterms:W3CDTF">2026-01-14T02:09:55Z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BF795913506047E5B14ED35FBA5554B7_11</vt:lpwstr>
  </property>
  <property fmtid="{D5CDD505-2E9C-101B-9397-08002B2CF9AE}" pid="4" name="KSOTemplateDocerSaveRecord">
    <vt:lpwstr>eyJoZGlkIjoiZThmNjAzMWJlZjFkMmQwODUwMTJkYzE2ODFiYmFmYTciLCJ1c2VySWQiOiIzMzE0MDYwMTMifQ==</vt:lpwstr>
  </property>
</Properties>
</file>