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9B552" w14:textId="3BD7F981" w:rsidR="00B646E6" w:rsidRPr="00B646E6" w:rsidRDefault="00B646E6" w:rsidP="00B646E6">
      <w:pPr>
        <w:rPr>
          <w:lang w:val="en-US"/>
        </w:rPr>
      </w:pPr>
      <w:r>
        <w:rPr>
          <w:b/>
          <w:bCs/>
          <w:lang w:val="en-US"/>
        </w:rPr>
        <w:t xml:space="preserve">Supplemental </w:t>
      </w:r>
      <w:r w:rsidRPr="00B646E6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2</w:t>
      </w:r>
      <w:r w:rsidRPr="00B646E6">
        <w:rPr>
          <w:b/>
          <w:bCs/>
          <w:lang w:val="en-US"/>
        </w:rPr>
        <w:t>. Associations between patient characteristics and length of stay above the median</w:t>
      </w:r>
    </w:p>
    <w:p w14:paraId="3A6695E5" w14:textId="347C1F52" w:rsidR="00B646E6" w:rsidRDefault="005E1DB4">
      <w:pPr>
        <w:rPr>
          <w:lang w:val="en-US"/>
        </w:rPr>
      </w:pPr>
      <w:r w:rsidRPr="005E1DB4">
        <w:rPr>
          <w:lang w:val="en-US"/>
        </w:rPr>
        <w:t xml:space="preserve">Adjusted odds ratios (ORs) with 95% confidence intervals for associations between selected patient characteristics and length of stay above the median in the eHomeHospital cohort. The model includes sex, age ≥80 years, living arrangement (living alone), and comorbidity burden measured by the Charlson Comorbidity Index (CCI). Odds ratios above 1 indicate higher odds of longer length of stay. Estimates are derived from an </w:t>
      </w:r>
      <w:proofErr w:type="gramStart"/>
      <w:r w:rsidRPr="005E1DB4">
        <w:rPr>
          <w:lang w:val="en-US"/>
        </w:rPr>
        <w:t>exploratory</w:t>
      </w:r>
      <w:proofErr w:type="gramEnd"/>
      <w:r w:rsidRPr="005E1DB4">
        <w:rPr>
          <w:lang w:val="en-US"/>
        </w:rPr>
        <w:t xml:space="preserve"> multivariable logistic regression analysis.</w:t>
      </w:r>
    </w:p>
    <w:p w14:paraId="01B3EA8C" w14:textId="77777777" w:rsidR="005E1DB4" w:rsidRPr="005E1DB4" w:rsidRDefault="005E1DB4">
      <w:pPr>
        <w:rPr>
          <w:lang w:val="en-US"/>
        </w:rPr>
      </w:pPr>
    </w:p>
    <w:p w14:paraId="1AD98D5D" w14:textId="7039247E" w:rsidR="00FE3313" w:rsidRDefault="00B646E6">
      <w:r>
        <w:rPr>
          <w:noProof/>
        </w:rPr>
        <w:drawing>
          <wp:inline distT="0" distB="0" distL="0" distR="0" wp14:anchorId="7FE83EDB" wp14:editId="56CBFEC5">
            <wp:extent cx="6120130" cy="3133725"/>
            <wp:effectExtent l="0" t="0" r="0" b="9525"/>
            <wp:docPr id="133086745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67454" name="Billede 133086745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D9A6E" w14:textId="77777777" w:rsidR="00B646E6" w:rsidRDefault="00B646E6"/>
    <w:p w14:paraId="6FABF215" w14:textId="77777777" w:rsidR="00B646E6" w:rsidRDefault="00B646E6" w:rsidP="00B646E6">
      <w:pPr>
        <w:rPr>
          <w:lang w:val="en-US"/>
        </w:rPr>
      </w:pPr>
    </w:p>
    <w:sectPr w:rsidR="00B646E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E6"/>
    <w:rsid w:val="003C57DF"/>
    <w:rsid w:val="0042793E"/>
    <w:rsid w:val="005E1DB4"/>
    <w:rsid w:val="006736DF"/>
    <w:rsid w:val="00763FA0"/>
    <w:rsid w:val="00AD318D"/>
    <w:rsid w:val="00B646E6"/>
    <w:rsid w:val="00BE3D90"/>
    <w:rsid w:val="00D12A99"/>
    <w:rsid w:val="00FE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C89C"/>
  <w15:chartTrackingRefBased/>
  <w15:docId w15:val="{48BA3DD6-7EFC-4D36-AB18-000FFE92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6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64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6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4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4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4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4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4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64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64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64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646E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646E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646E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646E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646E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646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6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6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6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6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6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646E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646E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646E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64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646E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646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506</Characters>
  <Application>Microsoft Office Word</Application>
  <DocSecurity>0</DocSecurity>
  <Lines>9</Lines>
  <Paragraphs>3</Paragraphs>
  <ScaleCrop>false</ScaleCrop>
  <Company>Region Sjaelland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Hägi-Pedersen</dc:creator>
  <cp:keywords/>
  <dc:description/>
  <cp:lastModifiedBy>Mai-Britt Hägi-Pedersen</cp:lastModifiedBy>
  <cp:revision>7</cp:revision>
  <dcterms:created xsi:type="dcterms:W3CDTF">2026-04-29T19:06:00Z</dcterms:created>
  <dcterms:modified xsi:type="dcterms:W3CDTF">2026-04-30T10:35:00Z</dcterms:modified>
</cp:coreProperties>
</file>