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79F25" w14:textId="36532AA5" w:rsidR="00E01A9A" w:rsidRPr="004D798B" w:rsidRDefault="00E01A9A" w:rsidP="004D798B">
      <w:pPr>
        <w:jc w:val="center"/>
        <w:rPr>
          <w:rFonts w:ascii="Times New Roman" w:hAnsi="Times New Roman" w:cs="Times New Roman"/>
          <w:b/>
          <w:bCs/>
          <w:lang w:val="en-US"/>
        </w:rPr>
      </w:pPr>
      <w:r w:rsidRPr="004D798B">
        <w:rPr>
          <w:rFonts w:ascii="Times New Roman" w:hAnsi="Times New Roman" w:cs="Times New Roman"/>
          <w:b/>
          <w:bCs/>
          <w:lang w:val="en-US"/>
        </w:rPr>
        <w:t xml:space="preserve">Supplementary File </w:t>
      </w:r>
      <w:r w:rsidR="004D798B" w:rsidRPr="004D798B">
        <w:rPr>
          <w:rFonts w:ascii="Times New Roman" w:hAnsi="Times New Roman" w:cs="Times New Roman"/>
          <w:b/>
          <w:bCs/>
          <w:lang w:val="en-US"/>
        </w:rPr>
        <w:t>1</w:t>
      </w:r>
      <w:r w:rsidRPr="004D798B">
        <w:rPr>
          <w:rFonts w:ascii="Times New Roman" w:hAnsi="Times New Roman" w:cs="Times New Roman"/>
          <w:b/>
          <w:bCs/>
          <w:lang w:val="en-US"/>
        </w:rPr>
        <w:br/>
      </w:r>
    </w:p>
    <w:p w14:paraId="0F354C74" w14:textId="7E8C34EF"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Supplementary Table 1 (S1):</w:t>
      </w:r>
      <w:r w:rsidRPr="00E01A9A">
        <w:rPr>
          <w:rFonts w:ascii="Times New Roman" w:hAnsi="Times New Roman" w:cs="Times New Roman"/>
          <w:lang w:val="en-US"/>
        </w:rPr>
        <w:t xml:space="preserve"> </w:t>
      </w:r>
      <w:r w:rsidRPr="00E01A9A">
        <w:rPr>
          <w:rFonts w:ascii="Times New Roman" w:hAnsi="Times New Roman" w:cs="Times New Roman"/>
          <w:lang w:val="en-US"/>
        </w:rPr>
        <w:t>Summary of stakeholders, corresponding functionalities, expected benefits, and illustrative use cases</w:t>
      </w:r>
      <w:r w:rsidRPr="00E01A9A">
        <w:rPr>
          <w:rFonts w:ascii="Times New Roman" w:hAnsi="Times New Roman" w:cs="Times New Roman"/>
          <w:lang w:val="en-US"/>
        </w:rPr>
        <w:t xml:space="preserve"> of the Beacon DSS</w:t>
      </w:r>
    </w:p>
    <w:tbl>
      <w:tblPr>
        <w:tblW w:w="9972" w:type="dxa"/>
        <w:tblCellSpacing w:w="15" w:type="dxa"/>
        <w:tblInd w:w="45" w:type="dxa"/>
        <w:tblCellMar>
          <w:top w:w="15" w:type="dxa"/>
          <w:left w:w="15" w:type="dxa"/>
          <w:bottom w:w="15" w:type="dxa"/>
          <w:right w:w="15" w:type="dxa"/>
        </w:tblCellMar>
        <w:tblLook w:val="04A0" w:firstRow="1" w:lastRow="0" w:firstColumn="1" w:lastColumn="0" w:noHBand="0" w:noVBand="1"/>
      </w:tblPr>
      <w:tblGrid>
        <w:gridCol w:w="1433"/>
        <w:gridCol w:w="2834"/>
        <w:gridCol w:w="2736"/>
        <w:gridCol w:w="2969"/>
      </w:tblGrid>
      <w:tr w:rsidR="00E01A9A" w:rsidRPr="00E01A9A" w14:paraId="072DCEC0" w14:textId="77777777" w:rsidTr="003D4884">
        <w:trPr>
          <w:tblHeader/>
          <w:tblCellSpacing w:w="15" w:type="dxa"/>
        </w:trPr>
        <w:tc>
          <w:tcPr>
            <w:tcW w:w="0" w:type="auto"/>
            <w:vAlign w:val="center"/>
            <w:hideMark/>
          </w:tcPr>
          <w:p w14:paraId="0AC2B8BD" w14:textId="77777777" w:rsidR="00E01A9A" w:rsidRPr="00E01A9A" w:rsidRDefault="00E01A9A" w:rsidP="00E01A9A">
            <w:pPr>
              <w:rPr>
                <w:rFonts w:ascii="Times New Roman" w:hAnsi="Times New Roman" w:cs="Times New Roman"/>
                <w:b/>
                <w:bCs/>
              </w:rPr>
            </w:pPr>
            <w:r w:rsidRPr="00E01A9A">
              <w:rPr>
                <w:rFonts w:ascii="Times New Roman" w:hAnsi="Times New Roman" w:cs="Times New Roman"/>
                <w:b/>
                <w:bCs/>
              </w:rPr>
              <w:t>Stakeholder</w:t>
            </w:r>
          </w:p>
        </w:tc>
        <w:tc>
          <w:tcPr>
            <w:tcW w:w="0" w:type="auto"/>
            <w:vAlign w:val="center"/>
            <w:hideMark/>
          </w:tcPr>
          <w:p w14:paraId="6B35DFC8" w14:textId="77777777" w:rsidR="00E01A9A" w:rsidRPr="00E01A9A" w:rsidRDefault="00E01A9A" w:rsidP="00E01A9A">
            <w:pPr>
              <w:rPr>
                <w:rFonts w:ascii="Times New Roman" w:hAnsi="Times New Roman" w:cs="Times New Roman"/>
                <w:b/>
                <w:bCs/>
              </w:rPr>
            </w:pPr>
            <w:proofErr w:type="spellStart"/>
            <w:r w:rsidRPr="00E01A9A">
              <w:rPr>
                <w:rFonts w:ascii="Times New Roman" w:hAnsi="Times New Roman" w:cs="Times New Roman"/>
                <w:b/>
                <w:bCs/>
              </w:rPr>
              <w:t>Functionality</w:t>
            </w:r>
            <w:proofErr w:type="spellEnd"/>
          </w:p>
        </w:tc>
        <w:tc>
          <w:tcPr>
            <w:tcW w:w="0" w:type="auto"/>
            <w:vAlign w:val="center"/>
            <w:hideMark/>
          </w:tcPr>
          <w:p w14:paraId="0CD6F38C" w14:textId="77777777" w:rsidR="00E01A9A" w:rsidRPr="00E01A9A" w:rsidRDefault="00E01A9A" w:rsidP="00E01A9A">
            <w:pPr>
              <w:rPr>
                <w:rFonts w:ascii="Times New Roman" w:hAnsi="Times New Roman" w:cs="Times New Roman"/>
                <w:b/>
                <w:bCs/>
              </w:rPr>
            </w:pPr>
            <w:r w:rsidRPr="00E01A9A">
              <w:rPr>
                <w:rFonts w:ascii="Times New Roman" w:hAnsi="Times New Roman" w:cs="Times New Roman"/>
                <w:b/>
                <w:bCs/>
              </w:rPr>
              <w:t>Benefit</w:t>
            </w:r>
          </w:p>
        </w:tc>
        <w:tc>
          <w:tcPr>
            <w:tcW w:w="0" w:type="auto"/>
            <w:vAlign w:val="center"/>
            <w:hideMark/>
          </w:tcPr>
          <w:p w14:paraId="2D49E6F3" w14:textId="77777777" w:rsidR="00E01A9A" w:rsidRPr="00E01A9A" w:rsidRDefault="00E01A9A" w:rsidP="00E01A9A">
            <w:pPr>
              <w:rPr>
                <w:rFonts w:ascii="Times New Roman" w:hAnsi="Times New Roman" w:cs="Times New Roman"/>
                <w:b/>
                <w:bCs/>
              </w:rPr>
            </w:pPr>
            <w:proofErr w:type="spellStart"/>
            <w:r w:rsidRPr="00E01A9A">
              <w:rPr>
                <w:rFonts w:ascii="Times New Roman" w:hAnsi="Times New Roman" w:cs="Times New Roman"/>
                <w:b/>
                <w:bCs/>
              </w:rPr>
              <w:t>Example</w:t>
            </w:r>
            <w:proofErr w:type="spellEnd"/>
            <w:r w:rsidRPr="00E01A9A">
              <w:rPr>
                <w:rFonts w:ascii="Times New Roman" w:hAnsi="Times New Roman" w:cs="Times New Roman"/>
                <w:b/>
                <w:bCs/>
              </w:rPr>
              <w:t xml:space="preserve"> Use Cases</w:t>
            </w:r>
          </w:p>
        </w:tc>
      </w:tr>
      <w:tr w:rsidR="00E01A9A" w:rsidRPr="00E01A9A" w14:paraId="5D7FBFFD" w14:textId="77777777" w:rsidTr="003D4884">
        <w:trPr>
          <w:tblCellSpacing w:w="15" w:type="dxa"/>
        </w:trPr>
        <w:tc>
          <w:tcPr>
            <w:tcW w:w="0" w:type="auto"/>
            <w:vAlign w:val="center"/>
            <w:hideMark/>
          </w:tcPr>
          <w:p w14:paraId="03614065" w14:textId="77777777" w:rsidR="00E01A9A" w:rsidRPr="00E01A9A" w:rsidRDefault="00E01A9A" w:rsidP="00E01A9A">
            <w:pPr>
              <w:rPr>
                <w:rFonts w:ascii="Times New Roman" w:hAnsi="Times New Roman" w:cs="Times New Roman"/>
                <w:i/>
                <w:iCs/>
              </w:rPr>
            </w:pPr>
            <w:proofErr w:type="spellStart"/>
            <w:r w:rsidRPr="00E01A9A">
              <w:rPr>
                <w:rFonts w:ascii="Times New Roman" w:hAnsi="Times New Roman" w:cs="Times New Roman"/>
                <w:i/>
                <w:iCs/>
              </w:rPr>
              <w:t>Patients</w:t>
            </w:r>
            <w:proofErr w:type="spellEnd"/>
          </w:p>
        </w:tc>
        <w:tc>
          <w:tcPr>
            <w:tcW w:w="0" w:type="auto"/>
            <w:vAlign w:val="center"/>
            <w:hideMark/>
          </w:tcPr>
          <w:p w14:paraId="44F00F59"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Multilingual interface available in 24 languages, patient-oriented navigation (including adapted layouts and color schemes), and search filters by geographical area and cancer type. Access to validated directories of accredited hospitals, clinical trial registries, patient organizations, and educational resources.</w:t>
            </w:r>
          </w:p>
        </w:tc>
        <w:tc>
          <w:tcPr>
            <w:tcW w:w="0" w:type="auto"/>
            <w:vAlign w:val="center"/>
            <w:hideMark/>
          </w:tcPr>
          <w:p w14:paraId="4889AD10"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Simplifies access to reliable information by bringing together trusted resources within a single platform. Reduces language and navigation barriers across European healthcare systems and supports informed healthcare decisions, promoting more equitable access to specialized services.</w:t>
            </w:r>
          </w:p>
        </w:tc>
        <w:tc>
          <w:tcPr>
            <w:tcW w:w="0" w:type="auto"/>
            <w:vAlign w:val="center"/>
            <w:hideMark/>
          </w:tcPr>
          <w:p w14:paraId="64C10F95"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 xml:space="preserve">Identifying the closest OECI-accredited center with expertise in </w:t>
            </w:r>
            <w:proofErr w:type="gramStart"/>
            <w:r w:rsidRPr="00E01A9A">
              <w:rPr>
                <w:rFonts w:ascii="Times New Roman" w:hAnsi="Times New Roman" w:cs="Times New Roman"/>
                <w:lang w:val="en-US"/>
              </w:rPr>
              <w:t>a rare</w:t>
            </w:r>
            <w:proofErr w:type="gramEnd"/>
            <w:r w:rsidRPr="00E01A9A">
              <w:rPr>
                <w:rFonts w:ascii="Times New Roman" w:hAnsi="Times New Roman" w:cs="Times New Roman"/>
                <w:lang w:val="en-US"/>
              </w:rPr>
              <w:t xml:space="preserve"> cancer; searching for relevant clinical trials locally or across Europe; finding patient associations and support organizations to facilitate psychosocial support.</w:t>
            </w:r>
          </w:p>
        </w:tc>
      </w:tr>
      <w:tr w:rsidR="00E01A9A" w:rsidRPr="00E01A9A" w14:paraId="1CAA4DDE" w14:textId="77777777" w:rsidTr="003D4884">
        <w:trPr>
          <w:tblCellSpacing w:w="15" w:type="dxa"/>
        </w:trPr>
        <w:tc>
          <w:tcPr>
            <w:tcW w:w="0" w:type="auto"/>
            <w:vAlign w:val="center"/>
            <w:hideMark/>
          </w:tcPr>
          <w:p w14:paraId="08F5263A" w14:textId="77777777" w:rsidR="00E01A9A" w:rsidRPr="00E01A9A" w:rsidRDefault="00E01A9A" w:rsidP="00E01A9A">
            <w:pPr>
              <w:rPr>
                <w:rFonts w:ascii="Times New Roman" w:hAnsi="Times New Roman" w:cs="Times New Roman"/>
                <w:i/>
                <w:iCs/>
              </w:rPr>
            </w:pPr>
            <w:r w:rsidRPr="00E01A9A">
              <w:rPr>
                <w:rFonts w:ascii="Times New Roman" w:hAnsi="Times New Roman" w:cs="Times New Roman"/>
                <w:i/>
                <w:iCs/>
              </w:rPr>
              <w:t xml:space="preserve">Healthcare </w:t>
            </w:r>
            <w:proofErr w:type="spellStart"/>
            <w:r w:rsidRPr="00E01A9A">
              <w:rPr>
                <w:rFonts w:ascii="Times New Roman" w:hAnsi="Times New Roman" w:cs="Times New Roman"/>
                <w:i/>
                <w:iCs/>
              </w:rPr>
              <w:t>Professionals</w:t>
            </w:r>
            <w:proofErr w:type="spellEnd"/>
          </w:p>
        </w:tc>
        <w:tc>
          <w:tcPr>
            <w:tcW w:w="0" w:type="auto"/>
            <w:vAlign w:val="center"/>
            <w:hideMark/>
          </w:tcPr>
          <w:p w14:paraId="3FC84654"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Dedicated professional interface with advanced search functions for diagnostic and therapeutic services, providing centralized access to information from multiple institutions. Includes evidence-based clinical guidelines, European oncology networks, centers of excellence, training opportunities, and institutional capability profiles.</w:t>
            </w:r>
          </w:p>
        </w:tc>
        <w:tc>
          <w:tcPr>
            <w:tcW w:w="0" w:type="auto"/>
            <w:vAlign w:val="center"/>
            <w:hideMark/>
          </w:tcPr>
          <w:p w14:paraId="013ED465"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Streamlines clinical decision-making by reducing the need to consult multiple external resources. Encourages collaboration among institutions and supports evidence-informed referrals, particularly for patients requiring highly specialized care.</w:t>
            </w:r>
          </w:p>
        </w:tc>
        <w:tc>
          <w:tcPr>
            <w:tcW w:w="0" w:type="auto"/>
            <w:vAlign w:val="center"/>
            <w:hideMark/>
          </w:tcPr>
          <w:p w14:paraId="6266CBEE"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Referring a patient to a specialist oncology center; identifying suitable clinical trials during a consultation; verifying the availability of specific diagnostic or therapeutic services at neighboring institutions.</w:t>
            </w:r>
          </w:p>
        </w:tc>
      </w:tr>
      <w:tr w:rsidR="00E01A9A" w:rsidRPr="00E01A9A" w14:paraId="12326C05" w14:textId="77777777" w:rsidTr="003D4884">
        <w:trPr>
          <w:tblCellSpacing w:w="15" w:type="dxa"/>
        </w:trPr>
        <w:tc>
          <w:tcPr>
            <w:tcW w:w="0" w:type="auto"/>
            <w:vAlign w:val="center"/>
            <w:hideMark/>
          </w:tcPr>
          <w:p w14:paraId="4C7A0BE0" w14:textId="77777777" w:rsidR="00E01A9A" w:rsidRPr="00E01A9A" w:rsidRDefault="00E01A9A" w:rsidP="00E01A9A">
            <w:pPr>
              <w:rPr>
                <w:rFonts w:ascii="Times New Roman" w:hAnsi="Times New Roman" w:cs="Times New Roman"/>
                <w:i/>
                <w:iCs/>
              </w:rPr>
            </w:pPr>
            <w:proofErr w:type="spellStart"/>
            <w:r w:rsidRPr="00E01A9A">
              <w:rPr>
                <w:rFonts w:ascii="Times New Roman" w:hAnsi="Times New Roman" w:cs="Times New Roman"/>
                <w:i/>
                <w:iCs/>
              </w:rPr>
              <w:t>Researchers</w:t>
            </w:r>
            <w:proofErr w:type="spellEnd"/>
          </w:p>
        </w:tc>
        <w:tc>
          <w:tcPr>
            <w:tcW w:w="0" w:type="auto"/>
            <w:vAlign w:val="center"/>
            <w:hideMark/>
          </w:tcPr>
          <w:p w14:paraId="01265C22"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 xml:space="preserve">Harmonized datasets integrating information from hospitals, cancer registries, administrative claims databases, biobanks, and other research resources. Data are organized using Resource Description </w:t>
            </w:r>
            <w:r w:rsidRPr="00E01A9A">
              <w:rPr>
                <w:rFonts w:ascii="Times New Roman" w:hAnsi="Times New Roman" w:cs="Times New Roman"/>
                <w:lang w:val="en-US"/>
              </w:rPr>
              <w:lastRenderedPageBreak/>
              <w:t>Framework (RDF) and Dublin Core standards, enabling advanced SPARQL queries and large-scale analytical approaches.</w:t>
            </w:r>
          </w:p>
        </w:tc>
        <w:tc>
          <w:tcPr>
            <w:tcW w:w="0" w:type="auto"/>
            <w:vAlign w:val="center"/>
            <w:hideMark/>
          </w:tcPr>
          <w:p w14:paraId="37A929F7"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lastRenderedPageBreak/>
              <w:t xml:space="preserve">Promotes interoperability across heterogeneous European data sources, facilitates multinational research collaborations, and enables the identification of geographical and </w:t>
            </w:r>
            <w:r w:rsidRPr="00E01A9A">
              <w:rPr>
                <w:rFonts w:ascii="Times New Roman" w:hAnsi="Times New Roman" w:cs="Times New Roman"/>
                <w:lang w:val="en-US"/>
              </w:rPr>
              <w:lastRenderedPageBreak/>
              <w:t>demographic gaps in cancer research and healthcare delivery.</w:t>
            </w:r>
          </w:p>
        </w:tc>
        <w:tc>
          <w:tcPr>
            <w:tcW w:w="0" w:type="auto"/>
            <w:vAlign w:val="center"/>
            <w:hideMark/>
          </w:tcPr>
          <w:p w14:paraId="6FBBC99D"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lastRenderedPageBreak/>
              <w:t xml:space="preserve">Querying centers with specific diagnostic capabilities and associated biobanks to support multicenter studies; analyzing registry and claims data to investigate regional differences in cancer </w:t>
            </w:r>
            <w:r w:rsidRPr="00E01A9A">
              <w:rPr>
                <w:rFonts w:ascii="Times New Roman" w:hAnsi="Times New Roman" w:cs="Times New Roman"/>
                <w:lang w:val="en-US"/>
              </w:rPr>
              <w:lastRenderedPageBreak/>
              <w:t>outcomes; mapping specialized healthcare resources to identify potential sites for future clinical trials.</w:t>
            </w:r>
          </w:p>
        </w:tc>
      </w:tr>
      <w:tr w:rsidR="00E01A9A" w:rsidRPr="00E01A9A" w14:paraId="0E770B15" w14:textId="77777777" w:rsidTr="003D4884">
        <w:trPr>
          <w:tblCellSpacing w:w="15" w:type="dxa"/>
        </w:trPr>
        <w:tc>
          <w:tcPr>
            <w:tcW w:w="0" w:type="auto"/>
            <w:vAlign w:val="center"/>
            <w:hideMark/>
          </w:tcPr>
          <w:p w14:paraId="3366C985" w14:textId="77777777" w:rsidR="00E01A9A" w:rsidRPr="00E01A9A" w:rsidRDefault="00E01A9A" w:rsidP="00E01A9A">
            <w:pPr>
              <w:rPr>
                <w:rFonts w:ascii="Times New Roman" w:hAnsi="Times New Roman" w:cs="Times New Roman"/>
                <w:i/>
                <w:iCs/>
              </w:rPr>
            </w:pPr>
            <w:r w:rsidRPr="00E01A9A">
              <w:rPr>
                <w:rFonts w:ascii="Times New Roman" w:hAnsi="Times New Roman" w:cs="Times New Roman"/>
                <w:i/>
                <w:iCs/>
              </w:rPr>
              <w:lastRenderedPageBreak/>
              <w:t>Policymakers</w:t>
            </w:r>
          </w:p>
        </w:tc>
        <w:tc>
          <w:tcPr>
            <w:tcW w:w="0" w:type="auto"/>
            <w:vAlign w:val="center"/>
            <w:hideMark/>
          </w:tcPr>
          <w:p w14:paraId="094DB4A8"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Decision-support tools including the Cancer Disparity Atlas, NLP-derived policy analyses, aggregated registry and claims data, and visual summaries of healthcare infrastructure across Europe.</w:t>
            </w:r>
          </w:p>
        </w:tc>
        <w:tc>
          <w:tcPr>
            <w:tcW w:w="0" w:type="auto"/>
            <w:vAlign w:val="center"/>
            <w:hideMark/>
          </w:tcPr>
          <w:p w14:paraId="0518537F"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Provides objective, population-level evidence to identify disparities in cancer care, resource allocation, and healthcare infrastructure, thereby supporting evidence-based policy development and strategic planning.</w:t>
            </w:r>
          </w:p>
        </w:tc>
        <w:tc>
          <w:tcPr>
            <w:tcW w:w="0" w:type="auto"/>
            <w:vAlign w:val="center"/>
            <w:hideMark/>
          </w:tcPr>
          <w:p w14:paraId="1147E709" w14:textId="77777777" w:rsidR="00E01A9A" w:rsidRPr="00E01A9A" w:rsidRDefault="00E01A9A" w:rsidP="00E01A9A">
            <w:pPr>
              <w:rPr>
                <w:rFonts w:ascii="Times New Roman" w:hAnsi="Times New Roman" w:cs="Times New Roman"/>
                <w:lang w:val="en-US"/>
              </w:rPr>
            </w:pPr>
            <w:r w:rsidRPr="00E01A9A">
              <w:rPr>
                <w:rFonts w:ascii="Times New Roman" w:hAnsi="Times New Roman" w:cs="Times New Roman"/>
                <w:lang w:val="en-US"/>
              </w:rPr>
              <w:t>Identifying underserved regions with high cancer mortality and limited access to accredited oncology centers to guide investment decisions; evaluating the impact of cancer policies using aggregated healthcare data; assessing geographical variation in the implementation of evidence-based cancer care across European countries.</w:t>
            </w:r>
          </w:p>
        </w:tc>
      </w:tr>
    </w:tbl>
    <w:p w14:paraId="07F0CAB2" w14:textId="77777777" w:rsidR="00E01A9A" w:rsidRPr="00E01A9A" w:rsidRDefault="00E01A9A">
      <w:pPr>
        <w:rPr>
          <w:rFonts w:ascii="Times New Roman" w:hAnsi="Times New Roman" w:cs="Times New Roman"/>
          <w:lang w:val="en-US"/>
        </w:rPr>
      </w:pPr>
    </w:p>
    <w:sectPr w:rsidR="00E01A9A" w:rsidRPr="00E01A9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9A"/>
    <w:rsid w:val="004D798B"/>
    <w:rsid w:val="005B2CF6"/>
    <w:rsid w:val="00E01A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61CEF"/>
  <w15:chartTrackingRefBased/>
  <w15:docId w15:val="{E66B28F0-218A-4211-BE34-BF0E6212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01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01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01A9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01A9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01A9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01A9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01A9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01A9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01A9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01A9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01A9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01A9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01A9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01A9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01A9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01A9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01A9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01A9A"/>
    <w:rPr>
      <w:rFonts w:eastAsiaTheme="majorEastAsia" w:cstheme="majorBidi"/>
      <w:color w:val="272727" w:themeColor="text1" w:themeTint="D8"/>
    </w:rPr>
  </w:style>
  <w:style w:type="paragraph" w:styleId="Titolo">
    <w:name w:val="Title"/>
    <w:basedOn w:val="Normale"/>
    <w:next w:val="Normale"/>
    <w:link w:val="TitoloCarattere"/>
    <w:uiPriority w:val="10"/>
    <w:qFormat/>
    <w:rsid w:val="00E01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01A9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01A9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01A9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01A9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01A9A"/>
    <w:rPr>
      <w:i/>
      <w:iCs/>
      <w:color w:val="404040" w:themeColor="text1" w:themeTint="BF"/>
    </w:rPr>
  </w:style>
  <w:style w:type="paragraph" w:styleId="Paragrafoelenco">
    <w:name w:val="List Paragraph"/>
    <w:basedOn w:val="Normale"/>
    <w:uiPriority w:val="34"/>
    <w:qFormat/>
    <w:rsid w:val="00E01A9A"/>
    <w:pPr>
      <w:ind w:left="720"/>
      <w:contextualSpacing/>
    </w:pPr>
  </w:style>
  <w:style w:type="character" w:styleId="Enfasiintensa">
    <w:name w:val="Intense Emphasis"/>
    <w:basedOn w:val="Carpredefinitoparagrafo"/>
    <w:uiPriority w:val="21"/>
    <w:qFormat/>
    <w:rsid w:val="00E01A9A"/>
    <w:rPr>
      <w:i/>
      <w:iCs/>
      <w:color w:val="0F4761" w:themeColor="accent1" w:themeShade="BF"/>
    </w:rPr>
  </w:style>
  <w:style w:type="paragraph" w:styleId="Citazioneintensa">
    <w:name w:val="Intense Quote"/>
    <w:basedOn w:val="Normale"/>
    <w:next w:val="Normale"/>
    <w:link w:val="CitazioneintensaCarattere"/>
    <w:uiPriority w:val="30"/>
    <w:qFormat/>
    <w:rsid w:val="00E01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01A9A"/>
    <w:rPr>
      <w:i/>
      <w:iCs/>
      <w:color w:val="0F4761" w:themeColor="accent1" w:themeShade="BF"/>
    </w:rPr>
  </w:style>
  <w:style w:type="character" w:styleId="Riferimentointenso">
    <w:name w:val="Intense Reference"/>
    <w:basedOn w:val="Carpredefinitoparagrafo"/>
    <w:uiPriority w:val="32"/>
    <w:qFormat/>
    <w:rsid w:val="00E01A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2977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 DAHO'</dc:creator>
  <cp:keywords/>
  <dc:description/>
  <cp:lastModifiedBy>MARGHERITA DAHO'</cp:lastModifiedBy>
  <cp:revision>1</cp:revision>
  <dcterms:created xsi:type="dcterms:W3CDTF">2026-07-13T07:49:00Z</dcterms:created>
  <dcterms:modified xsi:type="dcterms:W3CDTF">2026-07-13T07:52:00Z</dcterms:modified>
</cp:coreProperties>
</file>