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CB0D3">
      <w:pPr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Appendix . Model Parameters and Data Sources</w:t>
      </w:r>
    </w:p>
    <w:p w14:paraId="794CB0D4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T</w:t>
      </w:r>
      <w:r>
        <w:rPr>
          <w:rFonts w:hint="eastAsia" w:asciiTheme="majorBidi" w:hAnsiTheme="majorBidi" w:cstheme="majorBidi"/>
          <w:b/>
          <w:bCs/>
        </w:rPr>
        <w:t xml:space="preserve">able </w:t>
      </w:r>
      <w:r>
        <w:rPr>
          <w:rFonts w:hint="eastAsia" w:asciiTheme="majorBidi" w:hAnsiTheme="majorBidi" w:cstheme="majorBidi"/>
          <w:b/>
          <w:bCs/>
          <w:lang w:val="en-US" w:eastAsia="zh-CN"/>
        </w:rPr>
        <w:t>S</w:t>
      </w:r>
      <w:r>
        <w:rPr>
          <w:rFonts w:hint="eastAsia" w:asciiTheme="majorBidi" w:hAnsiTheme="majorBidi" w:cstheme="majorBidi"/>
          <w:b/>
          <w:bCs/>
        </w:rPr>
        <w:t xml:space="preserve">1. </w:t>
      </w:r>
      <w:r>
        <w:rPr>
          <w:rFonts w:asciiTheme="majorBidi" w:hAnsiTheme="majorBidi" w:cstheme="majorBidi"/>
          <w:b/>
          <w:bCs/>
        </w:rPr>
        <w:t>Evidence applied in the fiscal analysis of obesity</w:t>
      </w:r>
    </w:p>
    <w:tbl>
      <w:tblPr>
        <w:tblStyle w:val="19"/>
        <w:tblW w:w="8637" w:type="dxa"/>
        <w:tblInd w:w="-132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0"/>
        <w:gridCol w:w="992"/>
        <w:gridCol w:w="1276"/>
        <w:gridCol w:w="2409"/>
      </w:tblGrid>
      <w:tr w14:paraId="794CB0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3960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D5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P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 xml:space="preserve">arameters </w:t>
            </w: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D6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Male</w:t>
            </w:r>
          </w:p>
        </w:tc>
        <w:tc>
          <w:tcPr>
            <w:tcW w:w="1276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D7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Female</w:t>
            </w:r>
          </w:p>
        </w:tc>
        <w:tc>
          <w:tcPr>
            <w:tcW w:w="2409" w:type="dxa"/>
            <w:tcBorders>
              <w:top w:val="single" w:color="auto" w:sz="12" w:space="0"/>
              <w:bottom w:val="single" w:color="auto" w:sz="6" w:space="0"/>
            </w:tcBorders>
          </w:tcPr>
          <w:p w14:paraId="794CB0D8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ata source</w:t>
            </w:r>
          </w:p>
        </w:tc>
      </w:tr>
      <w:tr w14:paraId="794CB0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3960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DA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Odds ratios (OR) for labor force participation (obese/non-obese)</w:t>
            </w:r>
          </w:p>
        </w:tc>
        <w:tc>
          <w:tcPr>
            <w:tcW w:w="992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DB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1.018</w:t>
            </w:r>
          </w:p>
        </w:tc>
        <w:tc>
          <w:tcPr>
            <w:tcW w:w="1276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DC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0.759</w:t>
            </w:r>
          </w:p>
        </w:tc>
        <w:tc>
          <w:tcPr>
            <w:tcW w:w="2409" w:type="dxa"/>
            <w:tcBorders>
              <w:top w:val="single" w:color="auto" w:sz="6" w:space="0"/>
            </w:tcBorders>
          </w:tcPr>
          <w:p w14:paraId="794CB0DD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Jay P, et al.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 2013.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0"/>
            </w:r>
          </w:p>
        </w:tc>
      </w:tr>
      <w:tr w14:paraId="794CB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</w:trPr>
        <w:tc>
          <w:tcPr>
            <w:tcW w:w="39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DF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Marginal effect of obesity status (obese/non-obese) on income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0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-0.138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1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-0.176</w:t>
            </w:r>
          </w:p>
        </w:tc>
        <w:tc>
          <w:tcPr>
            <w:tcW w:w="2409" w:type="dxa"/>
          </w:tcPr>
          <w:p w14:paraId="794CB0E2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Y Xu et al.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 2018. 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1"/>
            </w:r>
          </w:p>
        </w:tc>
      </w:tr>
      <w:tr w14:paraId="794CB0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" w:hRule="atLeast"/>
        </w:trPr>
        <w:tc>
          <w:tcPr>
            <w:tcW w:w="39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4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OR for (self-reported) severe disability (obese/non-obese)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5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1.410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6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1.410</w:t>
            </w:r>
          </w:p>
        </w:tc>
        <w:tc>
          <w:tcPr>
            <w:tcW w:w="2409" w:type="dxa"/>
          </w:tcPr>
          <w:p w14:paraId="794CB0E7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Su P., et al. 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2"/>
            </w:r>
          </w:p>
        </w:tc>
      </w:tr>
      <w:tr w14:paraId="794CB0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3960" w:type="dxa"/>
            <w:tcBorders>
              <w:bottom w:val="single" w:color="auto" w:sz="12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9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Excess mortality for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people with obesity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 compared to normal weight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A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139%</w:t>
            </w:r>
          </w:p>
        </w:tc>
        <w:tc>
          <w:tcPr>
            <w:tcW w:w="1276" w:type="dxa"/>
            <w:tcBorders>
              <w:bottom w:val="single" w:color="auto" w:sz="12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EB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139%</w:t>
            </w:r>
          </w:p>
        </w:tc>
        <w:tc>
          <w:tcPr>
            <w:tcW w:w="2409" w:type="dxa"/>
            <w:tcBorders>
              <w:bottom w:val="single" w:color="auto" w:sz="12" w:space="0"/>
            </w:tcBorders>
          </w:tcPr>
          <w:p w14:paraId="794CB0EC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he Global BMI Mortality Collaboration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. 2016.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3"/>
            </w:r>
          </w:p>
        </w:tc>
      </w:tr>
    </w:tbl>
    <w:p w14:paraId="794CB0EE">
      <w:pPr>
        <w:rPr>
          <w:rFonts w:asciiTheme="majorBidi" w:hAnsiTheme="majorBidi" w:cstheme="majorBidi"/>
          <w:b/>
          <w:bCs/>
        </w:rPr>
      </w:pPr>
    </w:p>
    <w:p w14:paraId="794CB0EF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Table </w:t>
      </w:r>
      <w:r>
        <w:rPr>
          <w:rFonts w:hint="eastAsia" w:asciiTheme="majorBidi" w:hAnsiTheme="majorBidi" w:cstheme="majorBidi"/>
          <w:b/>
          <w:bCs/>
          <w:lang w:val="en-US" w:eastAsia="zh-CN"/>
        </w:rPr>
        <w:t>S</w:t>
      </w:r>
      <w:r>
        <w:rPr>
          <w:rFonts w:hint="eastAsia"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>. Obesity prevalence applied in modeling</w:t>
      </w:r>
    </w:p>
    <w:p w14:paraId="794CB0F0"/>
    <w:tbl>
      <w:tblPr>
        <w:tblStyle w:val="19"/>
        <w:tblpPr w:leftFromText="180" w:rightFromText="180" w:vertAnchor="text" w:horzAnchor="margin" w:tblpXSpec="center" w:tblpY="-281"/>
        <w:tblW w:w="8647" w:type="dxa"/>
        <w:tblInd w:w="0" w:type="dxa"/>
        <w:tblBorders>
          <w:top w:val="single" w:color="auto" w:sz="12" w:space="0"/>
          <w:left w:val="single" w:color="FFFFFF" w:sz="8" w:space="0"/>
          <w:bottom w:val="single" w:color="auto" w:sz="12" w:space="0"/>
          <w:right w:val="single" w:color="FFFFFF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"/>
        <w:gridCol w:w="788"/>
        <w:gridCol w:w="862"/>
        <w:gridCol w:w="862"/>
        <w:gridCol w:w="921"/>
        <w:gridCol w:w="821"/>
        <w:gridCol w:w="822"/>
        <w:gridCol w:w="821"/>
        <w:gridCol w:w="753"/>
        <w:gridCol w:w="1039"/>
      </w:tblGrid>
      <w:tr w14:paraId="794CB0F5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958" w:type="dxa"/>
            <w:vMerge w:val="restart"/>
            <w:tcBorders>
              <w:top w:val="single" w:color="auto" w:sz="12" w:space="0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1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Age group</w:t>
            </w:r>
          </w:p>
        </w:tc>
        <w:tc>
          <w:tcPr>
            <w:tcW w:w="3433" w:type="dxa"/>
            <w:gridSpan w:val="4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2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3217" w:type="dxa"/>
            <w:gridSpan w:val="4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3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1039" w:type="dxa"/>
            <w:vMerge w:val="restart"/>
            <w:tcBorders>
              <w:top w:val="single" w:color="auto" w:sz="12" w:space="0"/>
            </w:tcBorders>
          </w:tcPr>
          <w:p w14:paraId="794CB0F4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ata source</w:t>
            </w:r>
          </w:p>
        </w:tc>
      </w:tr>
      <w:tr w14:paraId="794CB100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58" w:type="dxa"/>
            <w:vMerge w:val="continue"/>
            <w:tcBorders>
              <w:top w:val="nil"/>
              <w:bottom w:val="single" w:color="auto" w:sz="6" w:space="0"/>
            </w:tcBorders>
            <w:vAlign w:val="center"/>
          </w:tcPr>
          <w:p w14:paraId="794CB0F6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88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7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Underweight</w:t>
            </w:r>
          </w:p>
        </w:tc>
        <w:tc>
          <w:tcPr>
            <w:tcW w:w="862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8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Normal weight</w:t>
            </w:r>
          </w:p>
        </w:tc>
        <w:tc>
          <w:tcPr>
            <w:tcW w:w="862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9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Overweight</w:t>
            </w:r>
          </w:p>
        </w:tc>
        <w:tc>
          <w:tcPr>
            <w:tcW w:w="921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A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Obese</w:t>
            </w:r>
          </w:p>
        </w:tc>
        <w:tc>
          <w:tcPr>
            <w:tcW w:w="821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B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Underweight</w:t>
            </w:r>
          </w:p>
        </w:tc>
        <w:tc>
          <w:tcPr>
            <w:tcW w:w="822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C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Normal weight</w:t>
            </w:r>
          </w:p>
        </w:tc>
        <w:tc>
          <w:tcPr>
            <w:tcW w:w="821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D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Overweight</w:t>
            </w:r>
          </w:p>
        </w:tc>
        <w:tc>
          <w:tcPr>
            <w:tcW w:w="753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0FE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Obese</w:t>
            </w:r>
          </w:p>
        </w:tc>
        <w:tc>
          <w:tcPr>
            <w:tcW w:w="1039" w:type="dxa"/>
            <w:vMerge w:val="continue"/>
            <w:tcBorders>
              <w:bottom w:val="single" w:color="auto" w:sz="6" w:space="0"/>
            </w:tcBorders>
          </w:tcPr>
          <w:p w14:paraId="794CB0FF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</w:tr>
      <w:tr w14:paraId="794CB10B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58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18 to 19</w:t>
            </w:r>
          </w:p>
        </w:tc>
        <w:tc>
          <w:tcPr>
            <w:tcW w:w="788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2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5.00%</w:t>
            </w:r>
          </w:p>
        </w:tc>
        <w:tc>
          <w:tcPr>
            <w:tcW w:w="862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41.30%</w:t>
            </w:r>
          </w:p>
        </w:tc>
        <w:tc>
          <w:tcPr>
            <w:tcW w:w="862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4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33.60%</w:t>
            </w:r>
          </w:p>
        </w:tc>
        <w:tc>
          <w:tcPr>
            <w:tcW w:w="921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5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20.10%</w:t>
            </w:r>
          </w:p>
        </w:tc>
        <w:tc>
          <w:tcPr>
            <w:tcW w:w="821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6.20%</w:t>
            </w:r>
          </w:p>
        </w:tc>
        <w:tc>
          <w:tcPr>
            <w:tcW w:w="822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54.00%</w:t>
            </w:r>
          </w:p>
        </w:tc>
        <w:tc>
          <w:tcPr>
            <w:tcW w:w="821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27.10%</w:t>
            </w:r>
          </w:p>
        </w:tc>
        <w:tc>
          <w:tcPr>
            <w:tcW w:w="753" w:type="dxa"/>
            <w:tcBorders>
              <w:top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9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12.70%</w:t>
            </w:r>
          </w:p>
        </w:tc>
        <w:tc>
          <w:tcPr>
            <w:tcW w:w="1039" w:type="dxa"/>
            <w:vMerge w:val="restart"/>
            <w:tcBorders>
              <w:top w:val="single" w:color="auto" w:sz="6" w:space="0"/>
            </w:tcBorders>
          </w:tcPr>
          <w:p w14:paraId="794CB10A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vertAlign w:val="superscript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Report on the Nutrition and Chronic Disease Status of Chinese Residents 2020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. (Book)</w:t>
            </w:r>
          </w:p>
        </w:tc>
      </w:tr>
      <w:tr w14:paraId="794CB116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C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20 to 34</w:t>
            </w:r>
          </w:p>
        </w:tc>
        <w:tc>
          <w:tcPr>
            <w:tcW w:w="7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D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5.00%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E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41.30%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0F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33.60%</w:t>
            </w:r>
          </w:p>
        </w:tc>
        <w:tc>
          <w:tcPr>
            <w:tcW w:w="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20.10%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6.20%</w:t>
            </w:r>
          </w:p>
        </w:tc>
        <w:tc>
          <w:tcPr>
            <w:tcW w:w="82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2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54.00%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27.10%</w:t>
            </w:r>
          </w:p>
        </w:tc>
        <w:tc>
          <w:tcPr>
            <w:tcW w:w="7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4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12.70%</w:t>
            </w:r>
          </w:p>
        </w:tc>
        <w:tc>
          <w:tcPr>
            <w:tcW w:w="1039" w:type="dxa"/>
            <w:vMerge w:val="continue"/>
          </w:tcPr>
          <w:p w14:paraId="794CB115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94CB121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95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35 to 44</w:t>
            </w:r>
          </w:p>
        </w:tc>
        <w:tc>
          <w:tcPr>
            <w:tcW w:w="7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5.00%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9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41.30%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A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33.60%</w:t>
            </w:r>
          </w:p>
        </w:tc>
        <w:tc>
          <w:tcPr>
            <w:tcW w:w="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20.10%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C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6.20%</w:t>
            </w:r>
          </w:p>
        </w:tc>
        <w:tc>
          <w:tcPr>
            <w:tcW w:w="82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D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54.00%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E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27.10%</w:t>
            </w:r>
          </w:p>
        </w:tc>
        <w:tc>
          <w:tcPr>
            <w:tcW w:w="7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1F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12.70%</w:t>
            </w:r>
          </w:p>
        </w:tc>
        <w:tc>
          <w:tcPr>
            <w:tcW w:w="1039" w:type="dxa"/>
            <w:vMerge w:val="continue"/>
          </w:tcPr>
          <w:p w14:paraId="794CB12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94CB12C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95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2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45 to 59</w:t>
            </w:r>
          </w:p>
        </w:tc>
        <w:tc>
          <w:tcPr>
            <w:tcW w:w="7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1.30%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4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38.40%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5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42.00%</w:t>
            </w:r>
          </w:p>
        </w:tc>
        <w:tc>
          <w:tcPr>
            <w:tcW w:w="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18.30%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1.50%</w:t>
            </w:r>
          </w:p>
        </w:tc>
        <w:tc>
          <w:tcPr>
            <w:tcW w:w="82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38.90%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9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41.20%</w:t>
            </w:r>
          </w:p>
        </w:tc>
        <w:tc>
          <w:tcPr>
            <w:tcW w:w="7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A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18.40%</w:t>
            </w:r>
          </w:p>
        </w:tc>
        <w:tc>
          <w:tcPr>
            <w:tcW w:w="1039" w:type="dxa"/>
            <w:vMerge w:val="continue"/>
          </w:tcPr>
          <w:p w14:paraId="794CB12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794CB137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5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D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60 to 105</w:t>
            </w:r>
          </w:p>
        </w:tc>
        <w:tc>
          <w:tcPr>
            <w:tcW w:w="7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E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3.90%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2F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49.00%</w:t>
            </w:r>
          </w:p>
        </w:tc>
        <w:tc>
          <w:tcPr>
            <w:tcW w:w="8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35.90%</w:t>
            </w:r>
          </w:p>
        </w:tc>
        <w:tc>
          <w:tcPr>
            <w:tcW w:w="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11.20%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2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3.70%</w:t>
            </w:r>
          </w:p>
        </w:tc>
        <w:tc>
          <w:tcPr>
            <w:tcW w:w="82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42.90%</w:t>
            </w:r>
          </w:p>
        </w:tc>
        <w:tc>
          <w:tcPr>
            <w:tcW w:w="8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4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37.40%</w:t>
            </w:r>
          </w:p>
        </w:tc>
        <w:tc>
          <w:tcPr>
            <w:tcW w:w="7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5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16.00%</w:t>
            </w:r>
          </w:p>
        </w:tc>
        <w:tc>
          <w:tcPr>
            <w:tcW w:w="1039" w:type="dxa"/>
            <w:vMerge w:val="continue"/>
          </w:tcPr>
          <w:p w14:paraId="794CB13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794CB13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Table </w:t>
      </w:r>
      <w:r>
        <w:rPr>
          <w:rFonts w:hint="eastAsia" w:asciiTheme="majorBidi" w:hAnsiTheme="majorBidi" w:cstheme="majorBidi"/>
          <w:b/>
          <w:bCs/>
          <w:lang w:val="en-US" w:eastAsia="zh-CN"/>
        </w:rPr>
        <w:t>S</w:t>
      </w:r>
      <w:r>
        <w:rPr>
          <w:rFonts w:hint="eastAsia"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 xml:space="preserve">. Macroeconomic, fiscal and </w:t>
      </w:r>
      <w:r>
        <w:rPr>
          <w:rFonts w:hint="eastAsia" w:asciiTheme="majorBidi" w:hAnsiTheme="majorBidi" w:cstheme="majorBidi"/>
          <w:b/>
          <w:bCs/>
        </w:rPr>
        <w:t xml:space="preserve">forecast </w:t>
      </w:r>
      <w:r>
        <w:rPr>
          <w:rFonts w:asciiTheme="majorBidi" w:hAnsiTheme="majorBidi" w:cstheme="majorBidi"/>
          <w:b/>
          <w:bCs/>
        </w:rPr>
        <w:t>parameters applied in the model</w:t>
      </w:r>
    </w:p>
    <w:tbl>
      <w:tblPr>
        <w:tblStyle w:val="19"/>
        <w:tblW w:w="8818" w:type="dxa"/>
        <w:tblInd w:w="-142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13"/>
        <w:gridCol w:w="1013"/>
        <w:gridCol w:w="3692"/>
      </w:tblGrid>
      <w:tr w14:paraId="794CB1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 w:hRule="atLeast"/>
        </w:trPr>
        <w:tc>
          <w:tcPr>
            <w:tcW w:w="4113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9"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P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 xml:space="preserve">arameters </w:t>
            </w:r>
          </w:p>
        </w:tc>
        <w:tc>
          <w:tcPr>
            <w:tcW w:w="1013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A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I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nputs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 xml:space="preserve"> </w:t>
            </w:r>
          </w:p>
        </w:tc>
        <w:tc>
          <w:tcPr>
            <w:tcW w:w="3692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B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ata source</w:t>
            </w:r>
          </w:p>
        </w:tc>
      </w:tr>
      <w:tr w14:paraId="794CB1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 w:hRule="atLeast"/>
        </w:trPr>
        <w:tc>
          <w:tcPr>
            <w:tcW w:w="4113" w:type="dxa"/>
            <w:tcBorders>
              <w:top w:val="single" w:color="auto" w:sz="6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D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Tax wedge</w:t>
            </w:r>
          </w:p>
        </w:tc>
        <w:tc>
          <w:tcPr>
            <w:tcW w:w="1013" w:type="dxa"/>
            <w:tcBorders>
              <w:top w:val="single" w:color="auto" w:sz="6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E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30.7%</w:t>
            </w:r>
          </w:p>
        </w:tc>
        <w:tc>
          <w:tcPr>
            <w:tcW w:w="3692" w:type="dxa"/>
            <w:tcBorders>
              <w:top w:val="single" w:color="auto" w:sz="6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3F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OECD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data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2019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4"/>
            </w:r>
          </w:p>
        </w:tc>
      </w:tr>
      <w:tr w14:paraId="794CB1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1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Indirect tax as proportion of gross income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2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6%</w:t>
            </w:r>
          </w:p>
        </w:tc>
        <w:tc>
          <w:tcPr>
            <w:tcW w:w="369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3">
            <w:pPr>
              <w:pStyle w:val="50"/>
              <w:rPr>
                <w:rFonts w:ascii="Times New Roman" w:hAnsi="Times New Roman" w:eastAsia="等线" w:cs="Times New Roman"/>
                <w:sz w:val="21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sz w:val="21"/>
                <w:szCs w:val="18"/>
                <w:lang w:bidi="ar"/>
              </w:rPr>
              <w:t xml:space="preserve">Taxes on goods and services </w:t>
            </w:r>
          </w:p>
        </w:tc>
      </w:tr>
      <w:tr w14:paraId="794CB1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5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nnual h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ealthcare cost of obese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6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588</w:t>
            </w:r>
          </w:p>
        </w:tc>
        <w:tc>
          <w:tcPr>
            <w:tcW w:w="369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7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Zhao et al. 2023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.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5"/>
            </w:r>
          </w:p>
        </w:tc>
      </w:tr>
      <w:tr w14:paraId="794CB1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9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nnual all cause disability pension -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Average 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A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1,216.10</w:t>
            </w:r>
          </w:p>
        </w:tc>
        <w:tc>
          <w:tcPr>
            <w:tcW w:w="3692" w:type="dxa"/>
            <w:vMerge w:val="restar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B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Zhang H.,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et al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. 2019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.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6"/>
            </w:r>
          </w:p>
        </w:tc>
      </w:tr>
      <w:tr w14:paraId="794CB1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D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nnual all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cause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disability pension -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Maximum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E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6,080.50</w:t>
            </w:r>
          </w:p>
        </w:tc>
        <w:tc>
          <w:tcPr>
            <w:tcW w:w="3692" w:type="dxa"/>
            <w:vMerge w:val="continue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4F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1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Annual retirement pension-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Average 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2">
            <w:pPr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val="en-US" w:eastAsia="zh-CN" w:bidi="ar"/>
              </w:rPr>
              <w:t>166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val="en-US" w:eastAsia="zh-CN" w:bidi="ar"/>
              </w:rPr>
              <w:t>00</w:t>
            </w:r>
          </w:p>
        </w:tc>
        <w:tc>
          <w:tcPr>
            <w:tcW w:w="369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4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val="en-US" w:eastAsia="zh-CN" w:bidi="ar"/>
              </w:rPr>
              <w:t>CHARLS 2020 wave data</w:t>
            </w:r>
            <w:r>
              <w:rPr>
                <w:rStyle w:val="23"/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7"/>
            </w:r>
          </w:p>
        </w:tc>
      </w:tr>
      <w:tr w14:paraId="794CB1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6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nnual retirement pension-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Maximum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7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6,466.34</w:t>
            </w:r>
          </w:p>
        </w:tc>
        <w:tc>
          <w:tcPr>
            <w:tcW w:w="369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8">
            <w:pPr>
              <w:rPr>
                <w:rFonts w:hAnsi="Verdana"/>
                <w:color w:val="000000"/>
                <w:kern w:val="24"/>
                <w:sz w:val="16"/>
                <w:szCs w:val="16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2023 Statistical Bulletin on Human Resources and Social Security Development</w:t>
            </w:r>
            <w:r>
              <w:rPr>
                <w:rStyle w:val="23"/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8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val="en-US" w:eastAsia="zh-CN" w:bidi="ar"/>
              </w:rPr>
              <w:t>, P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ublic institution retirees</w:t>
            </w:r>
          </w:p>
        </w:tc>
      </w:tr>
      <w:tr w14:paraId="794CB1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A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iscount rate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B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5%</w:t>
            </w:r>
          </w:p>
        </w:tc>
        <w:tc>
          <w:tcPr>
            <w:tcW w:w="369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C">
            <w:pPr>
              <w:jc w:val="left"/>
              <w:rPr>
                <w:rFonts w:hAnsi="Verdana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Chinese Pharmacoeconomics Guideline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 2020 (Book)</w:t>
            </w:r>
          </w:p>
        </w:tc>
      </w:tr>
      <w:tr w14:paraId="794CB1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E">
            <w:pPr>
              <w:jc w:val="left"/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 xml:space="preserve">Wage growth rate 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5F">
            <w:pPr>
              <w:jc w:val="left"/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>6.73%</w:t>
            </w:r>
          </w:p>
        </w:tc>
        <w:tc>
          <w:tcPr>
            <w:tcW w:w="369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0">
            <w:pPr>
              <w:jc w:val="left"/>
              <w:rPr>
                <w:rFonts w:hAnsi="Verdana"/>
                <w:kern w:val="24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  <w:t>Data from the China Labor Statistical Yearbook 2023, using the year-to-year change in the average wage of urban non-private sector employees.</w:t>
            </w:r>
          </w:p>
        </w:tc>
      </w:tr>
      <w:tr w14:paraId="794CB1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2">
            <w:pPr>
              <w:jc w:val="left"/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  <w:t>Obesity prevalence annual increase</w:t>
            </w: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>-Females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3">
            <w:pPr>
              <w:jc w:val="left"/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>2.31%</w:t>
            </w:r>
          </w:p>
        </w:tc>
        <w:tc>
          <w:tcPr>
            <w:tcW w:w="3692" w:type="dxa"/>
            <w:vMerge w:val="restar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4">
            <w:pP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  <w:t xml:space="preserve">Bai R., </w:t>
            </w: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>et al</w:t>
            </w:r>
            <w: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  <w:t>. 20</w:t>
            </w: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>22.</w:t>
            </w:r>
            <w:r>
              <w:rPr>
                <w:rStyle w:val="23"/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endnoteReference w:id="9"/>
            </w:r>
          </w:p>
          <w:p w14:paraId="794CB165">
            <w:pP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  <w:t>Estimate based on the projected trajectory of urban female obesity prevalence for 2015–2030.</w:t>
            </w:r>
          </w:p>
        </w:tc>
      </w:tr>
      <w:tr w14:paraId="794CB1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41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7">
            <w:pPr>
              <w:jc w:val="left"/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  <w:t>Obesity prevalence annual increase</w:t>
            </w: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>-Males</w:t>
            </w:r>
          </w:p>
        </w:tc>
        <w:tc>
          <w:tcPr>
            <w:tcW w:w="1013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8">
            <w:pPr>
              <w:jc w:val="left"/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Cs w:val="18"/>
                <w:lang w:bidi="ar"/>
              </w:rPr>
              <w:t>5.59%</w:t>
            </w:r>
          </w:p>
        </w:tc>
        <w:tc>
          <w:tcPr>
            <w:tcW w:w="3692" w:type="dxa"/>
            <w:vMerge w:val="continue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9">
            <w:pPr>
              <w:rPr>
                <w:rFonts w:ascii="Times New Roman" w:hAnsi="Times New Roman" w:eastAsia="等线" w:cs="Times New Roman"/>
                <w:kern w:val="0"/>
                <w:szCs w:val="18"/>
                <w:lang w:bidi="ar"/>
              </w:rPr>
            </w:pPr>
          </w:p>
        </w:tc>
      </w:tr>
    </w:tbl>
    <w:p w14:paraId="794CB16B">
      <w:pPr>
        <w:widowControl/>
        <w:jc w:val="left"/>
      </w:pPr>
    </w:p>
    <w:p w14:paraId="794CB16C">
      <w:pPr>
        <w:widowControl/>
        <w:jc w:val="left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Table </w:t>
      </w:r>
      <w:r>
        <w:rPr>
          <w:rFonts w:hint="eastAsia" w:asciiTheme="majorBidi" w:hAnsiTheme="majorBidi" w:cstheme="majorBidi"/>
          <w:b/>
          <w:bCs/>
          <w:lang w:val="en-US" w:eastAsia="zh-CN"/>
        </w:rPr>
        <w:t>S</w:t>
      </w:r>
      <w:r>
        <w:rPr>
          <w:rFonts w:hint="eastAsia" w:asciiTheme="majorBidi" w:hAnsiTheme="majorBidi" w:cstheme="majorBidi"/>
          <w:b/>
          <w:bCs/>
        </w:rPr>
        <w:t>4</w:t>
      </w:r>
      <w:r>
        <w:rPr>
          <w:rFonts w:asciiTheme="majorBidi" w:hAnsiTheme="majorBidi" w:cstheme="majorBidi"/>
          <w:b/>
          <w:bCs/>
        </w:rPr>
        <w:t xml:space="preserve">. </w:t>
      </w:r>
      <w:r>
        <w:rPr>
          <w:rFonts w:hint="eastAsia" w:asciiTheme="majorBidi" w:hAnsiTheme="majorBidi" w:cstheme="majorBidi"/>
          <w:b/>
          <w:bCs/>
        </w:rPr>
        <w:t>Overview of other key model inputs</w:t>
      </w:r>
    </w:p>
    <w:tbl>
      <w:tblPr>
        <w:tblStyle w:val="19"/>
        <w:tblW w:w="8789" w:type="dxa"/>
        <w:tblInd w:w="-152" w:type="dxa"/>
        <w:tblBorders>
          <w:top w:val="single" w:color="auto" w:sz="12" w:space="0"/>
          <w:left w:val="single" w:color="FFFFFF" w:sz="8" w:space="0"/>
          <w:bottom w:val="single" w:color="auto" w:sz="12" w:space="0"/>
          <w:right w:val="single" w:color="FFFFFF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559"/>
        <w:gridCol w:w="1221"/>
        <w:gridCol w:w="3315"/>
      </w:tblGrid>
      <w:tr w14:paraId="794CB171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D"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P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 xml:space="preserve">arameters </w:t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E"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 xml:space="preserve">Male </w:t>
            </w:r>
          </w:p>
        </w:tc>
        <w:tc>
          <w:tcPr>
            <w:tcW w:w="1221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6F"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 xml:space="preserve">Female </w:t>
            </w:r>
          </w:p>
        </w:tc>
        <w:tc>
          <w:tcPr>
            <w:tcW w:w="3315" w:type="dxa"/>
            <w:tcBorders>
              <w:top w:val="single" w:color="auto" w:sz="12" w:space="0"/>
              <w:bottom w:val="single" w:color="auto" w:sz="6" w:space="0"/>
            </w:tcBorders>
          </w:tcPr>
          <w:p w14:paraId="794CB170"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18"/>
                <w:lang w:bidi="ar"/>
              </w:rPr>
              <w:t>ata source</w:t>
            </w:r>
          </w:p>
        </w:tc>
      </w:tr>
      <w:tr w14:paraId="794CB173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8789" w:type="dxa"/>
            <w:gridSpan w:val="4"/>
            <w:tcBorders>
              <w:top w:val="single" w:color="auto" w:sz="6" w:space="0"/>
              <w:bottom w:val="nil"/>
            </w:tcBorders>
            <w:shd w:val="clear" w:color="auto" w:fill="F1F1F1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72">
            <w:pPr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  <w:t xml:space="preserve">Employment rate </w:t>
            </w:r>
          </w:p>
        </w:tc>
      </w:tr>
      <w:tr w14:paraId="794CB17B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Borders>
              <w:top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74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15 to 19</w:t>
            </w:r>
          </w:p>
        </w:tc>
        <w:tc>
          <w:tcPr>
            <w:tcW w:w="1559" w:type="dxa"/>
            <w:tcBorders>
              <w:top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75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9.7%</w:t>
            </w:r>
          </w:p>
        </w:tc>
        <w:tc>
          <w:tcPr>
            <w:tcW w:w="1221" w:type="dxa"/>
            <w:tcBorders>
              <w:top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7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6.5%</w:t>
            </w:r>
          </w:p>
        </w:tc>
        <w:tc>
          <w:tcPr>
            <w:tcW w:w="3315" w:type="dxa"/>
            <w:vMerge w:val="restart"/>
            <w:tcBorders>
              <w:top w:val="nil"/>
            </w:tcBorders>
            <w:vAlign w:val="center"/>
          </w:tcPr>
          <w:p w14:paraId="794CB177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National Bureau of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Statistics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 data</w:t>
            </w:r>
            <w:r>
              <w:rPr>
                <w:rStyle w:val="23"/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10"/>
            </w:r>
          </w:p>
          <w:p w14:paraId="794CB178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(reported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unemployment rate of the labor force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)</w:t>
            </w:r>
          </w:p>
          <w:p w14:paraId="794CB179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  <w:p w14:paraId="794CB17A">
            <w:pPr>
              <w:jc w:val="left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18"/>
                <w:lang w:bidi="ar"/>
              </w:rPr>
              <w:t>E</w:t>
            </w:r>
            <w:r>
              <w:rPr>
                <w:rFonts w:hint="eastAsia" w:ascii="Times New Roman" w:hAnsi="Times New Roman" w:eastAsia="等线" w:cs="Times New Roman"/>
                <w:i/>
                <w:iCs/>
                <w:color w:val="000000"/>
                <w:kern w:val="0"/>
                <w:szCs w:val="18"/>
                <w:lang w:bidi="ar"/>
              </w:rPr>
              <w:t xml:space="preserve">mployment rate=1- (unemployment rate of the labor force * the number of labor force/ the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18"/>
                <w:lang w:bidi="ar"/>
              </w:rPr>
              <w:t>number</w:t>
            </w:r>
            <w:r>
              <w:rPr>
                <w:rFonts w:hint="eastAsia" w:ascii="Times New Roman" w:hAnsi="Times New Roman" w:eastAsia="等线" w:cs="Times New Roman"/>
                <w:i/>
                <w:iCs/>
                <w:color w:val="000000"/>
                <w:kern w:val="0"/>
                <w:szCs w:val="18"/>
                <w:lang w:bidi="ar"/>
              </w:rPr>
              <w:t xml:space="preserve"> of total people)</w:t>
            </w:r>
          </w:p>
        </w:tc>
      </w:tr>
      <w:tr w14:paraId="794CB180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7C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20 to 24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7D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46.9%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7E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40.7%</w:t>
            </w:r>
          </w:p>
        </w:tc>
        <w:tc>
          <w:tcPr>
            <w:tcW w:w="3315" w:type="dxa"/>
            <w:vMerge w:val="continue"/>
            <w:vAlign w:val="center"/>
          </w:tcPr>
          <w:p w14:paraId="794CB17F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85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8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25 to 29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82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85.2%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83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72.6%</w:t>
            </w:r>
          </w:p>
        </w:tc>
        <w:tc>
          <w:tcPr>
            <w:tcW w:w="3315" w:type="dxa"/>
            <w:vMerge w:val="continue"/>
            <w:vAlign w:val="center"/>
          </w:tcPr>
          <w:p w14:paraId="794CB184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8A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8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30 to 34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87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94.0%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88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78.6%</w:t>
            </w:r>
          </w:p>
        </w:tc>
        <w:tc>
          <w:tcPr>
            <w:tcW w:w="3315" w:type="dxa"/>
            <w:vMerge w:val="continue"/>
            <w:vAlign w:val="center"/>
          </w:tcPr>
          <w:p w14:paraId="794CB189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8F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8B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35 to 39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8C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88.2%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8D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75.6%</w:t>
            </w:r>
          </w:p>
        </w:tc>
        <w:tc>
          <w:tcPr>
            <w:tcW w:w="3315" w:type="dxa"/>
            <w:vMerge w:val="continue"/>
            <w:vAlign w:val="center"/>
          </w:tcPr>
          <w:p w14:paraId="794CB18E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94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90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40 to 44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9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91.5%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92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79.2%</w:t>
            </w:r>
          </w:p>
        </w:tc>
        <w:tc>
          <w:tcPr>
            <w:tcW w:w="3315" w:type="dxa"/>
            <w:vMerge w:val="continue"/>
            <w:vAlign w:val="center"/>
          </w:tcPr>
          <w:p w14:paraId="794CB193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99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95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45 to 49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9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94.5%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97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83.0%</w:t>
            </w:r>
          </w:p>
        </w:tc>
        <w:tc>
          <w:tcPr>
            <w:tcW w:w="3315" w:type="dxa"/>
            <w:vMerge w:val="continue"/>
            <w:vAlign w:val="center"/>
          </w:tcPr>
          <w:p w14:paraId="794CB198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9E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9A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50 to 54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9B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91.2%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9C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67.7%</w:t>
            </w:r>
          </w:p>
        </w:tc>
        <w:tc>
          <w:tcPr>
            <w:tcW w:w="3315" w:type="dxa"/>
            <w:vMerge w:val="continue"/>
            <w:vAlign w:val="center"/>
          </w:tcPr>
          <w:p w14:paraId="794CB19D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A3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9F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55 to 59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A0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82.2%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A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51.4%</w:t>
            </w:r>
          </w:p>
        </w:tc>
        <w:tc>
          <w:tcPr>
            <w:tcW w:w="3315" w:type="dxa"/>
            <w:vMerge w:val="continue"/>
            <w:vAlign w:val="center"/>
          </w:tcPr>
          <w:p w14:paraId="794CB1A2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A8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A4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60 to 64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A5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14.9%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A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6.3%</w:t>
            </w:r>
          </w:p>
        </w:tc>
        <w:tc>
          <w:tcPr>
            <w:tcW w:w="3315" w:type="dxa"/>
            <w:vMerge w:val="continue"/>
            <w:vAlign w:val="center"/>
          </w:tcPr>
          <w:p w14:paraId="794CB1A7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</w:p>
        </w:tc>
      </w:tr>
      <w:tr w14:paraId="794CB1AD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A9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65 to 69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AA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5.4%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AB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5.4%</w:t>
            </w:r>
          </w:p>
        </w:tc>
        <w:tc>
          <w:tcPr>
            <w:tcW w:w="3315" w:type="dxa"/>
            <w:vMerge w:val="restart"/>
            <w:vAlign w:val="center"/>
          </w:tcPr>
          <w:p w14:paraId="794CB1AC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highlight w:val="yellow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National Development and Reform Commission data</w:t>
            </w:r>
            <w:r>
              <w:rPr>
                <w:rStyle w:val="23"/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11"/>
            </w:r>
          </w:p>
        </w:tc>
      </w:tr>
      <w:tr w14:paraId="794CB1B2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AE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70+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AF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2.3%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B1B0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2.3%</w:t>
            </w:r>
          </w:p>
        </w:tc>
        <w:tc>
          <w:tcPr>
            <w:tcW w:w="3315" w:type="dxa"/>
            <w:vMerge w:val="continue"/>
            <w:vAlign w:val="center"/>
          </w:tcPr>
          <w:p w14:paraId="794CB1B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B4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8789" w:type="dxa"/>
            <w:gridSpan w:val="4"/>
            <w:shd w:val="clear" w:color="auto" w:fill="F1F1F1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B3">
            <w:pPr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  <w:t>Annual</w:t>
            </w:r>
            <w:r>
              <w:rPr>
                <w:rFonts w:hint="eastAsia" w:asciiTheme="majorBidi" w:hAnsiTheme="majorBidi" w:cstheme="majorBidi"/>
                <w:b/>
                <w:bCs/>
                <w:i/>
                <w:iCs/>
                <w:szCs w:val="18"/>
              </w:rPr>
              <w:t xml:space="preserve"> e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  <w:t>arnings from employment</w:t>
            </w:r>
          </w:p>
        </w:tc>
      </w:tr>
      <w:tr w14:paraId="794CB1BA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B5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15 to 17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B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21,839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B7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19,084</w:t>
            </w:r>
          </w:p>
        </w:tc>
        <w:tc>
          <w:tcPr>
            <w:tcW w:w="3315" w:type="dxa"/>
            <w:vMerge w:val="restart"/>
            <w:vAlign w:val="center"/>
          </w:tcPr>
          <w:p w14:paraId="794CB1B8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1.Empirical Analysis on Income Inequality in China.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2007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.(Book)</w:t>
            </w:r>
          </w:p>
          <w:p w14:paraId="794CB1B9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2.National Bureau of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Statistics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 data</w:t>
            </w:r>
          </w:p>
        </w:tc>
      </w:tr>
      <w:tr w14:paraId="794CB1BF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BB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18 to 21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BC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24,537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BD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22,752</w:t>
            </w:r>
          </w:p>
        </w:tc>
        <w:tc>
          <w:tcPr>
            <w:tcW w:w="3315" w:type="dxa"/>
            <w:vMerge w:val="continue"/>
            <w:vAlign w:val="center"/>
          </w:tcPr>
          <w:p w14:paraId="794CB1BE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C4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0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22 to 29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39,420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2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36,490</w:t>
            </w:r>
          </w:p>
        </w:tc>
        <w:tc>
          <w:tcPr>
            <w:tcW w:w="3315" w:type="dxa"/>
            <w:vMerge w:val="continue"/>
            <w:vAlign w:val="center"/>
          </w:tcPr>
          <w:p w14:paraId="794CB1C3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C9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5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30 to 39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52,453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7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39,377</w:t>
            </w:r>
          </w:p>
        </w:tc>
        <w:tc>
          <w:tcPr>
            <w:tcW w:w="3315" w:type="dxa"/>
            <w:vMerge w:val="continue"/>
            <w:vAlign w:val="center"/>
          </w:tcPr>
          <w:p w14:paraId="794CB1C8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CE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A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40 to 49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B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52,929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C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36,168</w:t>
            </w:r>
          </w:p>
        </w:tc>
        <w:tc>
          <w:tcPr>
            <w:tcW w:w="3315" w:type="dxa"/>
            <w:vMerge w:val="continue"/>
            <w:vAlign w:val="center"/>
          </w:tcPr>
          <w:p w14:paraId="794CB1CD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D3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CF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50 to 59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0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48,951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30,852</w:t>
            </w:r>
          </w:p>
        </w:tc>
        <w:tc>
          <w:tcPr>
            <w:tcW w:w="3315" w:type="dxa"/>
            <w:vMerge w:val="continue"/>
            <w:vAlign w:val="center"/>
          </w:tcPr>
          <w:p w14:paraId="794CB1D2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D8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4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60+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5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48,951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30,852</w:t>
            </w:r>
          </w:p>
        </w:tc>
        <w:tc>
          <w:tcPr>
            <w:tcW w:w="3315" w:type="dxa"/>
            <w:vAlign w:val="center"/>
          </w:tcPr>
          <w:p w14:paraId="794CB1D7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Assumption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 equal to age 50~59</w:t>
            </w:r>
          </w:p>
        </w:tc>
      </w:tr>
      <w:tr w14:paraId="794CB1DA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8789" w:type="dxa"/>
            <w:gridSpan w:val="4"/>
            <w:shd w:val="clear" w:color="auto" w:fill="F1F1F1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9">
            <w:pPr>
              <w:jc w:val="left"/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  <w:t xml:space="preserve">Prevalence </w:t>
            </w:r>
            <w:r>
              <w:rPr>
                <w:rFonts w:hint="eastAsia" w:asciiTheme="majorBidi" w:hAnsiTheme="majorBidi" w:cstheme="majorBidi"/>
                <w:b/>
                <w:bCs/>
                <w:i/>
                <w:iCs/>
                <w:szCs w:val="18"/>
              </w:rPr>
              <w:t xml:space="preserve">rate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Cs w:val="18"/>
              </w:rPr>
              <w:t>of disability</w:t>
            </w:r>
          </w:p>
        </w:tc>
      </w:tr>
      <w:tr w14:paraId="794CB1DF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B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15 to 24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C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4.60%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DD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5.00%</w:t>
            </w:r>
          </w:p>
        </w:tc>
        <w:tc>
          <w:tcPr>
            <w:tcW w:w="3315" w:type="dxa"/>
            <w:vMerge w:val="restart"/>
            <w:vAlign w:val="center"/>
          </w:tcPr>
          <w:p w14:paraId="794CB1DE">
            <w:pPr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Zhu H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., et al. 2023. </w:t>
            </w:r>
            <w:r>
              <w:rPr>
                <w:rStyle w:val="23"/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endnoteReference w:id="12"/>
            </w:r>
          </w:p>
        </w:tc>
      </w:tr>
      <w:tr w14:paraId="794CB1E4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0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25 to 44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10.25%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2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7.15%</w:t>
            </w:r>
          </w:p>
        </w:tc>
        <w:tc>
          <w:tcPr>
            <w:tcW w:w="3315" w:type="dxa"/>
            <w:vMerge w:val="continue"/>
          </w:tcPr>
          <w:p w14:paraId="794CB1E3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E9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5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45 to 64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6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19.90%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7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16.80%</w:t>
            </w:r>
          </w:p>
        </w:tc>
        <w:tc>
          <w:tcPr>
            <w:tcW w:w="3315" w:type="dxa"/>
            <w:vMerge w:val="continue"/>
          </w:tcPr>
          <w:p w14:paraId="794CB1E8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EE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A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from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65 to 74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B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22.80%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C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19.80%</w:t>
            </w:r>
          </w:p>
        </w:tc>
        <w:tc>
          <w:tcPr>
            <w:tcW w:w="3315" w:type="dxa"/>
            <w:vMerge w:val="continue"/>
          </w:tcPr>
          <w:p w14:paraId="794CB1ED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  <w:tr w14:paraId="794CB1F3">
        <w:tblPrEx>
          <w:tblBorders>
            <w:top w:val="single" w:color="auto" w:sz="12" w:space="0"/>
            <w:left w:val="single" w:color="FFFFFF" w:sz="8" w:space="0"/>
            <w:bottom w:val="single" w:color="auto" w:sz="12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6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EF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 xml:space="preserve">ge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75+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F0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22.80%</w:t>
            </w:r>
          </w:p>
        </w:tc>
        <w:tc>
          <w:tcPr>
            <w:tcW w:w="12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B1F1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  <w:t>19.80%</w:t>
            </w:r>
          </w:p>
        </w:tc>
        <w:tc>
          <w:tcPr>
            <w:tcW w:w="3315" w:type="dxa"/>
            <w:vMerge w:val="continue"/>
          </w:tcPr>
          <w:p w14:paraId="794CB1F2">
            <w:pPr>
              <w:rPr>
                <w:rFonts w:ascii="Times New Roman" w:hAnsi="Times New Roman" w:eastAsia="等线" w:cs="Times New Roman"/>
                <w:color w:val="000000"/>
                <w:kern w:val="0"/>
                <w:szCs w:val="18"/>
                <w:lang w:bidi="ar"/>
              </w:rPr>
            </w:pPr>
          </w:p>
        </w:tc>
      </w:tr>
    </w:tbl>
    <w:p w14:paraId="794CB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all the cost data (wage, healthcare cost, disability and retirement pension) were adjusted to the 2024 level by consumer price index (CPI).</w:t>
      </w:r>
    </w:p>
    <w:p w14:paraId="794CB1F5">
      <w:pPr>
        <w:widowControl/>
        <w:jc w:val="left"/>
        <w:rPr>
          <w:rFonts w:ascii="Times New Roman" w:hAnsi="Times New Roman" w:eastAsia="等线" w:cs="Times New Roman"/>
          <w:color w:val="000000"/>
          <w:kern w:val="0"/>
          <w:sz w:val="18"/>
          <w:szCs w:val="15"/>
          <w:lang w:bidi="ar"/>
        </w:rPr>
      </w:pPr>
    </w:p>
    <w:p w14:paraId="794CB1F6">
      <w:pPr>
        <w:rPr>
          <w:rFonts w:ascii="Times New Roman" w:hAnsi="Times New Roman" w:eastAsia="等线" w:cs="Times New Roman"/>
          <w:color w:val="000000"/>
          <w:kern w:val="0"/>
          <w:sz w:val="18"/>
          <w:szCs w:val="15"/>
          <w:lang w:bidi="ar"/>
        </w:rPr>
      </w:pPr>
      <w:bookmarkStart w:id="0" w:name="_GoBack"/>
      <w:bookmarkEnd w:id="0"/>
    </w:p>
    <w:p w14:paraId="794CB1F7">
      <w:pPr>
        <w:rPr>
          <w:rFonts w:ascii="Times New Roman" w:hAnsi="Times New Roman" w:eastAsia="等线" w:cs="Times New Roman"/>
          <w:b/>
          <w:bCs/>
          <w:color w:val="000000"/>
          <w:kern w:val="0"/>
          <w:sz w:val="21"/>
          <w:szCs w:val="18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1"/>
          <w:szCs w:val="18"/>
          <w:lang w:bidi="ar"/>
        </w:rPr>
        <w:t>Reference</w:t>
      </w:r>
    </w:p>
    <w:sectPr>
      <w:footerReference r:id="rId4" w:type="default"/>
      <w:endnotePr>
        <w:numFmt w:val="decimal"/>
      </w:endnote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26">
    <w:p>
      <w:r>
        <w:separator/>
      </w:r>
    </w:p>
  </w:endnote>
  <w:endnote w:type="continuationSeparator" w:id="27">
    <w:p>
      <w:r>
        <w:continuationSeparator/>
      </w:r>
    </w:p>
  </w:endnote>
  <w:endnote w:id="0">
    <w:p w14:paraId="794CB1FD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Jay P, et al. The impact of body size on urban employment: Evidence from China. China Economic Review, 2013, 27: 249-263. </w:t>
      </w:r>
    </w:p>
  </w:endnote>
  <w:endnote w:id="1">
    <w:p w14:paraId="794CB1FE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Y Xu et al. the Impact of Obesity on the Wages of Chinese Workers - Evidence from CFPS2018. https://www.sinoss.net/c/2022-04-15/622084.shtml.</w:t>
      </w:r>
    </w:p>
  </w:endnote>
  <w:endnote w:id="2">
    <w:p w14:paraId="794CB1FF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Su P., et al. Joint association of obesity and hypertension with disability in the elderly-A community-based study of residents in Shanghai, China. The Journal of Nutrition, Health and Aging, 21(4), 362-369</w:t>
      </w:r>
    </w:p>
  </w:endnote>
  <w:endnote w:id="3">
    <w:p w14:paraId="794CB200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The Global BMI Mortality Collaboration. Body-mass index and all-cause mortality: individual participant-data meta-analysis of 239 prospective studies in four continents. Lancet 2016; 388: 776–86</w:t>
      </w:r>
    </w:p>
  </w:endnote>
  <w:endnote w:id="4">
    <w:p w14:paraId="794CB201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OECD. Taxing Wages in Selected Partner Economies: Brazil, China, India, Indonesia and South Africa in 2019. OECD Publishing, 2021. https://www.oecd.org/tax/tax-policy/taxing-wages-in-selected-partner-economies.pdf</w:t>
      </w:r>
    </w:p>
  </w:endnote>
  <w:endnote w:id="5">
    <w:p w14:paraId="794CB202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Zhao, S., et al. Healthcare costs attributable to abnormal weight in China: evidence based on a longitudinal study. BMC Public Health 23, 1927 (2023).</w:t>
      </w:r>
    </w:p>
  </w:endnote>
  <w:endnote w:id="6">
    <w:p w14:paraId="794CB203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Zhang H., Xu J.S. Inter-provincial Comparative Analysis of Living Care Subsidies for the Disabled. Journal of Zhejiang University of Technology (Social Sciences Edition),2019,18(02):179-184.</w:t>
      </w:r>
    </w:p>
  </w:endnote>
  <w:endnote w:id="7">
    <w:p w14:paraId="18AEA674">
      <w:pPr>
        <w:pStyle w:val="12"/>
        <w:rPr>
          <w:rFonts w:hint="eastAsia" w:ascii="Times New Roman" w:hAnsi="Times New Roman" w:cs="Times New Roman" w:eastAsiaTheme="minorEastAsia"/>
          <w:szCs w:val="21"/>
          <w:lang w:val="en-US" w:eastAsia="zh-CN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default" w:ascii="Times New Roman" w:hAnsi="Times New Roman" w:cs="Times New Roman"/>
          <w:szCs w:val="24"/>
        </w:rPr>
        <w:t xml:space="preserve">Li D, He J, Liang Y. Gender Gap in Pension Income and Causes. </w:t>
      </w:r>
      <w:r>
        <w:rPr>
          <w:rFonts w:hint="default" w:ascii="Times New Roman" w:hAnsi="Times New Roman" w:cs="Times New Roman"/>
          <w:i/>
          <w:szCs w:val="24"/>
        </w:rPr>
        <w:t>Aging Research</w:t>
      </w:r>
      <w:r>
        <w:rPr>
          <w:rFonts w:hint="default" w:ascii="Times New Roman" w:hAnsi="Times New Roman" w:cs="Times New Roman"/>
          <w:szCs w:val="24"/>
        </w:rPr>
        <w:t>. 2024;11(6):2337-2346</w:t>
      </w:r>
      <w:r>
        <w:rPr>
          <w:rFonts w:hint="eastAsia" w:ascii="Times New Roman" w:hAnsi="Times New Roman" w:cs="Times New Roman"/>
          <w:szCs w:val="24"/>
          <w:lang w:val="en-US" w:eastAsia="zh-CN"/>
        </w:rPr>
        <w:t>.</w:t>
      </w:r>
    </w:p>
  </w:endnote>
  <w:endnote w:id="8">
    <w:p w14:paraId="33FC3237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Ministry of Human Resources and Social Security of the People’s Republic of China. (2024). 2023 Statistical Bulletin on Human Resources and Social Security Development. https://www.mohrss.gov.cn/xxgk2020/fdzdgknr/ghtj/tj/ndtj/202406/t20240617_520366.html</w:t>
      </w:r>
    </w:p>
  </w:endnote>
  <w:endnote w:id="9">
    <w:p w14:paraId="794CB205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Bai R, Wu W, Dong W, Liu J, Yang L, Lyu J. Forecasting the populations of overweight and obese Chinese adults. Diabetes Metab Syndr Obes. 2020;13:4849-4857. doi:10.2147/DMSO.S274110</w:t>
      </w:r>
    </w:p>
  </w:endnote>
  <w:endnote w:id="10">
    <w:p w14:paraId="794CB206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National Bureau of Statistics of China. Urban surveyed unemployment rate in December 2024. https://data.stats.gov.cn/easyquery.htm?cn=A01&amp;zb=A0E01&amp;sj=202501</w:t>
      </w:r>
    </w:p>
  </w:endnote>
  <w:endnote w:id="11">
    <w:p w14:paraId="794CB207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Fonts w:ascii="Times New Roman" w:hAnsi="Times New Roman" w:cs="Times New Roman"/>
          <w:szCs w:val="21"/>
        </w:rPr>
        <w:t xml:space="preserve"> National Development and Reform Commission. Reemployment of the elderly releases demographic dividend, 2023. https://www.ndrc.gov.cn/fggz/jyysr/jysrsbxf/202305/t20230530_1356850.html</w:t>
      </w:r>
    </w:p>
  </w:endnote>
  <w:endnote w:id="12">
    <w:p w14:paraId="794CB208">
      <w:pPr>
        <w:pStyle w:val="12"/>
        <w:rPr>
          <w:rFonts w:ascii="Times New Roman" w:hAnsi="Times New Roman" w:cs="Times New Roman"/>
          <w:szCs w:val="21"/>
        </w:rPr>
      </w:pPr>
      <w:r>
        <w:rPr>
          <w:rStyle w:val="23"/>
          <w:rFonts w:ascii="Times New Roman" w:hAnsi="Times New Roman" w:cs="Times New Roman"/>
          <w:szCs w:val="21"/>
          <w:vertAlign w:val="baseline"/>
        </w:rPr>
        <w:endnoteRef/>
      </w:r>
      <w:r>
        <w:rPr>
          <w:rStyle w:val="23"/>
          <w:rFonts w:ascii="Times New Roman" w:hAnsi="Times New Roman" w:cs="Times New Roman"/>
          <w:szCs w:val="21"/>
          <w:vertAlign w:val="baseline"/>
          <w:lang w:val="da-DK"/>
        </w:rPr>
        <w:t xml:space="preserve"> </w:t>
      </w:r>
      <w:r>
        <w:rPr>
          <w:rFonts w:ascii="Times New Roman" w:hAnsi="Times New Roman" w:cs="Times New Roman"/>
          <w:szCs w:val="21"/>
          <w:lang w:val="da-DK"/>
        </w:rPr>
        <w:t xml:space="preserve">Zhu, HP., Qi, H., Liu, XH. et al. </w:t>
      </w:r>
      <w:r>
        <w:rPr>
          <w:rFonts w:ascii="Times New Roman" w:hAnsi="Times New Roman" w:cs="Times New Roman"/>
          <w:szCs w:val="21"/>
        </w:rPr>
        <w:t>The prevalence of disability and associated factors among community adults in the baseline of CHCN-BTH Cohort Study. MC Public Health (2023) 23:1727.</w:t>
      </w:r>
    </w:p>
    <w:p w14:paraId="794CB209">
      <w:pPr>
        <w:pStyle w:val="1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CB1FA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4CB20A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4CB20A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  <w:endnote w:id="26"/>
    <w:endnote w:id="27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77"/>
    <w:rsid w:val="00017BA7"/>
    <w:rsid w:val="00020B2F"/>
    <w:rsid w:val="00045BA8"/>
    <w:rsid w:val="0006552D"/>
    <w:rsid w:val="00076A20"/>
    <w:rsid w:val="00081F92"/>
    <w:rsid w:val="000C1F63"/>
    <w:rsid w:val="000C236E"/>
    <w:rsid w:val="000C3B61"/>
    <w:rsid w:val="000C63B6"/>
    <w:rsid w:val="000D03D7"/>
    <w:rsid w:val="000F08CB"/>
    <w:rsid w:val="001130F5"/>
    <w:rsid w:val="00122033"/>
    <w:rsid w:val="001220C0"/>
    <w:rsid w:val="00126C71"/>
    <w:rsid w:val="00133985"/>
    <w:rsid w:val="00151C02"/>
    <w:rsid w:val="00167430"/>
    <w:rsid w:val="00175991"/>
    <w:rsid w:val="00185082"/>
    <w:rsid w:val="00191A82"/>
    <w:rsid w:val="001A0EBD"/>
    <w:rsid w:val="001A6F06"/>
    <w:rsid w:val="001A7899"/>
    <w:rsid w:val="001B2092"/>
    <w:rsid w:val="001B52C0"/>
    <w:rsid w:val="001B63F3"/>
    <w:rsid w:val="001C1260"/>
    <w:rsid w:val="001C3BFF"/>
    <w:rsid w:val="001D732E"/>
    <w:rsid w:val="00225FC4"/>
    <w:rsid w:val="0023659A"/>
    <w:rsid w:val="00246E05"/>
    <w:rsid w:val="002533EA"/>
    <w:rsid w:val="0028062E"/>
    <w:rsid w:val="00284558"/>
    <w:rsid w:val="00294277"/>
    <w:rsid w:val="002A1C45"/>
    <w:rsid w:val="002A307F"/>
    <w:rsid w:val="002B074C"/>
    <w:rsid w:val="002C2EFA"/>
    <w:rsid w:val="00312DE9"/>
    <w:rsid w:val="00321BC5"/>
    <w:rsid w:val="00326481"/>
    <w:rsid w:val="003347BF"/>
    <w:rsid w:val="00335A8B"/>
    <w:rsid w:val="00383AD3"/>
    <w:rsid w:val="003951C1"/>
    <w:rsid w:val="003A1E6D"/>
    <w:rsid w:val="003C112F"/>
    <w:rsid w:val="003C45A7"/>
    <w:rsid w:val="003E4F3B"/>
    <w:rsid w:val="003E5D9F"/>
    <w:rsid w:val="004041CD"/>
    <w:rsid w:val="00422E71"/>
    <w:rsid w:val="00445460"/>
    <w:rsid w:val="00445E09"/>
    <w:rsid w:val="004661B2"/>
    <w:rsid w:val="004D7AD6"/>
    <w:rsid w:val="004E32EA"/>
    <w:rsid w:val="005302C1"/>
    <w:rsid w:val="00534D31"/>
    <w:rsid w:val="00543C4D"/>
    <w:rsid w:val="00544807"/>
    <w:rsid w:val="005458D5"/>
    <w:rsid w:val="00560EB4"/>
    <w:rsid w:val="005643EB"/>
    <w:rsid w:val="00572406"/>
    <w:rsid w:val="0059080F"/>
    <w:rsid w:val="005A0FD1"/>
    <w:rsid w:val="005A66E6"/>
    <w:rsid w:val="005A674E"/>
    <w:rsid w:val="006001B8"/>
    <w:rsid w:val="00600348"/>
    <w:rsid w:val="0060580E"/>
    <w:rsid w:val="00611F7C"/>
    <w:rsid w:val="00633426"/>
    <w:rsid w:val="00637B78"/>
    <w:rsid w:val="006412BD"/>
    <w:rsid w:val="00643F7F"/>
    <w:rsid w:val="006708D5"/>
    <w:rsid w:val="006752FB"/>
    <w:rsid w:val="006859A0"/>
    <w:rsid w:val="00691CA2"/>
    <w:rsid w:val="006923DA"/>
    <w:rsid w:val="006A08C0"/>
    <w:rsid w:val="006A4819"/>
    <w:rsid w:val="006D0A99"/>
    <w:rsid w:val="006E474C"/>
    <w:rsid w:val="007354FA"/>
    <w:rsid w:val="007366CE"/>
    <w:rsid w:val="00751CC1"/>
    <w:rsid w:val="00755A6A"/>
    <w:rsid w:val="00764F17"/>
    <w:rsid w:val="00770F7C"/>
    <w:rsid w:val="00771784"/>
    <w:rsid w:val="00771DEC"/>
    <w:rsid w:val="00794E23"/>
    <w:rsid w:val="007A0867"/>
    <w:rsid w:val="007A2358"/>
    <w:rsid w:val="007C06DD"/>
    <w:rsid w:val="007C385E"/>
    <w:rsid w:val="007C6F6C"/>
    <w:rsid w:val="007E6C2D"/>
    <w:rsid w:val="007E6F16"/>
    <w:rsid w:val="007F4687"/>
    <w:rsid w:val="00801315"/>
    <w:rsid w:val="00804794"/>
    <w:rsid w:val="008271F1"/>
    <w:rsid w:val="00832116"/>
    <w:rsid w:val="00837C44"/>
    <w:rsid w:val="0085598E"/>
    <w:rsid w:val="00857A24"/>
    <w:rsid w:val="00862E75"/>
    <w:rsid w:val="008755A6"/>
    <w:rsid w:val="00877A0D"/>
    <w:rsid w:val="00896F23"/>
    <w:rsid w:val="008B35C9"/>
    <w:rsid w:val="008E1EB7"/>
    <w:rsid w:val="008E7D18"/>
    <w:rsid w:val="008F1783"/>
    <w:rsid w:val="008F2E36"/>
    <w:rsid w:val="008F452B"/>
    <w:rsid w:val="00924E03"/>
    <w:rsid w:val="009278CB"/>
    <w:rsid w:val="0093463A"/>
    <w:rsid w:val="009664C3"/>
    <w:rsid w:val="00971209"/>
    <w:rsid w:val="00992ABF"/>
    <w:rsid w:val="009973B1"/>
    <w:rsid w:val="009A1ABE"/>
    <w:rsid w:val="009D52C4"/>
    <w:rsid w:val="009F7923"/>
    <w:rsid w:val="00A36741"/>
    <w:rsid w:val="00A5232B"/>
    <w:rsid w:val="00A53520"/>
    <w:rsid w:val="00A55AC1"/>
    <w:rsid w:val="00A61DAC"/>
    <w:rsid w:val="00A92599"/>
    <w:rsid w:val="00AA00F3"/>
    <w:rsid w:val="00AA1AF2"/>
    <w:rsid w:val="00AE06E7"/>
    <w:rsid w:val="00AE40C1"/>
    <w:rsid w:val="00B14EFD"/>
    <w:rsid w:val="00B17630"/>
    <w:rsid w:val="00B26C55"/>
    <w:rsid w:val="00B45D1C"/>
    <w:rsid w:val="00B46A8D"/>
    <w:rsid w:val="00B55F43"/>
    <w:rsid w:val="00B669E7"/>
    <w:rsid w:val="00B678B0"/>
    <w:rsid w:val="00B716A2"/>
    <w:rsid w:val="00B719BC"/>
    <w:rsid w:val="00B80505"/>
    <w:rsid w:val="00B92F47"/>
    <w:rsid w:val="00B96DE9"/>
    <w:rsid w:val="00BD6665"/>
    <w:rsid w:val="00BE7C06"/>
    <w:rsid w:val="00BF10DA"/>
    <w:rsid w:val="00C00E93"/>
    <w:rsid w:val="00C11B05"/>
    <w:rsid w:val="00C21800"/>
    <w:rsid w:val="00C661FE"/>
    <w:rsid w:val="00C911AC"/>
    <w:rsid w:val="00C971E2"/>
    <w:rsid w:val="00CC4A16"/>
    <w:rsid w:val="00CC7688"/>
    <w:rsid w:val="00CD2554"/>
    <w:rsid w:val="00CF6E06"/>
    <w:rsid w:val="00D05788"/>
    <w:rsid w:val="00D5420A"/>
    <w:rsid w:val="00D62D7B"/>
    <w:rsid w:val="00D63247"/>
    <w:rsid w:val="00D643D0"/>
    <w:rsid w:val="00D97086"/>
    <w:rsid w:val="00D97640"/>
    <w:rsid w:val="00DA1E9F"/>
    <w:rsid w:val="00DC3D2A"/>
    <w:rsid w:val="00DD087C"/>
    <w:rsid w:val="00DE7EC0"/>
    <w:rsid w:val="00E0124A"/>
    <w:rsid w:val="00E04371"/>
    <w:rsid w:val="00E07277"/>
    <w:rsid w:val="00E12110"/>
    <w:rsid w:val="00E12E3C"/>
    <w:rsid w:val="00E51812"/>
    <w:rsid w:val="00E621C6"/>
    <w:rsid w:val="00E65459"/>
    <w:rsid w:val="00E734F1"/>
    <w:rsid w:val="00E81E7B"/>
    <w:rsid w:val="00E85E92"/>
    <w:rsid w:val="00EB3298"/>
    <w:rsid w:val="00EB5340"/>
    <w:rsid w:val="00EC2C26"/>
    <w:rsid w:val="00EC43C8"/>
    <w:rsid w:val="00EF05CE"/>
    <w:rsid w:val="00EF5A99"/>
    <w:rsid w:val="00F03F2C"/>
    <w:rsid w:val="00F11368"/>
    <w:rsid w:val="00F11498"/>
    <w:rsid w:val="00FA7DCF"/>
    <w:rsid w:val="00FB24B6"/>
    <w:rsid w:val="00FC6B74"/>
    <w:rsid w:val="00FE20D7"/>
    <w:rsid w:val="00FF06D8"/>
    <w:rsid w:val="00FF3F6A"/>
    <w:rsid w:val="161218AC"/>
    <w:rsid w:val="1DB1286F"/>
    <w:rsid w:val="2FEF63EC"/>
    <w:rsid w:val="525F3194"/>
    <w:rsid w:val="55719707"/>
    <w:rsid w:val="5FC730A7"/>
    <w:rsid w:val="6F6E095D"/>
    <w:rsid w:val="6FDF206B"/>
    <w:rsid w:val="73FF1625"/>
    <w:rsid w:val="74DF0CC1"/>
    <w:rsid w:val="7F9C39F2"/>
    <w:rsid w:val="7FB7029C"/>
    <w:rsid w:val="7FF77F86"/>
    <w:rsid w:val="7FFE6E89"/>
    <w:rsid w:val="B7D71FE0"/>
    <w:rsid w:val="BBFBE35F"/>
    <w:rsid w:val="D7F60883"/>
    <w:rsid w:val="FB9F71B8"/>
    <w:rsid w:val="FD614C8D"/>
    <w:rsid w:val="FDFB59C6"/>
    <w:rsid w:val="FDFC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he-IL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3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3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endnote text"/>
    <w:basedOn w:val="1"/>
    <w:link w:val="51"/>
    <w:semiHidden/>
    <w:unhideWhenUsed/>
    <w:qFormat/>
    <w:uiPriority w:val="99"/>
    <w:pPr>
      <w:snapToGrid w:val="0"/>
      <w:jc w:val="left"/>
    </w:pPr>
  </w:style>
  <w:style w:type="paragraph" w:styleId="13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footnote text"/>
    <w:basedOn w:val="1"/>
    <w:link w:val="53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Title"/>
    <w:basedOn w:val="1"/>
    <w:next w:val="1"/>
    <w:link w:val="3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endnote reference"/>
    <w:basedOn w:val="21"/>
    <w:semiHidden/>
    <w:unhideWhenUsed/>
    <w:qFormat/>
    <w:uiPriority w:val="99"/>
    <w:rPr>
      <w:vertAlign w:val="superscript"/>
    </w:rPr>
  </w:style>
  <w:style w:type="character" w:styleId="24">
    <w:name w:val="FollowedHyperlink"/>
    <w:basedOn w:val="21"/>
    <w:semiHidden/>
    <w:unhideWhenUsed/>
    <w:qFormat/>
    <w:uiPriority w:val="99"/>
    <w:rPr>
      <w:color w:val="800080"/>
      <w:u w:val="single"/>
    </w:rPr>
  </w:style>
  <w:style w:type="character" w:styleId="25">
    <w:name w:val="Emphasis"/>
    <w:basedOn w:val="21"/>
    <w:qFormat/>
    <w:uiPriority w:val="20"/>
    <w:rPr>
      <w:i/>
    </w:rPr>
  </w:style>
  <w:style w:type="character" w:styleId="26">
    <w:name w:val="Hyperlink"/>
    <w:basedOn w:val="2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footnote reference"/>
    <w:basedOn w:val="21"/>
    <w:semiHidden/>
    <w:unhideWhenUsed/>
    <w:qFormat/>
    <w:uiPriority w:val="99"/>
    <w:rPr>
      <w:vertAlign w:val="superscript"/>
    </w:rPr>
  </w:style>
  <w:style w:type="character" w:customStyle="1" w:styleId="28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9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0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1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2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3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4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8">
    <w:name w:val="副标题 字符"/>
    <w:basedOn w:val="21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Quote"/>
    <w:basedOn w:val="1"/>
    <w:next w:val="1"/>
    <w:link w:val="4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">
    <w:name w:val="引用 字符"/>
    <w:basedOn w:val="21"/>
    <w:link w:val="3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1">
    <w:name w:val="List Paragraph"/>
    <w:basedOn w:val="1"/>
    <w:qFormat/>
    <w:uiPriority w:val="34"/>
    <w:pPr>
      <w:ind w:left="720"/>
      <w:contextualSpacing/>
    </w:pPr>
  </w:style>
  <w:style w:type="character" w:customStyle="1" w:styleId="42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43">
    <w:name w:val="Intense Quote"/>
    <w:basedOn w:val="1"/>
    <w:next w:val="1"/>
    <w:link w:val="4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4">
    <w:name w:val="明显引用 字符"/>
    <w:basedOn w:val="21"/>
    <w:link w:val="43"/>
    <w:qFormat/>
    <w:uiPriority w:val="30"/>
    <w:rPr>
      <w:i/>
      <w:iCs/>
      <w:color w:val="104862" w:themeColor="accent1" w:themeShade="BF"/>
    </w:rPr>
  </w:style>
  <w:style w:type="character" w:customStyle="1" w:styleId="45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6">
    <w:name w:val="页眉 字符"/>
    <w:basedOn w:val="21"/>
    <w:link w:val="14"/>
    <w:qFormat/>
    <w:uiPriority w:val="99"/>
    <w:rPr>
      <w:sz w:val="18"/>
      <w:szCs w:val="18"/>
    </w:rPr>
  </w:style>
  <w:style w:type="character" w:customStyle="1" w:styleId="47">
    <w:name w:val="页脚 字符"/>
    <w:basedOn w:val="21"/>
    <w:link w:val="13"/>
    <w:qFormat/>
    <w:uiPriority w:val="99"/>
    <w:rPr>
      <w:sz w:val="18"/>
      <w:szCs w:val="18"/>
    </w:rPr>
  </w:style>
  <w:style w:type="character" w:customStyle="1" w:styleId="48">
    <w:name w:val="font81"/>
    <w:basedOn w:val="21"/>
    <w:qFormat/>
    <w:uiPriority w:val="0"/>
    <w:rPr>
      <w:rFonts w:hint="default" w:ascii="等线" w:hAnsi="等线" w:eastAsia="等线" w:cs="等线"/>
      <w:color w:val="000000"/>
      <w:sz w:val="22"/>
      <w:szCs w:val="22"/>
      <w:u w:val="single"/>
    </w:rPr>
  </w:style>
  <w:style w:type="character" w:customStyle="1" w:styleId="49">
    <w:name w:val="font51"/>
    <w:basedOn w:val="21"/>
    <w:qFormat/>
    <w:uiPriority w:val="0"/>
    <w:rPr>
      <w:rFonts w:hint="default" w:ascii="等线" w:hAnsi="等线" w:eastAsia="等线" w:cs="等线"/>
      <w:color w:val="000000"/>
      <w:sz w:val="22"/>
      <w:szCs w:val="22"/>
      <w:u w:val="none"/>
    </w:rPr>
  </w:style>
  <w:style w:type="paragraph" w:customStyle="1" w:styleId="5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cs="Calibri" w:eastAsiaTheme="minorEastAsia"/>
      <w:color w:val="000000"/>
      <w:sz w:val="24"/>
      <w:szCs w:val="24"/>
      <w:lang w:val="en-US" w:eastAsia="zh-CN" w:bidi="he-IL"/>
    </w:rPr>
  </w:style>
  <w:style w:type="character" w:customStyle="1" w:styleId="51">
    <w:name w:val="尾注文本 字符"/>
    <w:basedOn w:val="21"/>
    <w:link w:val="12"/>
    <w:semiHidden/>
    <w:qFormat/>
    <w:uiPriority w:val="99"/>
  </w:style>
  <w:style w:type="character" w:customStyle="1" w:styleId="52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3">
    <w:name w:val="脚注文本 字符"/>
    <w:basedOn w:val="21"/>
    <w:link w:val="16"/>
    <w:semiHidden/>
    <w:qFormat/>
    <w:uiPriority w:val="99"/>
    <w:rPr>
      <w:sz w:val="18"/>
      <w:szCs w:val="18"/>
    </w:rPr>
  </w:style>
  <w:style w:type="paragraph" w:customStyle="1" w:styleId="5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he-I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Novo Nordisk</Company>
  <Pages>3</Pages>
  <Words>612</Words>
  <Characters>3003</Characters>
  <Lines>289</Lines>
  <Paragraphs>238</Paragraphs>
  <TotalTime>3</TotalTime>
  <ScaleCrop>false</ScaleCrop>
  <LinksUpToDate>false</LinksUpToDate>
  <CharactersWithSpaces>3402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2025-06-13T22:23:00Z</dcterms:created>
  <dc:creator>HWZO (Zhao Haiwei, Vivian)</dc:creator>
  <cp:lastModifiedBy>贾茹旭</cp:lastModifiedBy>
  <dcterms:modified xsi:type="dcterms:W3CDTF">2026-07-12T07:46:33Z</dcterms:modified>
  <cp:revision>191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4FF1C701D7B146D88E8E39C2A89077E2_13</vt:lpwstr>
  </property>
  <property fmtid="{D5CDD505-2E9C-101B-9397-08002B2CF9AE}" pid="4" name="KSOTemplateDocerSaveRecord">
    <vt:lpwstr>eyJoZGlkIjoiZWY1ZDZhZTM2NjZjMjhlMGQ3ODBlZTllODA2YzU1OGIiLCJ1c2VySWQiOiIxNjYyNDkyMTA2In0=</vt:lpwstr>
  </property>
</Properties>
</file>