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30FE5">
      <w:pPr>
        <w:keepNext/>
        <w:adjustRightInd w:val="0"/>
        <w:snapToGrid w:val="0"/>
        <w:spacing w:line="360" w:lineRule="auto"/>
        <w:ind w:firstLine="420"/>
        <w:jc w:val="center"/>
        <w:rPr>
          <w:sz w:val="21"/>
          <w:szCs w:val="21"/>
        </w:rPr>
      </w:pPr>
      <w:r>
        <w:rPr>
          <w:rFonts w:hint="eastAsia"/>
        </w:rPr>
        <w:t>s</w:t>
      </w:r>
      <w:r>
        <w:t>upplementary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>t</w:t>
      </w:r>
      <w:r>
        <w:rPr>
          <w:sz w:val="21"/>
          <w:szCs w:val="21"/>
        </w:rPr>
        <w:t xml:space="preserve">able </w:t>
      </w:r>
      <w:r>
        <w:rPr>
          <w:rFonts w:hint="eastAsia"/>
          <w:sz w:val="21"/>
          <w:szCs w:val="21"/>
          <w:lang w:val="en-US" w:eastAsia="zh-CN"/>
        </w:rPr>
        <w:t>1</w:t>
      </w:r>
      <w:r>
        <w:rPr>
          <w:sz w:val="21"/>
          <w:szCs w:val="21"/>
        </w:rPr>
        <w:t>. Grounded theory analysis of open coding for OHL attributes</w:t>
      </w:r>
    </w:p>
    <w:tbl>
      <w:tblPr>
        <w:tblStyle w:val="2"/>
        <w:tblW w:w="5000" w:type="pct"/>
        <w:tblInd w:w="0" w:type="dxa"/>
        <w:tblBorders>
          <w:top w:val="single" w:color="000000" w:sz="8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8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3"/>
        <w:gridCol w:w="4989"/>
      </w:tblGrid>
      <w:tr w14:paraId="300BBCF1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A7E070C">
            <w:pPr>
              <w:widowControl/>
              <w:adjustRightInd w:val="0"/>
              <w:snapToGrid w:val="0"/>
              <w:spacing w:line="360" w:lineRule="auto"/>
              <w:ind w:firstLine="48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I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nitial categories(22)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A9E578B">
            <w:pPr>
              <w:widowControl/>
              <w:adjustRightInd w:val="0"/>
              <w:snapToGrid w:val="0"/>
              <w:spacing w:line="360" w:lineRule="auto"/>
              <w:ind w:firstLine="0" w:firstLineChars="0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C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onceptualization code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(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60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)</w:t>
            </w:r>
          </w:p>
        </w:tc>
      </w:tr>
      <w:tr w14:paraId="44CD6CAD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EBF68E4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eastAsia="宋体" w:cs="Times New Roman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A1:Need for health information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E341BB0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eastAsia="宋体" w:cs="Times New Roman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eastAsia="宋体" w:cs="Times New Roman"/>
                <w:color w:val="auto"/>
                <w:sz w:val="21"/>
                <w:szCs w:val="21"/>
              </w:rPr>
              <w:t>Desire for health education from healthcare</w:t>
            </w:r>
          </w:p>
          <w:p w14:paraId="24E0D8D8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eastAsia="宋体" w:cs="Times New Roman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professionals</w:t>
            </w:r>
          </w:p>
        </w:tc>
      </w:tr>
      <w:tr w14:paraId="05D76067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1F81650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CAAC536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eastAsia="宋体" w:cs="Times New Roman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eastAsia="宋体" w:cs="Times New Roman"/>
                <w:color w:val="auto"/>
                <w:sz w:val="21"/>
                <w:szCs w:val="21"/>
              </w:rPr>
              <w:t>Desire for reliable health information through various mediums, such as WeChat, TiKtok</w:t>
            </w:r>
          </w:p>
        </w:tc>
      </w:tr>
      <w:tr w14:paraId="05661303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55615C9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A2:N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eed for health skills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6EBC003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eastAsia="宋体" w:cs="Times New Roman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eastAsia="宋体" w:cs="Times New Roman"/>
                <w:color w:val="auto"/>
                <w:sz w:val="21"/>
                <w:szCs w:val="21"/>
              </w:rPr>
              <w:t>Ability to acquire safety first aid skills</w:t>
            </w:r>
          </w:p>
        </w:tc>
      </w:tr>
      <w:tr w14:paraId="6C39B2FB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F1FF095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23D47B1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eastAsia="宋体" w:cs="Times New Roman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eastAsia="宋体" w:cs="Times New Roman"/>
                <w:color w:val="auto"/>
                <w:sz w:val="21"/>
                <w:szCs w:val="21"/>
              </w:rPr>
              <w:t>Ability to acquire disease control skills</w:t>
            </w:r>
          </w:p>
        </w:tc>
      </w:tr>
      <w:tr w14:paraId="6A2A98DA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19CA410">
            <w:pPr>
              <w:widowControl/>
              <w:adjustRightInd w:val="0"/>
              <w:snapToGrid w:val="0"/>
              <w:spacing w:line="360" w:lineRule="auto"/>
              <w:ind w:firstLine="0" w:firstLineChars="0"/>
              <w:rPr>
                <w:rFonts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A3:P</w:t>
            </w:r>
            <w:r>
              <w:rPr>
                <w:rFonts w:eastAsia="宋体" w:cs="Times New Roman"/>
                <w:color w:val="auto"/>
                <w:sz w:val="21"/>
                <w:szCs w:val="21"/>
              </w:rPr>
              <w:t>articipation in the qua</w:t>
            </w:r>
            <w:bookmarkStart w:id="0" w:name="_GoBack"/>
            <w:bookmarkEnd w:id="0"/>
            <w:r>
              <w:rPr>
                <w:rFonts w:eastAsia="宋体" w:cs="Times New Roman"/>
                <w:color w:val="auto"/>
                <w:sz w:val="21"/>
                <w:szCs w:val="21"/>
              </w:rPr>
              <w:t xml:space="preserve">lity management of </w:t>
            </w:r>
            <w:r>
              <w:rPr>
                <w:rFonts w:eastAsia="宋体" w:cs="Times New Roman"/>
                <w:color w:val="auto"/>
                <w:sz w:val="21"/>
                <w:szCs w:val="21"/>
                <w:lang w:val="en-US"/>
              </w:rPr>
              <w:t>healthcare institution</w:t>
            </w:r>
            <w:r>
              <w:rPr>
                <w:rFonts w:eastAsia="宋体" w:cs="Times New Roman"/>
                <w:color w:val="auto"/>
                <w:sz w:val="21"/>
                <w:szCs w:val="21"/>
              </w:rPr>
              <w:t>s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DBA4427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eastAsia="宋体" w:cs="Times New Roman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eastAsia="宋体" w:cs="Times New Roman"/>
                <w:color w:val="auto"/>
                <w:sz w:val="21"/>
                <w:szCs w:val="21"/>
              </w:rPr>
              <w:t>Opinions on the production of health information materials are taken on board</w:t>
            </w:r>
          </w:p>
        </w:tc>
      </w:tr>
      <w:tr w14:paraId="520CD7A8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AEBDC83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EDA43F8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B6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Opinions on the quality of healthcare services are used as a resource for quality management</w:t>
            </w:r>
          </w:p>
        </w:tc>
      </w:tr>
      <w:tr w14:paraId="6671DEB3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5D6BD5EE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A4:P</w:t>
            </w:r>
            <w:r>
              <w:rPr>
                <w:rFonts w:eastAsia="宋体" w:cs="Times New Roman"/>
                <w:color w:val="auto"/>
                <w:sz w:val="21"/>
                <w:szCs w:val="21"/>
              </w:rPr>
              <w:t xml:space="preserve">articipation 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 xml:space="preserve">in </w:t>
            </w:r>
            <w:r>
              <w:rPr>
                <w:rFonts w:eastAsia="宋体" w:cs="Times New Roman"/>
                <w:color w:val="auto"/>
                <w:sz w:val="21"/>
                <w:szCs w:val="21"/>
              </w:rPr>
              <w:t>diagnostic and treatment decisions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CF4A8D4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B7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Be able to participate in the development of treatment programs</w:t>
            </w:r>
          </w:p>
        </w:tc>
      </w:tr>
      <w:tr w14:paraId="08E2CBC2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87E2C19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E30D74A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B8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Multiple medication regimens available</w:t>
            </w:r>
          </w:p>
        </w:tc>
      </w:tr>
      <w:tr w14:paraId="02CDCB4D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632FA91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A5:E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nsur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 the quality of 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  <w:lang w:val="en-US"/>
              </w:rPr>
              <w:t>patient-clinician communication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EB5E07A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B9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Master Communication Strategies</w:t>
            </w:r>
          </w:p>
        </w:tc>
      </w:tr>
      <w:tr w14:paraId="07898339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1531608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AFD6893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B10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Give patients plenty of time to understand</w:t>
            </w:r>
          </w:p>
        </w:tc>
      </w:tr>
      <w:tr w14:paraId="6AEAB636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2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4D980EA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0C22988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B11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Ensure patients can fully understand</w:t>
            </w:r>
          </w:p>
        </w:tc>
      </w:tr>
      <w:tr w14:paraId="759248B1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0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FAC5267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hint="default" w:ascii="Times New Roman Regular" w:hAnsi="Times New Roman Regular" w:eastAsia="宋体" w:cs="Times New Roman Regular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A6:R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educ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 the contradiction of high-risk aspects of 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  <w:lang w:val="en-US"/>
              </w:rPr>
              <w:t>patient-clinician communication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0DE23C4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B12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Communication of drug use</w:t>
            </w:r>
          </w:p>
        </w:tc>
      </w:tr>
      <w:tr w14:paraId="2A8CFF18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5875784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BC44057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B13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Communication of special inspections</w:t>
            </w:r>
          </w:p>
        </w:tc>
      </w:tr>
      <w:tr w14:paraId="24BB577C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8AECEBB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C798692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B14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Communication in the referral chain</w:t>
            </w:r>
          </w:p>
        </w:tc>
      </w:tr>
      <w:tr w14:paraId="2E3ABF4D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F26AFA7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C03DAC4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B15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Communication of changes in the patient’s condition</w:t>
            </w:r>
          </w:p>
        </w:tc>
      </w:tr>
      <w:tr w14:paraId="59421BBE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2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D2B4A0F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A7:C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lear explanations about medical costs and health insurance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B2D7493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B16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Timely notification of patients of the utilization of medical expenses</w:t>
            </w:r>
          </w:p>
        </w:tc>
      </w:tr>
      <w:tr w14:paraId="0914E628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3217781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73A6478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B17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Timely processing of patient medical expenses</w:t>
            </w:r>
          </w:p>
        </w:tc>
      </w:tr>
      <w:tr w14:paraId="5F06956C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E8CF6B8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96B6F17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B18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Inform the patient or family of health insurance coverage and sign an informed consent form</w:t>
            </w:r>
          </w:p>
        </w:tc>
      </w:tr>
      <w:tr w14:paraId="49D6B2BE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15F6C78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A8:D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iverse and easy-to-understand forms of health education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7269160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B19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Mainly oral preaching</w:t>
            </w:r>
          </w:p>
        </w:tc>
      </w:tr>
      <w:tr w14:paraId="061F4835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F32F618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57F600C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B20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Combination of written sermons, hands-on demonstrations, educational videos</w:t>
            </w:r>
          </w:p>
        </w:tc>
      </w:tr>
      <w:tr w14:paraId="0F9A901A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E7C9B41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4DD439F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B21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Avoid medical terms and use more analogies and drawings</w:t>
            </w:r>
          </w:p>
        </w:tc>
      </w:tr>
      <w:tr w14:paraId="5D5E978D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60CB832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A9:E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nsur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e 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the effectiveness of health education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8BF0418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B22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Evaluat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 the effectiveness of patient health education using the teach-back method</w:t>
            </w:r>
          </w:p>
        </w:tc>
      </w:tr>
      <w:tr w14:paraId="0BA73334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F8D2445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815766C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B23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Regular monitoring of patient health behaviors</w:t>
            </w:r>
          </w:p>
        </w:tc>
      </w:tr>
      <w:tr w14:paraId="24C7A673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D6644CA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A10:A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ssess patients’ health literacy level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1F3A017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B24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Ability to assess patients for HL</w:t>
            </w:r>
          </w:p>
        </w:tc>
      </w:tr>
      <w:tr w14:paraId="0E44CC0C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9C6A963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A643DC3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B25</w:t>
            </w:r>
            <w:r>
              <w:rPr>
                <w:rFonts w:hint="eastAsia" w:eastAsia="宋体" w:cs="Times New Roman"/>
                <w:color w:val="auto"/>
                <w:sz w:val="21"/>
                <w:szCs w:val="21"/>
              </w:rPr>
              <w:t>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Realize the importance of evaluating patient’s HL</w:t>
            </w:r>
          </w:p>
        </w:tc>
      </w:tr>
      <w:tr w14:paraId="6A96FAB5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52D89A2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A11:F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ocus on the needs of people with 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  <w:lang w:val="en-US" w:eastAsia="zh-CN"/>
              </w:rPr>
              <w:t>i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nsufficient 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 health literacy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EE8FB77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B26: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Provid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 equitable health services</w:t>
            </w:r>
          </w:p>
        </w:tc>
      </w:tr>
      <w:tr w14:paraId="282BB014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06C6773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164F3AE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B27: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Respect, accept patients and avoid stigmatization</w:t>
            </w:r>
          </w:p>
        </w:tc>
      </w:tr>
      <w:tr w14:paraId="0AD1FFA3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B9CB048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A12:C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omplete physical facilities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9B8379D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B28: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Areas dedicated to health education</w:t>
            </w:r>
          </w:p>
        </w:tc>
      </w:tr>
      <w:tr w14:paraId="5D9D0C43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FD3E30B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1F138B6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B29: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Equipment to conduct health education is available</w:t>
            </w:r>
          </w:p>
        </w:tc>
      </w:tr>
      <w:tr w14:paraId="7F3B6E52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51152F8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96C06DE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B30: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Provision of accessible facilities</w:t>
            </w:r>
          </w:p>
        </w:tc>
      </w:tr>
      <w:tr w14:paraId="4A8BFD5E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FBF440A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A13:A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ccessible, convenient and easy-to-use internet platform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568AF75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B31: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Unified patient access portal with centralized functionality</w:t>
            </w:r>
          </w:p>
        </w:tc>
      </w:tr>
      <w:tr w14:paraId="2C3DAA52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8E80E22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C65E9D3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B32: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Portal interface layout is clearly delineated and easy to operate</w:t>
            </w:r>
          </w:p>
        </w:tc>
      </w:tr>
      <w:tr w14:paraId="74C67FE0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CC133E1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760F582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B33: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Provision of Internet Hospital Operation Guidelines</w:t>
            </w:r>
          </w:p>
        </w:tc>
      </w:tr>
      <w:tr w14:paraId="71CEBEB9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3ACFC62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5250966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B34: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Support for medical insurance use</w:t>
            </w:r>
          </w:p>
        </w:tc>
      </w:tr>
      <w:tr w14:paraId="021B1506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4100A28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A14:C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onvenient and easy-to-understand medical guidance system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A4CC8C2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B35: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Guide signs are clear and easy to understand</w:t>
            </w:r>
          </w:p>
        </w:tc>
      </w:tr>
      <w:tr w14:paraId="742B2767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7D07E79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4597A19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B36: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Hospital flowcharts are accessible and easy to understand</w:t>
            </w:r>
          </w:p>
        </w:tc>
      </w:tr>
      <w:tr w14:paraId="112F7740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6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54F0051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079254B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B37: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Guides help patients find their way 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in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 the hospital</w:t>
            </w:r>
          </w:p>
        </w:tc>
      </w:tr>
      <w:tr w14:paraId="52295301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1FCC036F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A15:P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ublic announcement of medical fees and provision of ways for patients to self-check their own fees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2F4B8ED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B38: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Set up signboard to publicize medical expenses</w:t>
            </w:r>
          </w:p>
        </w:tc>
      </w:tr>
      <w:tr w14:paraId="0E172591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0F263DD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3106C09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B39: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Provision of cost-checking facilities in hospitals</w:t>
            </w:r>
          </w:p>
        </w:tc>
      </w:tr>
      <w:tr w14:paraId="7E1CE92F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1174294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A16:E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quip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 human resources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FD82DAA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B40: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Adequate staffing of medical guides</w:t>
            </w:r>
          </w:p>
        </w:tc>
      </w:tr>
      <w:tr w14:paraId="611C4849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7ADEC6B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9AC61F6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B41: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Equipped with highly skilled caregivers</w:t>
            </w:r>
          </w:p>
        </w:tc>
      </w:tr>
      <w:tr w14:paraId="72BABFB2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504B7BE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896BC00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B42: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Dedicated position for HL work</w:t>
            </w:r>
          </w:p>
        </w:tc>
      </w:tr>
      <w:tr w14:paraId="06B5F73C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6B0ED04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A17:P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rovid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 regular training, assessing healthcare workers’ knowledge and skills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36C686F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B43: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Train and assess professional knowledge and skills of medical and nursing staff</w:t>
            </w:r>
          </w:p>
        </w:tc>
      </w:tr>
      <w:tr w14:paraId="593820FA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665267D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71E90A8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B44: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Train and assess communication skills of medical and nursing staff</w:t>
            </w:r>
          </w:p>
        </w:tc>
      </w:tr>
      <w:tr w14:paraId="01B22D5D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9FA3917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9BEBC05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B45: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Train and assess health education capacity of medical and nursing staff</w:t>
            </w:r>
          </w:p>
        </w:tc>
      </w:tr>
      <w:tr w14:paraId="37E91962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2F41833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F597D1A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B46: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Organize training and assessment of health insurance policies for medical and nursing personnel</w:t>
            </w:r>
          </w:p>
        </w:tc>
      </w:tr>
      <w:tr w14:paraId="172C8DF3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A0FF0EA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A18:H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andl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 patients’ complaints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649EFAA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B47: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Specialize department to manage patient complaints</w:t>
            </w:r>
          </w:p>
        </w:tc>
      </w:tr>
      <w:tr w14:paraId="5C5B1E30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8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8C9A5EA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E6D0265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B48: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Make full use of complaint information to enhance the quality of medical services</w:t>
            </w:r>
          </w:p>
        </w:tc>
      </w:tr>
      <w:tr w14:paraId="6BEE3E80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5BBE226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A19:C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onvenient and accessible medical procedures and services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FE3E357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B49: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Provide multiple ways to make an appointment</w:t>
            </w:r>
          </w:p>
        </w:tc>
      </w:tr>
      <w:tr w14:paraId="5C9EC73D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115DEDB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0FBDCC2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B50: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Provide multiple ways to book an examination</w:t>
            </w:r>
          </w:p>
        </w:tc>
      </w:tr>
      <w:tr w14:paraId="6F23E7D8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5266ADB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BC22F8D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B51: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Streamlin the process of hospital admission, refund and examination and laboratory tests</w:t>
            </w:r>
          </w:p>
        </w:tc>
      </w:tr>
      <w:tr w14:paraId="66816369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20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FD61B8E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A20:S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tandardized development of health information materials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6E5574D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B52: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Provide health information materials in various forms such as health brochures, health videos, etc.</w:t>
            </w:r>
          </w:p>
        </w:tc>
      </w:tr>
      <w:tr w14:paraId="4CC13FAF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D11DF06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3AED392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B53: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Develop criteria for assessing the quality of health information</w:t>
            </w:r>
          </w:p>
        </w:tc>
      </w:tr>
      <w:tr w14:paraId="6E7E96E5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2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06F260E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8A4353B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B54: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Health information is kept up to date</w:t>
            </w:r>
          </w:p>
        </w:tc>
      </w:tr>
      <w:tr w14:paraId="780D8850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0902858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7212A6C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B55: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Health information should be produced to meet patient needs</w:t>
            </w:r>
          </w:p>
        </w:tc>
      </w:tr>
      <w:tr w14:paraId="3342EA5B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394FFD6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0EBC4DA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B56: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Health information content should be easy to understand</w:t>
            </w:r>
          </w:p>
        </w:tc>
      </w:tr>
      <w:tr w14:paraId="61230715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1399452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A21:P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rovision of social services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03A7FA89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B57: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Health science popularization in communities, enterprises and schools</w:t>
            </w:r>
          </w:p>
        </w:tc>
      </w:tr>
      <w:tr w14:paraId="663895F4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1BA1192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4F184EEA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B58: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Provid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e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 health clinic services to the community</w:t>
            </w:r>
          </w:p>
        </w:tc>
      </w:tr>
      <w:tr w14:paraId="1087A597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35" w:hRule="atLeast"/>
        </w:trPr>
        <w:tc>
          <w:tcPr>
            <w:tcW w:w="207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0F903DD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sz w:val="21"/>
                <w:szCs w:val="21"/>
              </w:rPr>
              <w:t>A22:I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ntegration of medical resources </w:t>
            </w: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38774624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B59: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 xml:space="preserve">Establishment of medical association units with other 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  <w:lang w:val="en-US"/>
              </w:rPr>
              <w:t>healthcare institution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s</w:t>
            </w:r>
          </w:p>
        </w:tc>
      </w:tr>
      <w:tr w14:paraId="5552AF71">
        <w:tblPrEx>
          <w:tblBorders>
            <w:top w:val="single" w:color="000000" w:sz="8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8" w:space="0"/>
            <w:insideV w:val="none" w:color="auto" w:sz="0" w:space="0"/>
          </w:tblBorders>
        </w:tblPrEx>
        <w:trPr>
          <w:trHeight w:val="420" w:hRule="atLeast"/>
        </w:trPr>
        <w:tc>
          <w:tcPr>
            <w:tcW w:w="207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F9E00F2">
            <w:pPr>
              <w:widowControl/>
              <w:adjustRightInd w:val="0"/>
              <w:snapToGrid w:val="0"/>
              <w:spacing w:line="360" w:lineRule="auto"/>
              <w:ind w:firstLine="0" w:firstLineChars="0"/>
              <w:jc w:val="left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</w:p>
        </w:tc>
        <w:tc>
          <w:tcPr>
            <w:tcW w:w="2927" w:type="pct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A9F85E2">
            <w:pPr>
              <w:widowControl/>
              <w:adjustRightInd w:val="0"/>
              <w:snapToGrid w:val="0"/>
              <w:spacing w:line="360" w:lineRule="auto"/>
              <w:ind w:firstLine="0" w:firstLineChars="0"/>
              <w:textAlignment w:val="top"/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</w:pPr>
            <w:r>
              <w:rPr>
                <w:rFonts w:eastAsia="宋体" w:cs="Times New Roman"/>
                <w:color w:val="auto"/>
                <w:sz w:val="21"/>
                <w:szCs w:val="21"/>
              </w:rPr>
              <w:t>B60:</w:t>
            </w:r>
            <w:r>
              <w:rPr>
                <w:rFonts w:ascii="Times New Roman Regular" w:hAnsi="Times New Roman Regular" w:eastAsia="宋体" w:cs="Times New Roman Regular"/>
                <w:color w:val="auto"/>
                <w:sz w:val="21"/>
                <w:szCs w:val="21"/>
              </w:rPr>
              <w:t>Rely on universities to build high-quality research platforms</w:t>
            </w:r>
          </w:p>
        </w:tc>
      </w:tr>
    </w:tbl>
    <w:p w14:paraId="381B97D4">
      <w:pPr>
        <w:adjustRightInd w:val="0"/>
        <w:snapToGrid w:val="0"/>
        <w:spacing w:line="360" w:lineRule="auto"/>
        <w:ind w:firstLine="0" w:firstLineChars="0"/>
        <w:rPr>
          <w:color w:val="auto"/>
          <w:sz w:val="21"/>
        </w:rPr>
      </w:pPr>
    </w:p>
    <w:p w14:paraId="4025CDCC">
      <w:pPr>
        <w:adjustRightInd w:val="0"/>
        <w:snapToGrid w:val="0"/>
        <w:spacing w:line="360" w:lineRule="auto"/>
        <w:ind w:firstLine="0" w:firstLineChars="0"/>
        <w:rPr>
          <w:color w:val="auto"/>
          <w:sz w:val="21"/>
        </w:rPr>
      </w:pPr>
    </w:p>
    <w:p w14:paraId="771A613F">
      <w:pPr>
        <w:ind w:firstLine="48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CE6"/>
    <w:rsid w:val="00035622"/>
    <w:rsid w:val="0004091F"/>
    <w:rsid w:val="00050F60"/>
    <w:rsid w:val="000A3392"/>
    <w:rsid w:val="000D6A71"/>
    <w:rsid w:val="000E0D71"/>
    <w:rsid w:val="000F1ED5"/>
    <w:rsid w:val="00101D19"/>
    <w:rsid w:val="001038CA"/>
    <w:rsid w:val="001636D1"/>
    <w:rsid w:val="001C3912"/>
    <w:rsid w:val="001F2912"/>
    <w:rsid w:val="001F7395"/>
    <w:rsid w:val="00210129"/>
    <w:rsid w:val="002556E7"/>
    <w:rsid w:val="0027446F"/>
    <w:rsid w:val="00286762"/>
    <w:rsid w:val="002E4D01"/>
    <w:rsid w:val="00323AF8"/>
    <w:rsid w:val="0035705E"/>
    <w:rsid w:val="003C44D0"/>
    <w:rsid w:val="003D301D"/>
    <w:rsid w:val="00414FFC"/>
    <w:rsid w:val="00423104"/>
    <w:rsid w:val="00440C26"/>
    <w:rsid w:val="00445292"/>
    <w:rsid w:val="004642BC"/>
    <w:rsid w:val="00466D8C"/>
    <w:rsid w:val="00467F29"/>
    <w:rsid w:val="004B17A0"/>
    <w:rsid w:val="004B45BC"/>
    <w:rsid w:val="004B4BF1"/>
    <w:rsid w:val="004C082C"/>
    <w:rsid w:val="004C363C"/>
    <w:rsid w:val="004C5248"/>
    <w:rsid w:val="004E064A"/>
    <w:rsid w:val="00517492"/>
    <w:rsid w:val="00561367"/>
    <w:rsid w:val="00597732"/>
    <w:rsid w:val="005B2558"/>
    <w:rsid w:val="005C2F82"/>
    <w:rsid w:val="0060087F"/>
    <w:rsid w:val="0060545F"/>
    <w:rsid w:val="006108E3"/>
    <w:rsid w:val="0065564C"/>
    <w:rsid w:val="00694123"/>
    <w:rsid w:val="006D54CE"/>
    <w:rsid w:val="0072151E"/>
    <w:rsid w:val="00724292"/>
    <w:rsid w:val="00725BF1"/>
    <w:rsid w:val="0075163A"/>
    <w:rsid w:val="007553E9"/>
    <w:rsid w:val="00761D67"/>
    <w:rsid w:val="007B4569"/>
    <w:rsid w:val="00803BA2"/>
    <w:rsid w:val="00826514"/>
    <w:rsid w:val="008271BC"/>
    <w:rsid w:val="008337AD"/>
    <w:rsid w:val="00873501"/>
    <w:rsid w:val="00877EE3"/>
    <w:rsid w:val="008C3728"/>
    <w:rsid w:val="008E5B9A"/>
    <w:rsid w:val="00925E07"/>
    <w:rsid w:val="00A10F03"/>
    <w:rsid w:val="00A56E41"/>
    <w:rsid w:val="00A6770B"/>
    <w:rsid w:val="00A752FE"/>
    <w:rsid w:val="00AA6761"/>
    <w:rsid w:val="00B10EE9"/>
    <w:rsid w:val="00B73EC5"/>
    <w:rsid w:val="00BA3E0F"/>
    <w:rsid w:val="00BB2CE6"/>
    <w:rsid w:val="00BB7FAA"/>
    <w:rsid w:val="00BE24E3"/>
    <w:rsid w:val="00BF7CAE"/>
    <w:rsid w:val="00C07E77"/>
    <w:rsid w:val="00C73C40"/>
    <w:rsid w:val="00C747AC"/>
    <w:rsid w:val="00C80EE3"/>
    <w:rsid w:val="00CA371F"/>
    <w:rsid w:val="00CD286B"/>
    <w:rsid w:val="00D20E31"/>
    <w:rsid w:val="00D336D0"/>
    <w:rsid w:val="00D429F9"/>
    <w:rsid w:val="00D82BD5"/>
    <w:rsid w:val="00D90FC9"/>
    <w:rsid w:val="00DD56A0"/>
    <w:rsid w:val="00E06E89"/>
    <w:rsid w:val="00E15581"/>
    <w:rsid w:val="00E56AF4"/>
    <w:rsid w:val="00E57B38"/>
    <w:rsid w:val="00E62F52"/>
    <w:rsid w:val="00E85866"/>
    <w:rsid w:val="00E869CD"/>
    <w:rsid w:val="00ED1942"/>
    <w:rsid w:val="00ED2C0A"/>
    <w:rsid w:val="00EE01BB"/>
    <w:rsid w:val="00EE1CA3"/>
    <w:rsid w:val="00EE2296"/>
    <w:rsid w:val="00EE471B"/>
    <w:rsid w:val="00EE6616"/>
    <w:rsid w:val="00F06227"/>
    <w:rsid w:val="00F30B1B"/>
    <w:rsid w:val="00F43C41"/>
    <w:rsid w:val="00F63882"/>
    <w:rsid w:val="00F86577"/>
    <w:rsid w:val="00FA2AA9"/>
    <w:rsid w:val="00FB1F29"/>
    <w:rsid w:val="00FB34C3"/>
    <w:rsid w:val="00FD1C90"/>
    <w:rsid w:val="296CC7C4"/>
    <w:rsid w:val="6F7D76C0"/>
    <w:rsid w:val="7CDFC04E"/>
    <w:rsid w:val="7FF7D5B9"/>
    <w:rsid w:val="9B378522"/>
    <w:rsid w:val="AF9E0EBD"/>
    <w:rsid w:val="ED9913F6"/>
    <w:rsid w:val="EF3F9282"/>
    <w:rsid w:val="FEEEC87E"/>
    <w:rsid w:val="FFFCE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Theme="minorEastAsia" w:cstheme="minorBidi"/>
      <w:color w:val="000000" w:themeColor="text1"/>
      <w:kern w:val="2"/>
      <w:sz w:val="24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745</Words>
  <Characters>4250</Characters>
  <Lines>35</Lines>
  <Paragraphs>9</Paragraphs>
  <TotalTime>0</TotalTime>
  <ScaleCrop>false</ScaleCrop>
  <LinksUpToDate>false</LinksUpToDate>
  <CharactersWithSpaces>4986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2024-04-14T22:39:00Z</dcterms:created>
  <dc:creator>Haiyan Fu</dc:creator>
  <cp:lastModifiedBy>作者</cp:lastModifiedBy>
  <dcterms:modified xsi:type="dcterms:W3CDTF">2026-07-24T00:44:21Z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9D83D734FE000C7E9CFFD16869682FB3_42</vt:lpwstr>
  </property>
</Properties>
</file>