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798" w:tblpY="350"/>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261"/>
        <w:gridCol w:w="4261"/>
      </w:tblGrid>
      <w:tr w14:paraId="6484C1E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227" w:hRule="atLeast"/>
        </w:trPr>
        <w:tc>
          <w:tcPr>
            <w:tcW w:w="8522" w:type="dxa"/>
            <w:gridSpan w:val="2"/>
            <w:tcBorders>
              <w:top w:val="nil"/>
            </w:tcBorders>
            <w:vAlign w:val="center"/>
          </w:tcPr>
          <w:p w14:paraId="68BD8A3A">
            <w:pPr>
              <w:keepNext/>
              <w:adjustRightInd w:val="0"/>
              <w:snapToGrid w:val="0"/>
              <w:spacing w:line="360" w:lineRule="auto"/>
              <w:ind w:left="0" w:leftChars="0" w:firstLine="0" w:firstLineChars="0"/>
              <w:jc w:val="center"/>
              <w:rPr>
                <w:rFonts w:hint="eastAsia"/>
                <w:sz w:val="21"/>
                <w:szCs w:val="21"/>
                <w:vertAlign w:val="baseline"/>
              </w:rPr>
            </w:pPr>
            <w:r>
              <w:rPr>
                <w:rFonts w:hint="eastAsia"/>
                <w:sz w:val="21"/>
                <w:szCs w:val="21"/>
              </w:rPr>
              <w:t>supplementary</w:t>
            </w:r>
            <w:r>
              <w:rPr>
                <w:rFonts w:hint="default"/>
                <w:sz w:val="21"/>
                <w:szCs w:val="21"/>
                <w:lang w:val="en-US"/>
              </w:rPr>
              <w:t xml:space="preserve"> table 2:</w:t>
            </w:r>
            <w:r>
              <w:rPr>
                <w:rFonts w:hint="eastAsia"/>
                <w:sz w:val="21"/>
                <w:szCs w:val="21"/>
              </w:rPr>
              <w:t>The original statement of open coding</w:t>
            </w:r>
          </w:p>
        </w:tc>
      </w:tr>
      <w:tr w14:paraId="10816D2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5E6B5ED2">
            <w:pPr>
              <w:keepNext/>
              <w:adjustRightInd w:val="0"/>
              <w:snapToGrid w:val="0"/>
              <w:spacing w:line="360" w:lineRule="auto"/>
              <w:ind w:left="0" w:leftChars="0" w:firstLine="0" w:firstLineChars="0"/>
              <w:jc w:val="left"/>
              <w:rPr>
                <w:rFonts w:eastAsia="宋体" w:cs="Times New Roman"/>
                <w:color w:val="auto"/>
                <w:sz w:val="21"/>
                <w:szCs w:val="21"/>
              </w:rPr>
            </w:pPr>
            <w:r>
              <w:rPr>
                <w:rFonts w:hint="eastAsia" w:ascii="Times New Roman Regular" w:hAnsi="Times New Roman Regular" w:eastAsia="宋体" w:cs="Times New Roman Regular"/>
                <w:color w:val="auto"/>
                <w:sz w:val="21"/>
                <w:szCs w:val="21"/>
              </w:rPr>
              <w:t>C</w:t>
            </w:r>
            <w:r>
              <w:rPr>
                <w:rFonts w:ascii="Times New Roman Regular" w:hAnsi="Times New Roman Regular" w:eastAsia="宋体" w:cs="Times New Roman Regular"/>
                <w:color w:val="auto"/>
                <w:sz w:val="21"/>
                <w:szCs w:val="21"/>
              </w:rPr>
              <w:t>onceptualization code</w:t>
            </w:r>
            <w:r>
              <w:rPr>
                <w:rFonts w:hint="eastAsia" w:ascii="Times New Roman Regular" w:hAnsi="Times New Roman Regular" w:eastAsia="宋体" w:cs="Times New Roman Regular"/>
                <w:color w:val="auto"/>
                <w:sz w:val="21"/>
                <w:szCs w:val="21"/>
              </w:rPr>
              <w:t>(</w:t>
            </w:r>
            <w:r>
              <w:rPr>
                <w:rFonts w:ascii="Times New Roman Regular" w:hAnsi="Times New Roman Regular" w:eastAsia="宋体" w:cs="Times New Roman Regular"/>
                <w:color w:val="auto"/>
                <w:sz w:val="21"/>
                <w:szCs w:val="21"/>
              </w:rPr>
              <w:t>60</w:t>
            </w:r>
            <w:r>
              <w:rPr>
                <w:rFonts w:hint="eastAsia" w:ascii="Times New Roman Regular" w:hAnsi="Times New Roman Regular" w:eastAsia="宋体" w:cs="Times New Roman Regular"/>
                <w:color w:val="auto"/>
                <w:sz w:val="21"/>
                <w:szCs w:val="21"/>
              </w:rPr>
              <w:t>)</w:t>
            </w:r>
          </w:p>
        </w:tc>
        <w:tc>
          <w:tcPr>
            <w:tcW w:w="4261" w:type="dxa"/>
            <w:tcBorders>
              <w:tl2br w:val="nil"/>
              <w:tr2bl w:val="nil"/>
            </w:tcBorders>
            <w:vAlign w:val="top"/>
          </w:tcPr>
          <w:p w14:paraId="76B4A2BE">
            <w:pPr>
              <w:keepNext/>
              <w:adjustRightInd w:val="0"/>
              <w:snapToGrid w:val="0"/>
              <w:spacing w:line="360" w:lineRule="auto"/>
              <w:ind w:left="0" w:leftChars="0" w:firstLine="0" w:firstLineChars="0"/>
              <w:jc w:val="both"/>
              <w:rPr>
                <w:rFonts w:hint="eastAsia"/>
                <w:sz w:val="21"/>
                <w:szCs w:val="21"/>
                <w:vertAlign w:val="baseline"/>
              </w:rPr>
            </w:pPr>
            <w:r>
              <w:rPr>
                <w:rFonts w:hint="default"/>
                <w:sz w:val="21"/>
                <w:szCs w:val="21"/>
                <w:vertAlign w:val="baseline"/>
                <w:lang w:val="en-US"/>
              </w:rPr>
              <w:t>O</w:t>
            </w:r>
            <w:r>
              <w:rPr>
                <w:rFonts w:hint="eastAsia"/>
                <w:sz w:val="21"/>
                <w:szCs w:val="21"/>
                <w:vertAlign w:val="baseline"/>
              </w:rPr>
              <w:t>riginal statement</w:t>
            </w:r>
          </w:p>
        </w:tc>
      </w:tr>
      <w:tr w14:paraId="41C7468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45B883BA">
            <w:pPr>
              <w:widowControl/>
              <w:adjustRightInd w:val="0"/>
              <w:snapToGrid w:val="0"/>
              <w:spacing w:line="360" w:lineRule="auto"/>
              <w:ind w:firstLine="0" w:firstLineChars="0"/>
              <w:textAlignment w:val="top"/>
              <w:rPr>
                <w:rFonts w:eastAsia="宋体" w:cs="Times New Roman"/>
                <w:color w:val="auto"/>
                <w:sz w:val="21"/>
                <w:szCs w:val="21"/>
              </w:rPr>
            </w:pPr>
            <w:r>
              <w:rPr>
                <w:rFonts w:eastAsia="宋体" w:cs="Times New Roman"/>
                <w:color w:val="auto"/>
                <w:sz w:val="21"/>
                <w:szCs w:val="21"/>
              </w:rPr>
              <w:t>B1</w:t>
            </w:r>
            <w:r>
              <w:rPr>
                <w:rFonts w:hint="eastAsia" w:eastAsia="宋体" w:cs="Times New Roman"/>
                <w:color w:val="auto"/>
                <w:sz w:val="21"/>
                <w:szCs w:val="21"/>
              </w:rPr>
              <w:t>:</w:t>
            </w:r>
            <w:r>
              <w:rPr>
                <w:rFonts w:eastAsia="宋体" w:cs="Times New Roman"/>
                <w:color w:val="auto"/>
                <w:sz w:val="21"/>
                <w:szCs w:val="21"/>
              </w:rPr>
              <w:t>Desire for health education from healthcare</w:t>
            </w:r>
          </w:p>
          <w:p w14:paraId="316204F4">
            <w:pPr>
              <w:keepNext/>
              <w:adjustRightInd w:val="0"/>
              <w:snapToGrid w:val="0"/>
              <w:spacing w:line="360" w:lineRule="auto"/>
              <w:jc w:val="left"/>
              <w:rPr>
                <w:sz w:val="21"/>
                <w:szCs w:val="21"/>
                <w:vertAlign w:val="baseline"/>
              </w:rPr>
            </w:pPr>
            <w:r>
              <w:rPr>
                <w:rFonts w:eastAsia="宋体" w:cs="Times New Roman"/>
                <w:color w:val="auto"/>
                <w:sz w:val="21"/>
                <w:szCs w:val="21"/>
              </w:rPr>
              <w:t>professionals</w:t>
            </w:r>
            <w:bookmarkStart w:id="0" w:name="_GoBack"/>
            <w:bookmarkEnd w:id="0"/>
          </w:p>
        </w:tc>
        <w:tc>
          <w:tcPr>
            <w:tcW w:w="4261" w:type="dxa"/>
            <w:tcBorders>
              <w:tl2br w:val="nil"/>
              <w:tr2bl w:val="nil"/>
            </w:tcBorders>
            <w:vAlign w:val="top"/>
          </w:tcPr>
          <w:p w14:paraId="4E492A41">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patients</w:t>
            </w:r>
            <w:r>
              <w:rPr>
                <w:rFonts w:hint="eastAsia"/>
                <w:sz w:val="21"/>
                <w:szCs w:val="21"/>
                <w:vertAlign w:val="baseline"/>
                <w:lang w:val="en-US" w:eastAsia="zh-CN"/>
              </w:rPr>
              <w:t xml:space="preserve"> </w:t>
            </w:r>
            <w:r>
              <w:rPr>
                <w:rFonts w:hint="eastAsia"/>
                <w:sz w:val="21"/>
                <w:szCs w:val="21"/>
                <w:vertAlign w:val="baseline"/>
              </w:rPr>
              <w:t>hope that doctors and nurses can tell us more about what we should pay attention to with our illness, because the information they provide as professionals is more reliable. However, they are too busy with work and don't talk much.</w:t>
            </w:r>
          </w:p>
        </w:tc>
      </w:tr>
      <w:tr w14:paraId="78D13C7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14D562BC">
            <w:pPr>
              <w:keepNext/>
              <w:adjustRightInd w:val="0"/>
              <w:snapToGrid w:val="0"/>
              <w:spacing w:line="360" w:lineRule="auto"/>
              <w:ind w:left="0" w:leftChars="0" w:firstLine="0" w:firstLineChars="0"/>
              <w:jc w:val="left"/>
              <w:rPr>
                <w:sz w:val="21"/>
                <w:szCs w:val="21"/>
                <w:vertAlign w:val="baseline"/>
              </w:rPr>
            </w:pPr>
            <w:r>
              <w:rPr>
                <w:rFonts w:eastAsia="宋体" w:cs="Times New Roman"/>
                <w:color w:val="auto"/>
                <w:sz w:val="21"/>
                <w:szCs w:val="21"/>
              </w:rPr>
              <w:t>B2</w:t>
            </w:r>
            <w:r>
              <w:rPr>
                <w:rFonts w:hint="eastAsia" w:eastAsia="宋体" w:cs="Times New Roman"/>
                <w:color w:val="auto"/>
                <w:sz w:val="21"/>
                <w:szCs w:val="21"/>
              </w:rPr>
              <w:t>:</w:t>
            </w:r>
            <w:r>
              <w:rPr>
                <w:rFonts w:eastAsia="宋体" w:cs="Times New Roman"/>
                <w:color w:val="auto"/>
                <w:sz w:val="21"/>
                <w:szCs w:val="21"/>
              </w:rPr>
              <w:t>Desire for reliable health information through various mediums, such as WeChat, TiKtok</w:t>
            </w:r>
          </w:p>
        </w:tc>
        <w:tc>
          <w:tcPr>
            <w:tcW w:w="4261" w:type="dxa"/>
            <w:tcBorders>
              <w:tl2br w:val="nil"/>
              <w:tr2bl w:val="nil"/>
            </w:tcBorders>
          </w:tcPr>
          <w:p w14:paraId="7CF7D1DC">
            <w:pPr>
              <w:keepNext w:val="0"/>
              <w:keepLines w:val="0"/>
              <w:widowControl w:val="0"/>
              <w:suppressLineNumbers w:val="0"/>
              <w:spacing w:before="0" w:beforeAutospacing="0" w:after="0" w:afterAutospacing="0"/>
              <w:ind w:left="0" w:leftChars="0" w:right="0" w:firstLine="0" w:firstLineChars="0"/>
              <w:jc w:val="both"/>
              <w:rPr>
                <w:sz w:val="21"/>
                <w:szCs w:val="21"/>
                <w:vertAlign w:val="baseline"/>
              </w:rPr>
            </w:pPr>
            <w:r>
              <w:rPr>
                <w:rFonts w:hint="eastAsia"/>
                <w:sz w:val="21"/>
                <w:szCs w:val="21"/>
                <w:vertAlign w:val="baseline"/>
              </w:rPr>
              <w:t xml:space="preserve">When I'm browsing </w:t>
            </w:r>
            <w:r>
              <w:rPr>
                <w:rFonts w:eastAsia="宋体" w:cs="Times New Roman"/>
                <w:color w:val="auto"/>
                <w:sz w:val="21"/>
                <w:szCs w:val="21"/>
              </w:rPr>
              <w:t>TiKtok</w:t>
            </w:r>
            <w:r>
              <w:rPr>
                <w:rFonts w:hint="eastAsia"/>
                <w:sz w:val="21"/>
                <w:szCs w:val="21"/>
                <w:vertAlign w:val="baseline"/>
              </w:rPr>
              <w:t xml:space="preserve">, I often see doctors sharing some popular science knowledge. It would be great if this hospital could also release some popular science videos through platforms like wechat and </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TiKtok</w:t>
            </w:r>
            <w:r>
              <w:rPr>
                <w:rFonts w:hint="eastAsia"/>
                <w:sz w:val="21"/>
                <w:szCs w:val="21"/>
                <w:vertAlign w:val="baseline"/>
              </w:rPr>
              <w:t>.</w:t>
            </w:r>
          </w:p>
        </w:tc>
      </w:tr>
      <w:tr w14:paraId="43F7A5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5CBBB962">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B3</w:t>
            </w:r>
            <w:r>
              <w:rPr>
                <w:rFonts w:hint="eastAsia" w:eastAsia="宋体" w:cs="Times New Roman"/>
                <w:color w:val="auto"/>
                <w:sz w:val="21"/>
                <w:szCs w:val="21"/>
              </w:rPr>
              <w:t>:</w:t>
            </w:r>
            <w:r>
              <w:rPr>
                <w:rFonts w:eastAsia="宋体" w:cs="Times New Roman"/>
                <w:color w:val="auto"/>
                <w:sz w:val="21"/>
                <w:szCs w:val="21"/>
              </w:rPr>
              <w:t>Ability to acquire safety first aid skills</w:t>
            </w:r>
          </w:p>
        </w:tc>
        <w:tc>
          <w:tcPr>
            <w:tcW w:w="4261" w:type="dxa"/>
            <w:tcBorders>
              <w:tl2br w:val="nil"/>
              <w:tr2bl w:val="nil"/>
            </w:tcBorders>
          </w:tcPr>
          <w:p w14:paraId="49456AD4">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One of my relatives said that sometimes doctors come to their community to teach some safety first aid skills, but it seems that our community has never organized such activities. I also want to learn skills in this regard.</w:t>
            </w:r>
          </w:p>
        </w:tc>
      </w:tr>
      <w:tr w14:paraId="79985B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56CE5083">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B4</w:t>
            </w:r>
            <w:r>
              <w:rPr>
                <w:rFonts w:hint="eastAsia" w:eastAsia="宋体" w:cs="Times New Roman"/>
                <w:color w:val="auto"/>
                <w:sz w:val="21"/>
                <w:szCs w:val="21"/>
              </w:rPr>
              <w:t>:</w:t>
            </w:r>
            <w:r>
              <w:rPr>
                <w:rFonts w:eastAsia="宋体" w:cs="Times New Roman"/>
                <w:color w:val="auto"/>
                <w:sz w:val="21"/>
                <w:szCs w:val="21"/>
              </w:rPr>
              <w:t>Ability to acquire disease control skills</w:t>
            </w:r>
          </w:p>
        </w:tc>
        <w:tc>
          <w:tcPr>
            <w:tcW w:w="4261" w:type="dxa"/>
            <w:tcBorders>
              <w:tl2br w:val="nil"/>
              <w:tr2bl w:val="nil"/>
            </w:tcBorders>
          </w:tcPr>
          <w:p w14:paraId="56AF4D68">
            <w:pPr>
              <w:keepNext/>
              <w:adjustRightInd w:val="0"/>
              <w:snapToGrid w:val="0"/>
              <w:spacing w:line="360" w:lineRule="auto"/>
              <w:ind w:left="0" w:leftChars="0" w:firstLine="0" w:firstLineChars="0"/>
              <w:jc w:val="left"/>
              <w:rPr>
                <w:sz w:val="21"/>
                <w:szCs w:val="21"/>
                <w:vertAlign w:val="baseline"/>
              </w:rPr>
            </w:pPr>
            <w:r>
              <w:rPr>
                <w:rFonts w:hint="eastAsia"/>
                <w:sz w:val="21"/>
                <w:szCs w:val="21"/>
                <w:vertAlign w:val="baseline"/>
              </w:rPr>
              <w:t>I didn't know what deep vein thrombosis was before. If someone had told me earlier, I would have taken it seriously and it wouldn't be as serious as it is now.</w:t>
            </w:r>
          </w:p>
        </w:tc>
      </w:tr>
      <w:tr w14:paraId="55006BE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045CADBA">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B5</w:t>
            </w:r>
            <w:r>
              <w:rPr>
                <w:rFonts w:hint="eastAsia" w:eastAsia="宋体" w:cs="Times New Roman"/>
                <w:color w:val="auto"/>
                <w:sz w:val="21"/>
                <w:szCs w:val="21"/>
              </w:rPr>
              <w:t>:</w:t>
            </w:r>
            <w:r>
              <w:rPr>
                <w:rFonts w:eastAsia="宋体" w:cs="Times New Roman"/>
                <w:color w:val="auto"/>
                <w:sz w:val="21"/>
                <w:szCs w:val="21"/>
              </w:rPr>
              <w:t>Opinions on the production of health information materials are taken on board</w:t>
            </w:r>
          </w:p>
        </w:tc>
        <w:tc>
          <w:tcPr>
            <w:tcW w:w="4261" w:type="dxa"/>
            <w:tcBorders>
              <w:tl2br w:val="nil"/>
              <w:tr2bl w:val="nil"/>
            </w:tcBorders>
          </w:tcPr>
          <w:p w14:paraId="74989F3A">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There are many words in this health manual that I can't understand. Sometimes I ask my daughter. I also told the nurse if it could be made simpler. They agreed verbally but didn't make any changes in reality.</w:t>
            </w:r>
          </w:p>
        </w:tc>
      </w:tr>
      <w:tr w14:paraId="3D25C2C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45160FA3">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B6</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Opinions on the quality of healthcare services are used as a resource for quality management</w:t>
            </w:r>
          </w:p>
        </w:tc>
        <w:tc>
          <w:tcPr>
            <w:tcW w:w="4261" w:type="dxa"/>
            <w:tcBorders>
              <w:tl2br w:val="nil"/>
              <w:tr2bl w:val="nil"/>
            </w:tcBorders>
          </w:tcPr>
          <w:p w14:paraId="01739723">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 xml:space="preserve"> I was hospitalized here before. After I was discharged, the hospital would call me to ask about the quality of the medical service. If the hospital can really solve our problems in this way, the quality of service will definitely get better and better.</w:t>
            </w:r>
          </w:p>
        </w:tc>
      </w:tr>
      <w:tr w14:paraId="3829559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47493654">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B7</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Be able to participate in the development of treatment programs</w:t>
            </w:r>
          </w:p>
        </w:tc>
        <w:tc>
          <w:tcPr>
            <w:tcW w:w="4261" w:type="dxa"/>
            <w:tcBorders>
              <w:tl2br w:val="nil"/>
              <w:tr2bl w:val="nil"/>
            </w:tcBorders>
          </w:tcPr>
          <w:p w14:paraId="16DF49E8">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The doctor will discuss my treatment plan with me and my family, which makes me feel respected and I trust the doctor even more.</w:t>
            </w:r>
          </w:p>
        </w:tc>
      </w:tr>
      <w:tr w14:paraId="42C4B05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394C25CE">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B8</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Multiple medication regimens available</w:t>
            </w:r>
          </w:p>
        </w:tc>
        <w:tc>
          <w:tcPr>
            <w:tcW w:w="4261" w:type="dxa"/>
            <w:tcBorders>
              <w:tl2br w:val="nil"/>
              <w:tr2bl w:val="nil"/>
            </w:tcBorders>
          </w:tcPr>
          <w:p w14:paraId="5B09750A">
            <w:pPr>
              <w:keepNext/>
              <w:adjustRightInd w:val="0"/>
              <w:snapToGrid w:val="0"/>
              <w:spacing w:line="360" w:lineRule="auto"/>
              <w:ind w:left="0" w:leftChars="0" w:firstLine="0" w:firstLineChars="0"/>
              <w:jc w:val="left"/>
              <w:rPr>
                <w:sz w:val="21"/>
                <w:szCs w:val="21"/>
                <w:vertAlign w:val="baseline"/>
              </w:rPr>
            </w:pPr>
            <w:r>
              <w:rPr>
                <w:rFonts w:hint="eastAsia"/>
                <w:sz w:val="21"/>
                <w:szCs w:val="21"/>
                <w:vertAlign w:val="baseline"/>
              </w:rPr>
              <w:t>Because my family's financial situation is not good, the doctor told me several medication plans for me to choose from. The effects and prices of each drug were explained very clearly. I think this is very good</w:t>
            </w:r>
          </w:p>
        </w:tc>
      </w:tr>
      <w:tr w14:paraId="7960A6B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5E208AE4">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B9</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Master Communication Strategies</w:t>
            </w:r>
          </w:p>
        </w:tc>
        <w:tc>
          <w:tcPr>
            <w:tcW w:w="4261" w:type="dxa"/>
            <w:tcBorders>
              <w:tl2br w:val="nil"/>
              <w:tr2bl w:val="nil"/>
            </w:tcBorders>
          </w:tcPr>
          <w:p w14:paraId="1C5E9B57">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 attach great importance to using some communication skills when communicating with patients, such as listening, eye contact and body language. This will bring me closer to the patients and many things will be solved well after communicating well with them.</w:t>
            </w:r>
          </w:p>
        </w:tc>
      </w:tr>
      <w:tr w14:paraId="5E4FA50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10A793F9">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sz w:val="21"/>
                <w:szCs w:val="21"/>
                <w:vertAlign w:val="baseline"/>
              </w:rPr>
            </w:pPr>
            <w:r>
              <w:rPr>
                <w:rFonts w:eastAsia="宋体" w:cs="Times New Roman"/>
                <w:color w:val="auto"/>
                <w:sz w:val="21"/>
                <w:szCs w:val="21"/>
              </w:rPr>
              <w:t>B10</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Give patients plenty of time to understand</w:t>
            </w:r>
          </w:p>
        </w:tc>
        <w:tc>
          <w:tcPr>
            <w:tcW w:w="4261" w:type="dxa"/>
            <w:tcBorders>
              <w:tl2br w:val="nil"/>
              <w:tr2bl w:val="nil"/>
            </w:tcBorders>
          </w:tcPr>
          <w:p w14:paraId="1C24C14B">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 feel that when I communicate with patients, I can't give them enough time to understand, especially in the outpatient department, where I have to see fifty or sixty patients a day. There's simply no time. It's a bit better in the ward.</w:t>
            </w:r>
          </w:p>
        </w:tc>
      </w:tr>
      <w:tr w14:paraId="26CBC9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0ED15E12">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B11</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Ensure patients can fully understand</w:t>
            </w:r>
          </w:p>
        </w:tc>
        <w:tc>
          <w:tcPr>
            <w:tcW w:w="4261" w:type="dxa"/>
            <w:tcBorders>
              <w:tl2br w:val="nil"/>
              <w:tr2bl w:val="nil"/>
            </w:tcBorders>
          </w:tcPr>
          <w:p w14:paraId="3BD4B954">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If the patient cannot understand the health information I provide, I will repeatedly explain it to the patient. If the patient still cannot understand, I will tell the family and let the family explain it to the patient.</w:t>
            </w:r>
          </w:p>
        </w:tc>
      </w:tr>
      <w:tr w14:paraId="73C48F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636DE207">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B12</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Communication of drug use</w:t>
            </w:r>
          </w:p>
        </w:tc>
        <w:tc>
          <w:tcPr>
            <w:tcW w:w="4261" w:type="dxa"/>
            <w:tcBorders>
              <w:tl2br w:val="nil"/>
              <w:tr2bl w:val="nil"/>
            </w:tcBorders>
          </w:tcPr>
          <w:p w14:paraId="2F69F90D">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When we use some special drugs, we will communicate with patients. For instance, if a patient needs to use some drugs but does not meet the indications for medical insurance reimbursement, we will tell the patient that they have to pay out of pocket. Most patients can understand this.</w:t>
            </w:r>
          </w:p>
        </w:tc>
      </w:tr>
      <w:tr w14:paraId="230DF3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47E16FF8">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B13</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Communication of special inspections</w:t>
            </w:r>
          </w:p>
        </w:tc>
        <w:tc>
          <w:tcPr>
            <w:tcW w:w="4261" w:type="dxa"/>
            <w:tcBorders>
              <w:tl2br w:val="nil"/>
              <w:tr2bl w:val="nil"/>
            </w:tcBorders>
          </w:tcPr>
          <w:p w14:paraId="459454AD">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Before I prescribe examinations for patients, I always ask for their opinions, especially for some more expensive ones, and we will explain them very clearly.</w:t>
            </w:r>
          </w:p>
        </w:tc>
      </w:tr>
      <w:tr w14:paraId="7277CB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5F1B4782">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B14</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Communication in the referral chain</w:t>
            </w:r>
          </w:p>
        </w:tc>
        <w:tc>
          <w:tcPr>
            <w:tcW w:w="4261" w:type="dxa"/>
            <w:tcBorders>
              <w:tl2br w:val="nil"/>
              <w:tr2bl w:val="nil"/>
            </w:tcBorders>
          </w:tcPr>
          <w:p w14:paraId="652BE23E">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If a patient needs to be referred during medical treatment, I will understand the purpose of the referral and pay attention to caring about the patient's psychology and respecting their wishes during communication.</w:t>
            </w:r>
          </w:p>
        </w:tc>
      </w:tr>
      <w:tr w14:paraId="1573B6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3409A4FF">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B15</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Communication of changes in the patient’s condition</w:t>
            </w:r>
          </w:p>
        </w:tc>
        <w:tc>
          <w:tcPr>
            <w:tcW w:w="4261" w:type="dxa"/>
            <w:tcBorders>
              <w:tl2br w:val="nil"/>
              <w:tr2bl w:val="nil"/>
            </w:tcBorders>
          </w:tcPr>
          <w:p w14:paraId="32653D4C">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When the patient's condition deteriorates, I will communicate with the family in a timely manner, accurately inform them of the situation, and at the same time comfort their emotions and provide psychological support.</w:t>
            </w:r>
          </w:p>
        </w:tc>
      </w:tr>
      <w:tr w14:paraId="096B09A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4AB2BA03">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B16</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Timely notification of patients of the utilization of medical expenses</w:t>
            </w:r>
          </w:p>
        </w:tc>
        <w:tc>
          <w:tcPr>
            <w:tcW w:w="4261" w:type="dxa"/>
            <w:tcBorders>
              <w:tl2br w:val="nil"/>
              <w:tr2bl w:val="nil"/>
            </w:tcBorders>
          </w:tcPr>
          <w:p w14:paraId="64920DF0">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When the patient's condition deteriorates, I will communicate with the family in a timely manner, accurately inform them of the situation, and at the same time comfort their emotions and provide psychological support.</w:t>
            </w:r>
          </w:p>
        </w:tc>
      </w:tr>
      <w:tr w14:paraId="3BF41F3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1DC4A2B5">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B17</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Timely processing of patient medical expenses</w:t>
            </w:r>
          </w:p>
        </w:tc>
        <w:tc>
          <w:tcPr>
            <w:tcW w:w="4261" w:type="dxa"/>
            <w:tcBorders>
              <w:tl2br w:val="nil"/>
              <w:tr2bl w:val="nil"/>
            </w:tcBorders>
          </w:tcPr>
          <w:p w14:paraId="6380F025">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If patients have any questions about their expenses, we will promptly inquire and patiently explain to them. Generally, after the explanation, patients will have no more doubts.</w:t>
            </w:r>
          </w:p>
        </w:tc>
      </w:tr>
      <w:tr w14:paraId="77903CA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06761B35">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B18</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Inform the patient or family of health insurance coverage and sign an informed consent form</w:t>
            </w:r>
          </w:p>
        </w:tc>
        <w:tc>
          <w:tcPr>
            <w:tcW w:w="4261" w:type="dxa"/>
            <w:tcBorders>
              <w:tl2br w:val="nil"/>
              <w:tr2bl w:val="nil"/>
            </w:tcBorders>
          </w:tcPr>
          <w:p w14:paraId="41EB8390">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When we use some special drugsor conduct examinations, we will ask the patient or their family to sign an informed consent form, as this requires the patient to pay for the medical expenses themselves and is not covered by medical insurance.</w:t>
            </w:r>
          </w:p>
        </w:tc>
      </w:tr>
      <w:tr w14:paraId="5DD2184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308CDF46">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B19</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Mainly oral preaching</w:t>
            </w:r>
          </w:p>
        </w:tc>
        <w:tc>
          <w:tcPr>
            <w:tcW w:w="4261" w:type="dxa"/>
            <w:tcBorders>
              <w:tl2br w:val="nil"/>
              <w:tr2bl w:val="nil"/>
            </w:tcBorders>
          </w:tcPr>
          <w:p w14:paraId="55530C0C">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At present, the health education I provide to patients is mainly done orally.</w:t>
            </w:r>
          </w:p>
        </w:tc>
      </w:tr>
      <w:tr w14:paraId="2B88711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65AC7811">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B20</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Combination of written sermons, hands-on demonstrations, educational videos</w:t>
            </w:r>
          </w:p>
        </w:tc>
        <w:tc>
          <w:tcPr>
            <w:tcW w:w="4261" w:type="dxa"/>
            <w:tcBorders>
              <w:tl2br w:val="nil"/>
              <w:tr2bl w:val="nil"/>
            </w:tcBorders>
          </w:tcPr>
          <w:p w14:paraId="6A031C5B">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have many other forms of health education. For instance, we provide patients with written health education materials. There are health handbooks in the department's publicity display stands. Of course, I will also demonstrate some exercise methods to patients in person. We also shoot some health education videos and generate QR codes to post on the wall. Patients can scan the codes to watch them, which saves us a lot of time.</w:t>
            </w:r>
          </w:p>
        </w:tc>
      </w:tr>
      <w:tr w14:paraId="3EC7083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61CF4D8C">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B21</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Avoid medical terms and use more analogies and drawings</w:t>
            </w:r>
          </w:p>
        </w:tc>
        <w:tc>
          <w:tcPr>
            <w:tcW w:w="4261" w:type="dxa"/>
            <w:tcBorders>
              <w:tl2br w:val="nil"/>
              <w:tr2bl w:val="nil"/>
            </w:tcBorders>
          </w:tcPr>
          <w:p w14:paraId="029CA90C">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For some patients with a relatively low educational level, when you explain some medical terms to them, they may not understand. Therefore, I usually like to give them examples, using things they are familiar with to explain the condition of the disease. Generally, patients can understand. Sometimes, for some difficult-to-describe anatomical structures, I will also draw diagrams to explain them to the patients.</w:t>
            </w:r>
          </w:p>
        </w:tc>
      </w:tr>
      <w:tr w14:paraId="422D57E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079CB361">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B22</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Evaluat</w:t>
            </w:r>
            <w:r>
              <w:rPr>
                <w:rFonts w:hint="eastAsia" w:ascii="Times New Roman Regular" w:hAnsi="Times New Roman Regular" w:eastAsia="宋体" w:cs="Times New Roman Regular"/>
                <w:color w:val="auto"/>
                <w:sz w:val="21"/>
                <w:szCs w:val="21"/>
              </w:rPr>
              <w:t>e</w:t>
            </w:r>
            <w:r>
              <w:rPr>
                <w:rFonts w:ascii="Times New Roman Regular" w:hAnsi="Times New Roman Regular" w:eastAsia="宋体" w:cs="Times New Roman Regular"/>
                <w:color w:val="auto"/>
                <w:sz w:val="21"/>
                <w:szCs w:val="21"/>
              </w:rPr>
              <w:t xml:space="preserve"> the effectiveness of patient health education using the teach-back method</w:t>
            </w:r>
          </w:p>
        </w:tc>
        <w:tc>
          <w:tcPr>
            <w:tcW w:w="4261" w:type="dxa"/>
            <w:tcBorders>
              <w:tl2br w:val="nil"/>
              <w:tr2bl w:val="nil"/>
            </w:tcBorders>
          </w:tcPr>
          <w:p w14:paraId="54A9E351">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After we provide health education to patients, we will also evaluate the effect. However, we do not use scales or evaluation systems for assessment. Generally, we ask patients to retell the content of the education. If patients can retell it, it indicates that they have mastered it.</w:t>
            </w:r>
          </w:p>
        </w:tc>
      </w:tr>
      <w:tr w14:paraId="5E11D34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tcPr>
          <w:p w14:paraId="114259CA">
            <w:pPr>
              <w:keepNext/>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eastAsia="宋体" w:cs="Times New Roman"/>
                <w:color w:val="auto"/>
                <w:sz w:val="21"/>
                <w:szCs w:val="21"/>
              </w:rPr>
            </w:pPr>
            <w:r>
              <w:rPr>
                <w:rFonts w:eastAsia="宋体" w:cs="Times New Roman"/>
                <w:color w:val="auto"/>
                <w:sz w:val="21"/>
                <w:szCs w:val="21"/>
              </w:rPr>
              <w:t>B23</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Regular monitoring of patient health behaviors</w:t>
            </w:r>
          </w:p>
        </w:tc>
        <w:tc>
          <w:tcPr>
            <w:tcW w:w="4261" w:type="dxa"/>
            <w:tcBorders>
              <w:tl2br w:val="nil"/>
              <w:tr2bl w:val="nil"/>
            </w:tcBorders>
          </w:tcPr>
          <w:p w14:paraId="72119C7D">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Of course, we will also assess the effectiveness of health education by looking at whether the patient has followed the instructions. For instance, when I distribute medicine to a patient in the morning and inform him of the medication usage time, I will pay attention to check if the patient has taken the medicine during my ward rounds.</w:t>
            </w:r>
          </w:p>
        </w:tc>
      </w:tr>
      <w:tr w14:paraId="18D3CA9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6E6DD95E">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B24</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Ability to assess patients for HL</w:t>
            </w:r>
          </w:p>
        </w:tc>
        <w:tc>
          <w:tcPr>
            <w:tcW w:w="4261" w:type="dxa"/>
            <w:tcBorders>
              <w:tl2br w:val="nil"/>
              <w:tr2bl w:val="nil"/>
            </w:tcBorders>
          </w:tcPr>
          <w:p w14:paraId="28BCA434">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To better serve each patient, medical staff should provide personalized services based on the patient's health literacy level, which requires medical staff to have the ability to judge the patient's health literacy level.</w:t>
            </w:r>
          </w:p>
        </w:tc>
      </w:tr>
      <w:tr w14:paraId="0307410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615CD143">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B25</w:t>
            </w:r>
            <w:r>
              <w:rPr>
                <w:rFonts w:hint="eastAsia" w:eastAsia="宋体" w:cs="Times New Roman"/>
                <w:color w:val="auto"/>
                <w:sz w:val="21"/>
                <w:szCs w:val="21"/>
              </w:rPr>
              <w:t>:</w:t>
            </w:r>
            <w:r>
              <w:rPr>
                <w:rFonts w:ascii="Times New Roman Regular" w:hAnsi="Times New Roman Regular" w:eastAsia="宋体" w:cs="Times New Roman Regular"/>
                <w:color w:val="auto"/>
                <w:sz w:val="21"/>
                <w:szCs w:val="21"/>
              </w:rPr>
              <w:t>Realize the importance of evaluating patient’s HL</w:t>
            </w:r>
          </w:p>
        </w:tc>
        <w:tc>
          <w:tcPr>
            <w:tcW w:w="4261" w:type="dxa"/>
            <w:tcBorders>
              <w:tl2br w:val="nil"/>
              <w:tr2bl w:val="nil"/>
            </w:tcBorders>
          </w:tcPr>
          <w:p w14:paraId="7BCB0A46">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If appropriate services are not provided to patients in accordance with their health literacy levels, the effectiveness of medical services will be greatly reduced. Therefore, it is particularly important to assess patients' health literacy levels, but we medical staff often overlook this point.</w:t>
            </w:r>
          </w:p>
        </w:tc>
      </w:tr>
      <w:tr w14:paraId="5E9EDCC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17CC97BD">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B26:</w:t>
            </w:r>
            <w:r>
              <w:rPr>
                <w:rFonts w:ascii="Times New Roman Regular" w:hAnsi="Times New Roman Regular" w:eastAsia="宋体" w:cs="Times New Roman Regular"/>
                <w:color w:val="auto"/>
                <w:sz w:val="21"/>
                <w:szCs w:val="21"/>
              </w:rPr>
              <w:t>Provid</w:t>
            </w:r>
            <w:r>
              <w:rPr>
                <w:rFonts w:hint="eastAsia" w:ascii="Times New Roman Regular" w:hAnsi="Times New Roman Regular" w:eastAsia="宋体" w:cs="Times New Roman Regular"/>
                <w:color w:val="auto"/>
                <w:sz w:val="21"/>
                <w:szCs w:val="21"/>
              </w:rPr>
              <w:t>e</w:t>
            </w:r>
            <w:r>
              <w:rPr>
                <w:rFonts w:ascii="Times New Roman Regular" w:hAnsi="Times New Roman Regular" w:eastAsia="宋体" w:cs="Times New Roman Regular"/>
                <w:color w:val="auto"/>
                <w:sz w:val="21"/>
                <w:szCs w:val="21"/>
              </w:rPr>
              <w:t xml:space="preserve"> equitable health services</w:t>
            </w:r>
          </w:p>
        </w:tc>
        <w:tc>
          <w:tcPr>
            <w:tcW w:w="4261" w:type="dxa"/>
            <w:tcBorders>
              <w:tl2br w:val="nil"/>
              <w:tr2bl w:val="nil"/>
            </w:tcBorders>
          </w:tcPr>
          <w:p w14:paraId="49726D71">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Our hospital is committed to providing fair and unbiased health services to patients. Whether they come from urban or rural areas, whether poor or rich, all patients can receive the same quality of diagnosis and treatment.</w:t>
            </w:r>
          </w:p>
        </w:tc>
      </w:tr>
      <w:tr w14:paraId="59F19F2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09058250">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B27:</w:t>
            </w:r>
            <w:r>
              <w:rPr>
                <w:rFonts w:ascii="Times New Roman Regular" w:hAnsi="Times New Roman Regular" w:eastAsia="宋体" w:cs="Times New Roman Regular"/>
                <w:color w:val="auto"/>
                <w:sz w:val="21"/>
                <w:szCs w:val="21"/>
              </w:rPr>
              <w:t>Respect, accept patients and avoid stigmatization</w:t>
            </w:r>
          </w:p>
        </w:tc>
        <w:tc>
          <w:tcPr>
            <w:tcW w:w="4261" w:type="dxa"/>
            <w:tcBorders>
              <w:tl2br w:val="nil"/>
              <w:tr2bl w:val="nil"/>
            </w:tcBorders>
          </w:tcPr>
          <w:p w14:paraId="2A5E7351">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In fact, we should pay more attention to the elderly rather than finding them troublesome, because their deteriorating eyesight and hearing can make it difficult for them to access medical services.</w:t>
            </w:r>
          </w:p>
        </w:tc>
      </w:tr>
      <w:tr w14:paraId="37D4E17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1633272F">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B28:</w:t>
            </w:r>
            <w:r>
              <w:rPr>
                <w:rFonts w:ascii="Times New Roman Regular" w:hAnsi="Times New Roman Regular" w:eastAsia="宋体" w:cs="Times New Roman Regular"/>
                <w:color w:val="auto"/>
                <w:sz w:val="21"/>
                <w:szCs w:val="21"/>
              </w:rPr>
              <w:t>Areas dedicated to health education</w:t>
            </w:r>
          </w:p>
        </w:tc>
        <w:tc>
          <w:tcPr>
            <w:tcW w:w="4261" w:type="dxa"/>
            <w:tcBorders>
              <w:tl2br w:val="nil"/>
              <w:tr2bl w:val="nil"/>
            </w:tcBorders>
          </w:tcPr>
          <w:p w14:paraId="65487E2D">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Our department attaches great importance to health education, so we have a dedicated health promotion classroom. In the future, we plan to make some videos and play them on a loop in it to facilitate patients' learning at any time.</w:t>
            </w:r>
          </w:p>
        </w:tc>
      </w:tr>
      <w:tr w14:paraId="22102E1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460E3EA2">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B29:</w:t>
            </w:r>
            <w:r>
              <w:rPr>
                <w:rFonts w:ascii="Times New Roman Regular" w:hAnsi="Times New Roman Regular" w:eastAsia="宋体" w:cs="Times New Roman Regular"/>
                <w:color w:val="auto"/>
                <w:sz w:val="21"/>
                <w:szCs w:val="21"/>
              </w:rPr>
              <w:t>Equipment to conduct health education is available</w:t>
            </w:r>
          </w:p>
        </w:tc>
        <w:tc>
          <w:tcPr>
            <w:tcW w:w="4261" w:type="dxa"/>
            <w:tcBorders>
              <w:tl2br w:val="nil"/>
              <w:tr2bl w:val="nil"/>
            </w:tcBorders>
          </w:tcPr>
          <w:p w14:paraId="5704AEDA">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When educating patients, we also use prop models (such as food models) to help patients better understand through these visual props.</w:t>
            </w:r>
          </w:p>
        </w:tc>
      </w:tr>
      <w:tr w14:paraId="732B717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67E88DF0">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B30:</w:t>
            </w:r>
            <w:r>
              <w:rPr>
                <w:rFonts w:ascii="Times New Roman Regular" w:hAnsi="Times New Roman Regular" w:eastAsia="宋体" w:cs="Times New Roman Regular"/>
                <w:color w:val="auto"/>
                <w:sz w:val="21"/>
                <w:szCs w:val="21"/>
              </w:rPr>
              <w:t>Provision of accessible facilities</w:t>
            </w:r>
          </w:p>
        </w:tc>
        <w:tc>
          <w:tcPr>
            <w:tcW w:w="4261" w:type="dxa"/>
            <w:tcBorders>
              <w:tl2br w:val="nil"/>
              <w:tr2bl w:val="nil"/>
            </w:tcBorders>
          </w:tcPr>
          <w:p w14:paraId="48558EDD">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 xml:space="preserve"> The hospital is equipped with barrier-free facilities such as wheelchairs, flatbeds and ramps, which facilitate patients' medical treatment within the hospital.</w:t>
            </w:r>
          </w:p>
        </w:tc>
      </w:tr>
      <w:tr w14:paraId="698D43D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4A96EE8E">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B31:</w:t>
            </w:r>
            <w:r>
              <w:rPr>
                <w:rFonts w:ascii="Times New Roman Regular" w:hAnsi="Times New Roman Regular" w:eastAsia="宋体" w:cs="Times New Roman Regular"/>
                <w:color w:val="auto"/>
                <w:sz w:val="21"/>
                <w:szCs w:val="21"/>
              </w:rPr>
              <w:t>Unified patient access portal with centralized functionality</w:t>
            </w:r>
          </w:p>
        </w:tc>
        <w:tc>
          <w:tcPr>
            <w:tcW w:w="4261" w:type="dxa"/>
            <w:tcBorders>
              <w:tl2br w:val="nil"/>
              <w:tr2bl w:val="nil"/>
            </w:tcBorders>
          </w:tcPr>
          <w:p w14:paraId="4E8F08B4">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Previously, some patients reported that we had too many online platforms, such as wechat, Alipay, and a mobile APP, each with different functions, which was particularly inconvenient to use. Therefore, this year we have consolidated all the functions into a wechat mini-program to provide convenience for patients.</w:t>
            </w:r>
          </w:p>
        </w:tc>
      </w:tr>
      <w:tr w14:paraId="7BB0039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5706CAA5">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B32:</w:t>
            </w:r>
            <w:r>
              <w:rPr>
                <w:rFonts w:ascii="Times New Roman Regular" w:hAnsi="Times New Roman Regular" w:eastAsia="宋体" w:cs="Times New Roman Regular"/>
                <w:color w:val="auto"/>
                <w:sz w:val="21"/>
                <w:szCs w:val="21"/>
              </w:rPr>
              <w:t>Portal interface layout is clearly delineated and easy to operate</w:t>
            </w:r>
          </w:p>
        </w:tc>
        <w:tc>
          <w:tcPr>
            <w:tcW w:w="4261" w:type="dxa"/>
            <w:tcBorders>
              <w:tl2br w:val="nil"/>
              <w:tr2bl w:val="nil"/>
            </w:tcBorders>
          </w:tcPr>
          <w:p w14:paraId="2C680AC6">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Our user interface is now very clear. The functions of each section are immediately apparent, making it extremely convenient for patients to operate.</w:t>
            </w:r>
          </w:p>
        </w:tc>
      </w:tr>
      <w:tr w14:paraId="734E04F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205C49CF">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B33:</w:t>
            </w:r>
            <w:r>
              <w:rPr>
                <w:rFonts w:ascii="Times New Roman Regular" w:hAnsi="Times New Roman Regular" w:eastAsia="宋体" w:cs="Times New Roman Regular"/>
                <w:color w:val="auto"/>
                <w:sz w:val="21"/>
                <w:szCs w:val="21"/>
              </w:rPr>
              <w:t>Provision of Internet Hospital Operation Guidelines</w:t>
            </w:r>
          </w:p>
        </w:tc>
        <w:tc>
          <w:tcPr>
            <w:tcW w:w="4261" w:type="dxa"/>
            <w:tcBorders>
              <w:tl2br w:val="nil"/>
              <w:tr2bl w:val="nil"/>
            </w:tcBorders>
          </w:tcPr>
          <w:p w14:paraId="5E232E20">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have also taken into account that some patients are not very familiar with using electronic products. Therefore, we have designed a medical guide. Just follow the steps above and you will be fine.</w:t>
            </w:r>
          </w:p>
        </w:tc>
      </w:tr>
      <w:tr w14:paraId="6D8EEB0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6010AE09">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B34:</w:t>
            </w:r>
            <w:r>
              <w:rPr>
                <w:rFonts w:ascii="Times New Roman Regular" w:hAnsi="Times New Roman Regular" w:eastAsia="宋体" w:cs="Times New Roman Regular"/>
                <w:color w:val="auto"/>
                <w:sz w:val="21"/>
                <w:szCs w:val="21"/>
              </w:rPr>
              <w:t>Support for medical insurance use</w:t>
            </w:r>
          </w:p>
        </w:tc>
        <w:tc>
          <w:tcPr>
            <w:tcW w:w="4261" w:type="dxa"/>
            <w:tcBorders>
              <w:tl2br w:val="nil"/>
              <w:tr2bl w:val="nil"/>
            </w:tcBorders>
          </w:tcPr>
          <w:p w14:paraId="45F5EC22">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At present, our Internet hospital cannot be linked with medical insurance, which is not very convenient. However, it seems that some hospitals can.</w:t>
            </w:r>
          </w:p>
        </w:tc>
      </w:tr>
      <w:tr w14:paraId="66BBE28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56D908B6">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B35:</w:t>
            </w:r>
            <w:r>
              <w:rPr>
                <w:rFonts w:ascii="Times New Roman Regular" w:hAnsi="Times New Roman Regular" w:eastAsia="宋体" w:cs="Times New Roman Regular"/>
                <w:color w:val="auto"/>
                <w:sz w:val="21"/>
                <w:szCs w:val="21"/>
              </w:rPr>
              <w:t>Guide signs are clear and easy to understand</w:t>
            </w:r>
          </w:p>
        </w:tc>
        <w:tc>
          <w:tcPr>
            <w:tcW w:w="4261" w:type="dxa"/>
            <w:tcBorders>
              <w:tl2br w:val="nil"/>
              <w:tr2bl w:val="nil"/>
            </w:tcBorders>
          </w:tcPr>
          <w:p w14:paraId="47B5A5DC">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There are many wall signs and landmarks in the hospital. Some patients cannot read characters, but they can identify them by the patterns on the signs. For example, there is a heart-shaped pattern on the sign of the electrocardiogram room, and patients can go to the places they want according to these signs.</w:t>
            </w:r>
          </w:p>
        </w:tc>
      </w:tr>
      <w:tr w14:paraId="17AAF9A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151266E9">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B36:</w:t>
            </w:r>
            <w:r>
              <w:rPr>
                <w:rFonts w:ascii="Times New Roman Regular" w:hAnsi="Times New Roman Regular" w:eastAsia="宋体" w:cs="Times New Roman Regular"/>
                <w:color w:val="auto"/>
                <w:sz w:val="21"/>
                <w:szCs w:val="21"/>
              </w:rPr>
              <w:t>Hospital flowcharts are accessible and easy to understand</w:t>
            </w:r>
          </w:p>
        </w:tc>
        <w:tc>
          <w:tcPr>
            <w:tcW w:w="4261" w:type="dxa"/>
            <w:tcBorders>
              <w:tl2br w:val="nil"/>
              <w:tr2bl w:val="nil"/>
            </w:tcBorders>
          </w:tcPr>
          <w:p w14:paraId="23F5477D">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The outpatient department of the hospital has posted a flowchart of patients' medical treatment. Patients can complete the entire medical treatment process according to the prompts on it. The position of the flowchart is also very prominent, and patients can see it as soon as they enter the hospital.</w:t>
            </w:r>
          </w:p>
        </w:tc>
      </w:tr>
      <w:tr w14:paraId="077DC9B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24080DE7">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B37:</w:t>
            </w:r>
            <w:r>
              <w:rPr>
                <w:rFonts w:ascii="Times New Roman Regular" w:hAnsi="Times New Roman Regular" w:eastAsia="宋体" w:cs="Times New Roman Regular"/>
                <w:color w:val="auto"/>
                <w:sz w:val="21"/>
                <w:szCs w:val="21"/>
              </w:rPr>
              <w:t xml:space="preserve">Guides help patients find their way </w:t>
            </w:r>
            <w:r>
              <w:rPr>
                <w:rFonts w:hint="eastAsia" w:ascii="Times New Roman Regular" w:hAnsi="Times New Roman Regular" w:eastAsia="宋体" w:cs="Times New Roman Regular"/>
                <w:color w:val="auto"/>
                <w:sz w:val="21"/>
                <w:szCs w:val="21"/>
              </w:rPr>
              <w:t>in</w:t>
            </w:r>
            <w:r>
              <w:rPr>
                <w:rFonts w:ascii="Times New Roman Regular" w:hAnsi="Times New Roman Regular" w:eastAsia="宋体" w:cs="Times New Roman Regular"/>
                <w:color w:val="auto"/>
                <w:sz w:val="21"/>
                <w:szCs w:val="21"/>
              </w:rPr>
              <w:t xml:space="preserve"> the hospital</w:t>
            </w:r>
          </w:p>
        </w:tc>
        <w:tc>
          <w:tcPr>
            <w:tcW w:w="4261" w:type="dxa"/>
            <w:tcBorders>
              <w:tl2br w:val="nil"/>
              <w:tr2bl w:val="nil"/>
            </w:tcBorders>
          </w:tcPr>
          <w:p w14:paraId="2A396567">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Some elderly people with limited mobility tend to get lost in the hospital, so we have medical guides to lead them to their destinations.</w:t>
            </w:r>
          </w:p>
        </w:tc>
      </w:tr>
      <w:tr w14:paraId="421EEAA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2EE2E402">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B38:</w:t>
            </w:r>
            <w:r>
              <w:rPr>
                <w:rFonts w:ascii="Times New Roman Regular" w:hAnsi="Times New Roman Regular" w:eastAsia="宋体" w:cs="Times New Roman Regular"/>
                <w:color w:val="auto"/>
                <w:sz w:val="21"/>
                <w:szCs w:val="21"/>
              </w:rPr>
              <w:t>Set up signboard to publicize medical expenses</w:t>
            </w:r>
          </w:p>
        </w:tc>
        <w:tc>
          <w:tcPr>
            <w:tcW w:w="4261" w:type="dxa"/>
            <w:tcBorders>
              <w:tl2br w:val="nil"/>
              <w:tr2bl w:val="nil"/>
            </w:tcBorders>
          </w:tcPr>
          <w:p w14:paraId="493ED5F0">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All the expenses in our hospital are open and transparent. Medical expenses are displayed on the walls of the outpatient department and each department. Of course, it's impossible for all the expenses to be posted on the wall. Generally, they are some common ones, such as nursing fees, bed fees, and treatment fees.</w:t>
            </w:r>
          </w:p>
        </w:tc>
      </w:tr>
      <w:tr w14:paraId="5CC1CA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623E7C79">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B39:</w:t>
            </w:r>
            <w:r>
              <w:rPr>
                <w:rFonts w:ascii="Times New Roman Regular" w:hAnsi="Times New Roman Regular" w:eastAsia="宋体" w:cs="Times New Roman Regular"/>
                <w:color w:val="auto"/>
                <w:sz w:val="21"/>
                <w:szCs w:val="21"/>
              </w:rPr>
              <w:t>Provision of cost-checking facilities in hospitals</w:t>
            </w:r>
          </w:p>
        </w:tc>
        <w:tc>
          <w:tcPr>
            <w:tcW w:w="4261" w:type="dxa"/>
            <w:tcBorders>
              <w:tl2br w:val="nil"/>
              <w:tr2bl w:val="nil"/>
            </w:tcBorders>
          </w:tcPr>
          <w:p w14:paraId="3513D824">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have machines for payment or inquiry on each floor, so patients don't have to run around, which is very convenient.</w:t>
            </w:r>
          </w:p>
        </w:tc>
      </w:tr>
      <w:tr w14:paraId="348F1DF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33F19BD8">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B40:</w:t>
            </w:r>
            <w:r>
              <w:rPr>
                <w:rFonts w:ascii="Times New Roman Regular" w:hAnsi="Times New Roman Regular" w:eastAsia="宋体" w:cs="Times New Roman Regular"/>
                <w:color w:val="auto"/>
                <w:sz w:val="21"/>
                <w:szCs w:val="21"/>
              </w:rPr>
              <w:t>Adequate staffing of medical guides</w:t>
            </w:r>
          </w:p>
        </w:tc>
        <w:tc>
          <w:tcPr>
            <w:tcW w:w="4261" w:type="dxa"/>
            <w:tcBorders>
              <w:tl2br w:val="nil"/>
              <w:tr2bl w:val="nil"/>
            </w:tcBorders>
          </w:tcPr>
          <w:p w14:paraId="34F1D0AB">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In fact, the number of medical guides is still relatively small. If a patient needs a guide to take him to his destination, there will be no one to serve the area that the guide was originally responsible for.</w:t>
            </w:r>
          </w:p>
        </w:tc>
      </w:tr>
      <w:tr w14:paraId="471F44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5CD797F2">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B41:</w:t>
            </w:r>
            <w:r>
              <w:rPr>
                <w:rFonts w:ascii="Times New Roman Regular" w:hAnsi="Times New Roman Regular" w:eastAsia="宋体" w:cs="Times New Roman Regular"/>
                <w:color w:val="auto"/>
                <w:sz w:val="21"/>
                <w:szCs w:val="21"/>
              </w:rPr>
              <w:t>Equipped with highly skilled caregivers</w:t>
            </w:r>
          </w:p>
        </w:tc>
        <w:tc>
          <w:tcPr>
            <w:tcW w:w="4261" w:type="dxa"/>
            <w:tcBorders>
              <w:tl2br w:val="nil"/>
              <w:tr2bl w:val="nil"/>
            </w:tcBorders>
          </w:tcPr>
          <w:p w14:paraId="05890CF9">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The caregivers in the hospital are all outsourced. None of them are professionals in this field. They are not familiar with many nursing knowledge and skills. Although third-party companies also ask us nurses to train them, it is still far from enough.</w:t>
            </w:r>
          </w:p>
        </w:tc>
      </w:tr>
      <w:tr w14:paraId="6031D7E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1C27293D">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B42:</w:t>
            </w:r>
            <w:r>
              <w:rPr>
                <w:rFonts w:ascii="Times New Roman Regular" w:hAnsi="Times New Roman Regular" w:eastAsia="宋体" w:cs="Times New Roman Regular"/>
                <w:color w:val="auto"/>
                <w:sz w:val="21"/>
                <w:szCs w:val="21"/>
              </w:rPr>
              <w:t>Dedicated position for HL work</w:t>
            </w:r>
          </w:p>
        </w:tc>
        <w:tc>
          <w:tcPr>
            <w:tcW w:w="4261" w:type="dxa"/>
            <w:tcBorders>
              <w:tl2br w:val="nil"/>
              <w:tr2bl w:val="nil"/>
            </w:tcBorders>
          </w:tcPr>
          <w:p w14:paraId="70839F76">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 think hospitals should arrange fixed personnel to systematically manage and supervise activities related to health literacy. Only in this way can this work be carried out better, rather than being scattered as it is now.</w:t>
            </w:r>
          </w:p>
        </w:tc>
      </w:tr>
      <w:tr w14:paraId="77FBB7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5F239725">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B43:</w:t>
            </w:r>
            <w:r>
              <w:rPr>
                <w:rFonts w:ascii="Times New Roman Regular" w:hAnsi="Times New Roman Regular" w:eastAsia="宋体" w:cs="Times New Roman Regular"/>
                <w:color w:val="auto"/>
                <w:sz w:val="21"/>
                <w:szCs w:val="21"/>
              </w:rPr>
              <w:t>Train and assess professional knowledge and skills of medical and nursing staff</w:t>
            </w:r>
          </w:p>
        </w:tc>
        <w:tc>
          <w:tcPr>
            <w:tcW w:w="4261" w:type="dxa"/>
            <w:tcBorders>
              <w:tl2br w:val="nil"/>
              <w:tr2bl w:val="nil"/>
            </w:tcBorders>
          </w:tcPr>
          <w:p w14:paraId="5CF9AE00">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have a lot of training for nurses in terms of knowledge and skills. Every month, our department holds ward rounds and lectures. The nursing department also organizes 1-2 assessments every year. Through each assessment, nurses' mastery of specialized knowledge and operations has been consolidated.</w:t>
            </w:r>
          </w:p>
        </w:tc>
      </w:tr>
      <w:tr w14:paraId="5623A55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2B3D33EE">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B44:</w:t>
            </w:r>
            <w:r>
              <w:rPr>
                <w:rFonts w:ascii="Times New Roman Regular" w:hAnsi="Times New Roman Regular" w:eastAsia="宋体" w:cs="Times New Roman Regular"/>
                <w:color w:val="auto"/>
                <w:sz w:val="21"/>
                <w:szCs w:val="21"/>
              </w:rPr>
              <w:t>Train and assess communication skills of medical and nursing staff</w:t>
            </w:r>
          </w:p>
        </w:tc>
        <w:tc>
          <w:tcPr>
            <w:tcW w:w="4261" w:type="dxa"/>
            <w:tcBorders>
              <w:tl2br w:val="nil"/>
              <w:tr2bl w:val="nil"/>
            </w:tcBorders>
          </w:tcPr>
          <w:p w14:paraId="6AC0343A">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Young doctors may have poorer communication skills. Hospitals do offer relevant training on patient-clinician communication skills, but not many. Moreover, only a few people participate in such training, and it's impossible for all medical staff to take part. The content of the training is mostly about how to avoid medical disputes. In fact, training in communication skills is very necessary.</w:t>
            </w:r>
          </w:p>
        </w:tc>
      </w:tr>
      <w:tr w14:paraId="678FD9F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4EDE0692">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B45:</w:t>
            </w:r>
            <w:r>
              <w:rPr>
                <w:rFonts w:ascii="Times New Roman Regular" w:hAnsi="Times New Roman Regular" w:eastAsia="宋体" w:cs="Times New Roman Regular"/>
                <w:color w:val="auto"/>
                <w:sz w:val="21"/>
                <w:szCs w:val="21"/>
              </w:rPr>
              <w:t>Train and assess health education capacity of medical and nursing staff</w:t>
            </w:r>
          </w:p>
        </w:tc>
        <w:tc>
          <w:tcPr>
            <w:tcW w:w="4261" w:type="dxa"/>
            <w:tcBorders>
              <w:tl2br w:val="nil"/>
              <w:tr2bl w:val="nil"/>
            </w:tcBorders>
          </w:tcPr>
          <w:p w14:paraId="48602F7C">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Our hospital plans to hold regular health education training and assessment activities in the future. For instance, we will invite some professional health education lecturers to teach medical staff how to effectively convey health knowledge to patients, etc. At the same time, we will also conduct assessments to help them identify their shortcomings and further enhance their professional skills.</w:t>
            </w:r>
          </w:p>
        </w:tc>
      </w:tr>
      <w:tr w14:paraId="5535726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7A4CE188">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B46:</w:t>
            </w:r>
            <w:r>
              <w:rPr>
                <w:rFonts w:ascii="Times New Roman Regular" w:hAnsi="Times New Roman Regular" w:eastAsia="宋体" w:cs="Times New Roman Regular"/>
                <w:color w:val="auto"/>
                <w:sz w:val="21"/>
                <w:szCs w:val="21"/>
              </w:rPr>
              <w:t>Organize training and assessment of health insurance policies for medical and nursing personnel</w:t>
            </w:r>
          </w:p>
        </w:tc>
        <w:tc>
          <w:tcPr>
            <w:tcW w:w="4261" w:type="dxa"/>
            <w:tcBorders>
              <w:tl2br w:val="nil"/>
              <w:tr2bl w:val="nil"/>
            </w:tcBorders>
          </w:tcPr>
          <w:p w14:paraId="6BD7093F">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Every time there is a major reform in the medical insurance policy, such as the DRP charging system in the past two years, our medical insurance department will organize relevant training for medical staff. After the training, we also have electronic test papers for assessment to draw the attention of medical staff.</w:t>
            </w:r>
          </w:p>
        </w:tc>
      </w:tr>
      <w:tr w14:paraId="53B1949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12E18585">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B47:</w:t>
            </w:r>
            <w:r>
              <w:rPr>
                <w:rFonts w:ascii="Times New Roman Regular" w:hAnsi="Times New Roman Regular" w:eastAsia="宋体" w:cs="Times New Roman Regular"/>
                <w:color w:val="auto"/>
                <w:sz w:val="21"/>
                <w:szCs w:val="21"/>
              </w:rPr>
              <w:t>Specialize department to manage patient complaints</w:t>
            </w:r>
          </w:p>
        </w:tc>
        <w:tc>
          <w:tcPr>
            <w:tcW w:w="4261" w:type="dxa"/>
            <w:tcBorders>
              <w:tl2br w:val="nil"/>
              <w:tr2bl w:val="nil"/>
            </w:tcBorders>
          </w:tcPr>
          <w:p w14:paraId="3B3CABE4">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Our hospital's requirement for patient complaints is "any complaint must be responded to", which means that as soon as a patient files a complaint, we must handle it immediately. Our hospital also has a dedicated communication office to deal with these issues. If our medical staff really cannot solve them, they will seek coordination from the communication office.</w:t>
            </w:r>
          </w:p>
        </w:tc>
      </w:tr>
      <w:tr w14:paraId="63726F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78A6E93B">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B48:</w:t>
            </w:r>
            <w:r>
              <w:rPr>
                <w:rFonts w:ascii="Times New Roman Regular" w:hAnsi="Times New Roman Regular" w:eastAsia="宋体" w:cs="Times New Roman Regular"/>
                <w:color w:val="auto"/>
                <w:sz w:val="21"/>
                <w:szCs w:val="21"/>
              </w:rPr>
              <w:t>Make full use of complaint information to enhance the quality of medical services</w:t>
            </w:r>
          </w:p>
        </w:tc>
        <w:tc>
          <w:tcPr>
            <w:tcW w:w="4261" w:type="dxa"/>
            <w:tcBorders>
              <w:tl2br w:val="nil"/>
              <w:tr2bl w:val="nil"/>
            </w:tcBorders>
          </w:tcPr>
          <w:p w14:paraId="73F4879B">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hold meetings every month to summarize and rectify the problems encountered by patients during their hospitalization, striving to improve the quality of service and meet the needs of patients as much as possible.</w:t>
            </w:r>
          </w:p>
        </w:tc>
      </w:tr>
      <w:tr w14:paraId="1C10B2D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1A5AAC57">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B49:</w:t>
            </w:r>
            <w:r>
              <w:rPr>
                <w:rFonts w:ascii="Times New Roman Regular" w:hAnsi="Times New Roman Regular" w:eastAsia="宋体" w:cs="Times New Roman Regular"/>
                <w:color w:val="auto"/>
                <w:sz w:val="21"/>
                <w:szCs w:val="21"/>
              </w:rPr>
              <w:t>Provide multiple ways to make an appointment</w:t>
            </w:r>
          </w:p>
        </w:tc>
        <w:tc>
          <w:tcPr>
            <w:tcW w:w="4261" w:type="dxa"/>
            <w:tcBorders>
              <w:tl2br w:val="nil"/>
              <w:tr2bl w:val="nil"/>
            </w:tcBorders>
          </w:tcPr>
          <w:p w14:paraId="45BDD0B0">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It is still very convenient for patients to register for medical treatment, as we have various registration channels such as online appointment registration, offline registration, and phone appointment registration. Patients can choose according to their own needs.</w:t>
            </w:r>
          </w:p>
        </w:tc>
      </w:tr>
      <w:tr w14:paraId="6DDF8DF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0FBFC7D3">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B50:</w:t>
            </w:r>
            <w:r>
              <w:rPr>
                <w:rFonts w:ascii="Times New Roman Regular" w:hAnsi="Times New Roman Regular" w:eastAsia="宋体" w:cs="Times New Roman Regular"/>
                <w:color w:val="auto"/>
                <w:sz w:val="21"/>
                <w:szCs w:val="21"/>
              </w:rPr>
              <w:t>Provide multiple ways to book an examination</w:t>
            </w:r>
          </w:p>
        </w:tc>
        <w:tc>
          <w:tcPr>
            <w:tcW w:w="4261" w:type="dxa"/>
            <w:tcBorders>
              <w:tl2br w:val="nil"/>
              <w:tr2bl w:val="nil"/>
            </w:tcBorders>
          </w:tcPr>
          <w:p w14:paraId="4B12B829">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Nowadays, it is also convenient for patients to come to the hospital for check-ups. In the past, if patients wanted to have a gastroscopy or colonoscopy, they had to register at the hospital in advance to make an appointment for the specific time of the examination. Now, we also provide an online appointment service for the examination, reducing the number of times patients come to the hospital.</w:t>
            </w:r>
          </w:p>
        </w:tc>
      </w:tr>
      <w:tr w14:paraId="01D3F76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4478BAE9">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B51:</w:t>
            </w:r>
            <w:r>
              <w:rPr>
                <w:rFonts w:ascii="Times New Roman Regular" w:hAnsi="Times New Roman Regular" w:eastAsia="宋体" w:cs="Times New Roman Regular"/>
                <w:color w:val="auto"/>
                <w:sz w:val="21"/>
                <w:szCs w:val="21"/>
              </w:rPr>
              <w:t>Streamlin the process of hospital admission, refund and examination and laboratory tests</w:t>
            </w:r>
          </w:p>
        </w:tc>
        <w:tc>
          <w:tcPr>
            <w:tcW w:w="4261" w:type="dxa"/>
            <w:tcBorders>
              <w:tl2br w:val="nil"/>
              <w:tr2bl w:val="nil"/>
            </w:tcBorders>
          </w:tcPr>
          <w:p w14:paraId="7FBCBA4E">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 xml:space="preserve"> I think it's too troublesome for patients to get a refund. Sometimes, they have to make several trips back and forth to get a refund.</w:t>
            </w:r>
          </w:p>
        </w:tc>
      </w:tr>
      <w:tr w14:paraId="44A3D15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5DEA963C">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B52:</w:t>
            </w:r>
            <w:r>
              <w:rPr>
                <w:rFonts w:ascii="Times New Roman Regular" w:hAnsi="Times New Roman Regular" w:eastAsia="宋体" w:cs="Times New Roman Regular"/>
                <w:color w:val="auto"/>
                <w:sz w:val="21"/>
                <w:szCs w:val="21"/>
              </w:rPr>
              <w:t>Provide health information materials in various forms such as health brochures, health videos, etc.</w:t>
            </w:r>
          </w:p>
        </w:tc>
        <w:tc>
          <w:tcPr>
            <w:tcW w:w="4261" w:type="dxa"/>
            <w:tcBorders>
              <w:tl2br w:val="nil"/>
              <w:tr2bl w:val="nil"/>
            </w:tcBorders>
          </w:tcPr>
          <w:p w14:paraId="2586CA4A">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Health education boards are set up in public areas and many departments of the hospital. We provide patients with some health promotion brochures. In the waiting area of the outpatient department, we also have display screens that continuously play some health information. Most of this health information is about how to prevent diseases or postoperative care for diseases.</w:t>
            </w:r>
          </w:p>
        </w:tc>
      </w:tr>
      <w:tr w14:paraId="164A3A3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4B38B1CB">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B53:</w:t>
            </w:r>
            <w:r>
              <w:rPr>
                <w:rFonts w:ascii="Times New Roman Regular" w:hAnsi="Times New Roman Regular" w:eastAsia="宋体" w:cs="Times New Roman Regular"/>
                <w:color w:val="auto"/>
                <w:sz w:val="21"/>
                <w:szCs w:val="21"/>
              </w:rPr>
              <w:t>Develop criteria for assessing the quality of health information</w:t>
            </w:r>
          </w:p>
        </w:tc>
        <w:tc>
          <w:tcPr>
            <w:tcW w:w="4261" w:type="dxa"/>
            <w:tcBorders>
              <w:tl2br w:val="nil"/>
              <w:tr2bl w:val="nil"/>
            </w:tcBorders>
          </w:tcPr>
          <w:p w14:paraId="290280C7">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will review the content of these health manuals and health education videos. We usually evaluate them based on relevant guidelines or authoritative literature, but we do not use health education data assessment tools to assess their quality.</w:t>
            </w:r>
          </w:p>
        </w:tc>
      </w:tr>
      <w:tr w14:paraId="346B3FD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635D8413">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B54:</w:t>
            </w:r>
            <w:r>
              <w:rPr>
                <w:rFonts w:ascii="Times New Roman Regular" w:hAnsi="Times New Roman Regular" w:eastAsia="宋体" w:cs="Times New Roman Regular"/>
                <w:color w:val="auto"/>
                <w:sz w:val="21"/>
                <w:szCs w:val="21"/>
              </w:rPr>
              <w:t>Health information is kept up to date</w:t>
            </w:r>
          </w:p>
        </w:tc>
        <w:tc>
          <w:tcPr>
            <w:tcW w:w="4261" w:type="dxa"/>
            <w:tcBorders>
              <w:tl2br w:val="nil"/>
              <w:tr2bl w:val="nil"/>
            </w:tcBorders>
          </w:tcPr>
          <w:p w14:paraId="7B5674A0">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These educational brochures and health videos were made by medical staff during their spare time. Due to time constraints, the updates of these health information materials are not so timely.</w:t>
            </w:r>
          </w:p>
        </w:tc>
      </w:tr>
      <w:tr w14:paraId="59C49AB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3DE84D31">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B55:</w:t>
            </w:r>
            <w:r>
              <w:rPr>
                <w:rFonts w:ascii="Times New Roman Regular" w:hAnsi="Times New Roman Regular" w:eastAsia="宋体" w:cs="Times New Roman Regular"/>
                <w:color w:val="auto"/>
                <w:sz w:val="21"/>
                <w:szCs w:val="21"/>
              </w:rPr>
              <w:t>Health information should be produced to meet patient needs</w:t>
            </w:r>
          </w:p>
        </w:tc>
        <w:tc>
          <w:tcPr>
            <w:tcW w:w="4261" w:type="dxa"/>
            <w:tcBorders>
              <w:tl2br w:val="nil"/>
              <w:tr2bl w:val="nil"/>
            </w:tcBorders>
          </w:tcPr>
          <w:p w14:paraId="7DA74A4B">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When we create health education materials, they are all formulated based on the patients' daily health needs. Only when patients feel that something is useful to them will they read it carefully.</w:t>
            </w:r>
          </w:p>
        </w:tc>
      </w:tr>
      <w:tr w14:paraId="47ED7DF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65B35145">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B56:</w:t>
            </w:r>
            <w:r>
              <w:rPr>
                <w:rFonts w:ascii="Times New Roman Regular" w:hAnsi="Times New Roman Regular" w:eastAsia="宋体" w:cs="Times New Roman Regular"/>
                <w:color w:val="auto"/>
                <w:sz w:val="21"/>
                <w:szCs w:val="21"/>
              </w:rPr>
              <w:t>Health information content should be easy to understand</w:t>
            </w:r>
          </w:p>
        </w:tc>
        <w:tc>
          <w:tcPr>
            <w:tcW w:w="4261" w:type="dxa"/>
            <w:tcBorders>
              <w:tl2br w:val="nil"/>
              <w:tr2bl w:val="nil"/>
            </w:tcBorders>
          </w:tcPr>
          <w:p w14:paraId="2162690E">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We require medical staff to use words that patients can understand and listen to when making health education materials, and they should have fewer words and more pictures, so that patients can understand it more easily.</w:t>
            </w:r>
          </w:p>
        </w:tc>
      </w:tr>
      <w:tr w14:paraId="2B614CF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766CFDEF">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B57:</w:t>
            </w:r>
            <w:r>
              <w:rPr>
                <w:rFonts w:ascii="Times New Roman Regular" w:hAnsi="Times New Roman Regular" w:eastAsia="宋体" w:cs="Times New Roman Regular"/>
                <w:color w:val="auto"/>
                <w:sz w:val="21"/>
                <w:szCs w:val="21"/>
              </w:rPr>
              <w:t>Health science popularization in communities, enterprises and schools</w:t>
            </w:r>
          </w:p>
        </w:tc>
        <w:tc>
          <w:tcPr>
            <w:tcW w:w="4261" w:type="dxa"/>
            <w:tcBorders>
              <w:tl2br w:val="nil"/>
              <w:tr2bl w:val="nil"/>
            </w:tcBorders>
          </w:tcPr>
          <w:p w14:paraId="2C9D9F61">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 xml:space="preserve"> Our doctors not only provide health education to patients in hospitals, but also cooperate with communities, schools or enterprises to have doctors carry out some health education lectures, such as the prevention and treatment of chronic diseases and the prevention of occupation-related diseases.</w:t>
            </w:r>
          </w:p>
        </w:tc>
      </w:tr>
      <w:tr w14:paraId="537FCF3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2DE285CA">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B58:</w:t>
            </w:r>
            <w:r>
              <w:rPr>
                <w:rFonts w:ascii="Times New Roman Regular" w:hAnsi="Times New Roman Regular" w:eastAsia="宋体" w:cs="Times New Roman Regular"/>
                <w:color w:val="auto"/>
                <w:sz w:val="21"/>
                <w:szCs w:val="21"/>
              </w:rPr>
              <w:t>Provid</w:t>
            </w:r>
            <w:r>
              <w:rPr>
                <w:rFonts w:hint="eastAsia" w:ascii="Times New Roman Regular" w:hAnsi="Times New Roman Regular" w:eastAsia="宋体" w:cs="Times New Roman Regular"/>
                <w:color w:val="auto"/>
                <w:sz w:val="21"/>
                <w:szCs w:val="21"/>
              </w:rPr>
              <w:t>e</w:t>
            </w:r>
            <w:r>
              <w:rPr>
                <w:rFonts w:ascii="Times New Roman Regular" w:hAnsi="Times New Roman Regular" w:eastAsia="宋体" w:cs="Times New Roman Regular"/>
                <w:color w:val="auto"/>
                <w:sz w:val="21"/>
                <w:szCs w:val="21"/>
              </w:rPr>
              <w:t xml:space="preserve"> health clinic services to the community</w:t>
            </w:r>
          </w:p>
        </w:tc>
        <w:tc>
          <w:tcPr>
            <w:tcW w:w="4261" w:type="dxa"/>
            <w:tcBorders>
              <w:tl2br w:val="nil"/>
              <w:tr2bl w:val="nil"/>
            </w:tcBorders>
          </w:tcPr>
          <w:p w14:paraId="7BAE4041">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Meanwhile, we will also have medical staff providing free vital sign measurement and consultation services for community residents. This offers convenience to the elderly in the community, especially those who have difficulty going out.</w:t>
            </w:r>
          </w:p>
        </w:tc>
      </w:tr>
      <w:tr w14:paraId="03B56F9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5F97608A">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B59:</w:t>
            </w:r>
            <w:r>
              <w:rPr>
                <w:rFonts w:ascii="Times New Roman Regular" w:hAnsi="Times New Roman Regular" w:eastAsia="宋体" w:cs="Times New Roman Regular"/>
                <w:color w:val="auto"/>
                <w:sz w:val="21"/>
                <w:szCs w:val="21"/>
              </w:rPr>
              <w:t xml:space="preserve">Establishment of medical association units with other </w:t>
            </w:r>
            <w:r>
              <w:rPr>
                <w:rFonts w:ascii="Times New Roman Regular" w:hAnsi="Times New Roman Regular" w:eastAsia="宋体" w:cs="Times New Roman Regular"/>
                <w:color w:val="auto"/>
                <w:sz w:val="21"/>
                <w:szCs w:val="21"/>
                <w:lang w:val="en-US"/>
              </w:rPr>
              <w:t>healthcare institution</w:t>
            </w:r>
            <w:r>
              <w:rPr>
                <w:rFonts w:ascii="Times New Roman Regular" w:hAnsi="Times New Roman Regular" w:eastAsia="宋体" w:cs="Times New Roman Regular"/>
                <w:color w:val="auto"/>
                <w:sz w:val="21"/>
                <w:szCs w:val="21"/>
              </w:rPr>
              <w:t>s</w:t>
            </w:r>
          </w:p>
        </w:tc>
        <w:tc>
          <w:tcPr>
            <w:tcW w:w="4261" w:type="dxa"/>
            <w:tcBorders>
              <w:tl2br w:val="nil"/>
              <w:tr2bl w:val="nil"/>
            </w:tcBorders>
          </w:tcPr>
          <w:p w14:paraId="7B1DE803">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 xml:space="preserve"> Our community hospital will collaborate with some tertiary hospitals to integrate medical resources from all sides, thereby enhancing the health service capabilities of grassroots hospitals.</w:t>
            </w:r>
          </w:p>
        </w:tc>
      </w:tr>
      <w:tr w14:paraId="51514C5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4261" w:type="dxa"/>
            <w:tcBorders>
              <w:tl2br w:val="nil"/>
              <w:tr2bl w:val="nil"/>
            </w:tcBorders>
            <w:vAlign w:val="center"/>
          </w:tcPr>
          <w:p w14:paraId="54A93050">
            <w:pPr>
              <w:widowControl/>
              <w:adjustRightInd w:val="0"/>
              <w:snapToGrid w:val="0"/>
              <w:spacing w:line="360" w:lineRule="auto"/>
              <w:ind w:firstLine="0" w:firstLineChars="0"/>
              <w:textAlignment w:val="top"/>
              <w:rPr>
                <w:rFonts w:ascii="Times New Roman Regular" w:hAnsi="Times New Roman Regular" w:eastAsia="宋体" w:cs="Times New Roman Regular"/>
                <w:color w:val="auto"/>
                <w:kern w:val="2"/>
                <w:sz w:val="21"/>
                <w:szCs w:val="21"/>
                <w:lang w:val="en-US" w:eastAsia="zh-CN" w:bidi="ar-SA"/>
              </w:rPr>
            </w:pPr>
            <w:r>
              <w:rPr>
                <w:rFonts w:eastAsia="宋体" w:cs="Times New Roman"/>
                <w:color w:val="auto"/>
                <w:sz w:val="21"/>
                <w:szCs w:val="21"/>
              </w:rPr>
              <w:t>B60:</w:t>
            </w:r>
            <w:r>
              <w:rPr>
                <w:rFonts w:ascii="Times New Roman Regular" w:hAnsi="Times New Roman Regular" w:eastAsia="宋体" w:cs="Times New Roman Regular"/>
                <w:color w:val="auto"/>
                <w:sz w:val="21"/>
                <w:szCs w:val="21"/>
              </w:rPr>
              <w:t>Rely on universities to build high-quality research platforms</w:t>
            </w:r>
          </w:p>
        </w:tc>
        <w:tc>
          <w:tcPr>
            <w:tcW w:w="4261" w:type="dxa"/>
            <w:tcBorders>
              <w:tl2br w:val="nil"/>
              <w:tr2bl w:val="nil"/>
            </w:tcBorders>
          </w:tcPr>
          <w:p w14:paraId="68B48F09">
            <w:pPr>
              <w:keepNext/>
              <w:adjustRightInd w:val="0"/>
              <w:snapToGrid w:val="0"/>
              <w:spacing w:line="360" w:lineRule="auto"/>
              <w:ind w:left="0" w:leftChars="0" w:firstLine="0" w:firstLineChars="0"/>
              <w:jc w:val="both"/>
              <w:rPr>
                <w:sz w:val="21"/>
                <w:szCs w:val="21"/>
                <w:vertAlign w:val="baseline"/>
              </w:rPr>
            </w:pPr>
            <w:r>
              <w:rPr>
                <w:rFonts w:hint="eastAsia"/>
                <w:sz w:val="21"/>
                <w:szCs w:val="21"/>
                <w:vertAlign w:val="baseline"/>
              </w:rPr>
              <w:t>Relying on the platform advantages of affiliated hospitals of universities, we actively utilize the scientific research resources of universities and enhance exchanges and learning, which can accelerate the improvement of medical technology.</w:t>
            </w:r>
          </w:p>
        </w:tc>
      </w:tr>
    </w:tbl>
    <w:p w14:paraId="05F06D44">
      <w:pPr>
        <w:keepNext/>
        <w:adjustRightInd w:val="0"/>
        <w:snapToGrid w:val="0"/>
        <w:spacing w:line="360" w:lineRule="auto"/>
        <w:ind w:firstLine="420"/>
        <w:jc w:val="center"/>
        <w:rPr>
          <w:sz w:val="21"/>
          <w:szCs w:val="21"/>
        </w:rPr>
      </w:pPr>
    </w:p>
    <w:p w14:paraId="17D7104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603050405020304"/>
    <w:charset w:val="00"/>
    <w:family w:val="auto"/>
    <w:pitch w:val="default"/>
    <w:sig w:usb0="E0002AEF" w:usb1="C0007841" w:usb2="00000009" w:usb3="00000000" w:csb0="400001FF" w:csb1="FFFF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FCE35C"/>
    <w:rsid w:val="1FEE7BA7"/>
    <w:rsid w:val="1FFA3355"/>
    <w:rsid w:val="2BB3735A"/>
    <w:rsid w:val="2EBD2E85"/>
    <w:rsid w:val="2FEF6FE9"/>
    <w:rsid w:val="37F5A1B0"/>
    <w:rsid w:val="3E7F9AE0"/>
    <w:rsid w:val="3F7FFA10"/>
    <w:rsid w:val="573F6B8A"/>
    <w:rsid w:val="5BEF2C6A"/>
    <w:rsid w:val="5EFF149D"/>
    <w:rsid w:val="5FEF21F0"/>
    <w:rsid w:val="677D1DC4"/>
    <w:rsid w:val="677F5186"/>
    <w:rsid w:val="6ED6052F"/>
    <w:rsid w:val="6FFDE1D1"/>
    <w:rsid w:val="7369CDD7"/>
    <w:rsid w:val="76D271C5"/>
    <w:rsid w:val="76EEB411"/>
    <w:rsid w:val="7C7F6288"/>
    <w:rsid w:val="7EBF459D"/>
    <w:rsid w:val="7FF7E372"/>
    <w:rsid w:val="9BC2EFB2"/>
    <w:rsid w:val="9ED650FF"/>
    <w:rsid w:val="B4D7C925"/>
    <w:rsid w:val="BBBFBB06"/>
    <w:rsid w:val="C3FBFA7B"/>
    <w:rsid w:val="CFDCAE01"/>
    <w:rsid w:val="D1EF3C02"/>
    <w:rsid w:val="D7BAD961"/>
    <w:rsid w:val="DDFE0714"/>
    <w:rsid w:val="DE8E60CA"/>
    <w:rsid w:val="E6F622CD"/>
    <w:rsid w:val="ECDCFB66"/>
    <w:rsid w:val="EE7FB37F"/>
    <w:rsid w:val="EEBFA4A3"/>
    <w:rsid w:val="EFD0CB7E"/>
    <w:rsid w:val="F2BD59BD"/>
    <w:rsid w:val="F77EF379"/>
    <w:rsid w:val="F7F13A35"/>
    <w:rsid w:val="F8F6F2B1"/>
    <w:rsid w:val="F99A73E4"/>
    <w:rsid w:val="FA2F6F8A"/>
    <w:rsid w:val="FBFCE35C"/>
    <w:rsid w:val="FC9F54B6"/>
    <w:rsid w:val="FE1D738F"/>
    <w:rsid w:val="FFE2A755"/>
    <w:rsid w:val="FFFD45D1"/>
    <w:rsid w:val="FFFDD6DA"/>
    <w:rsid w:val="FFFDE4B3"/>
    <w:rsid w:val="FFFF8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Theme="minorEastAsia" w:cstheme="minorBidi"/>
      <w:color w:val="000000" w:themeColor="text1"/>
      <w:kern w:val="2"/>
      <w:sz w:val="24"/>
      <w:szCs w:val="24"/>
      <w:lang w:val="en-US" w:eastAsia="zh-CN" w:bidi="ar-SA"/>
      <w14:textFill>
        <w14:solidFill>
          <w14:schemeClr w14:val="tx1"/>
        </w14:solidFill>
      </w14:textFill>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1</Lines>
  <Paragraphs>1</Paragraphs>
  <TotalTime>0</TotalTime>
  <ScaleCrop>false</ScaleCrop>
  <LinksUpToDate>false</LinksUpToDate>
  <CharactersWithSpaces>0</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2025-10-14T02:16:00Z</dcterms:created>
  <dc:creator>作者</dc:creator>
  <cp:lastModifiedBy>作者</cp:lastModifiedBy>
  <dcterms:modified xsi:type="dcterms:W3CDTF">2026-07-24T00:44:54Z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086744D1160CCFA27A0FEB68E2AA135E_41</vt:lpwstr>
  </property>
</Properties>
</file>