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CFE32" w14:textId="75A8AD34" w:rsidR="00FD0770" w:rsidRPr="00A81F15" w:rsidRDefault="00CB5606">
      <w:pPr>
        <w:pStyle w:val="Heading1"/>
        <w:rPr>
          <w:color w:val="auto"/>
        </w:rPr>
      </w:pPr>
      <w:r w:rsidRPr="00A81F15">
        <w:rPr>
          <w:color w:val="auto"/>
          <w:sz w:val="25"/>
        </w:rPr>
        <w:t>Supplementary Table 2 Overview of Included Papers, Thematic Coding, and Domain Basis</w:t>
      </w:r>
    </w:p>
    <w:p w14:paraId="67A1F7AC" w14:textId="7EA675D6" w:rsidR="00FD0770" w:rsidRPr="005235FD" w:rsidRDefault="00CB5606">
      <w:pPr>
        <w:rPr>
          <w:rFonts w:asciiTheme="majorHAnsi" w:hAnsiTheme="majorHAnsi" w:cstheme="majorHAnsi"/>
          <w:iCs/>
        </w:rPr>
      </w:pPr>
      <w:r w:rsidRPr="005235FD">
        <w:rPr>
          <w:rFonts w:asciiTheme="majorHAnsi" w:hAnsiTheme="majorHAnsi" w:cstheme="majorHAnsi"/>
          <w:iCs/>
          <w:sz w:val="18"/>
        </w:rPr>
        <w:t>This table lists the 47 studies included in the scoping review, the domain(s) each study was coded to, and the basis for that coding. Where available, the basis is drawn from actual extracted findings and themes recorded in Covidence (24 of 47 studies); where Covidence extraction records were not available, the basis is drawn from the study’s recorded aim/objective (shown in the “Source of basis” column). Domain coding: 1 = Geographic and Transport; 2 = Workforce and Service Availability; 3 = Financial and Business Factors; 4 = Cultural Factors; 5 = Health System and Policy Factors.</w:t>
      </w:r>
    </w:p>
    <w:tbl>
      <w:tblPr>
        <w:tblStyle w:val="TableGrid"/>
        <w:tblW w:w="5000" w:type="pct"/>
        <w:tblLook w:val="04A0" w:firstRow="1" w:lastRow="0" w:firstColumn="1" w:lastColumn="0" w:noHBand="0" w:noVBand="1"/>
      </w:tblPr>
      <w:tblGrid>
        <w:gridCol w:w="1830"/>
        <w:gridCol w:w="591"/>
        <w:gridCol w:w="2577"/>
        <w:gridCol w:w="987"/>
        <w:gridCol w:w="4934"/>
        <w:gridCol w:w="2018"/>
        <w:gridCol w:w="1645"/>
      </w:tblGrid>
      <w:tr w:rsidR="00FD0770" w:rsidRPr="005235FD" w14:paraId="08F301ED" w14:textId="77777777" w:rsidTr="00AC7C55">
        <w:tc>
          <w:tcPr>
            <w:tcW w:w="630" w:type="pct"/>
          </w:tcPr>
          <w:p w14:paraId="4BA76C6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b/>
                <w:sz w:val="18"/>
                <w:szCs w:val="18"/>
              </w:rPr>
              <w:t>Authors</w:t>
            </w:r>
          </w:p>
        </w:tc>
        <w:tc>
          <w:tcPr>
            <w:tcW w:w="205" w:type="pct"/>
          </w:tcPr>
          <w:p w14:paraId="70F6B35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b/>
                <w:sz w:val="18"/>
                <w:szCs w:val="18"/>
              </w:rPr>
              <w:t>Year</w:t>
            </w:r>
          </w:p>
        </w:tc>
        <w:tc>
          <w:tcPr>
            <w:tcW w:w="886" w:type="pct"/>
          </w:tcPr>
          <w:p w14:paraId="434AD71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b/>
                <w:sz w:val="18"/>
                <w:szCs w:val="18"/>
              </w:rPr>
              <w:t>Title</w:t>
            </w:r>
          </w:p>
        </w:tc>
        <w:tc>
          <w:tcPr>
            <w:tcW w:w="324" w:type="pct"/>
          </w:tcPr>
          <w:p w14:paraId="292B4A8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b/>
                <w:sz w:val="18"/>
                <w:szCs w:val="18"/>
              </w:rPr>
              <w:t>Domain(s)</w:t>
            </w:r>
          </w:p>
        </w:tc>
        <w:tc>
          <w:tcPr>
            <w:tcW w:w="1694" w:type="pct"/>
          </w:tcPr>
          <w:p w14:paraId="7CD6F275"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b/>
                <w:sz w:val="18"/>
                <w:szCs w:val="18"/>
              </w:rPr>
              <w:t>Basis for domain coding</w:t>
            </w:r>
          </w:p>
        </w:tc>
        <w:tc>
          <w:tcPr>
            <w:tcW w:w="694" w:type="pct"/>
          </w:tcPr>
          <w:p w14:paraId="5D20756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b/>
                <w:sz w:val="18"/>
                <w:szCs w:val="18"/>
              </w:rPr>
              <w:t>Source of basis</w:t>
            </w:r>
          </w:p>
        </w:tc>
        <w:tc>
          <w:tcPr>
            <w:tcW w:w="566" w:type="pct"/>
          </w:tcPr>
          <w:p w14:paraId="4144D6D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b/>
                <w:sz w:val="18"/>
                <w:szCs w:val="18"/>
              </w:rPr>
              <w:t>Journal</w:t>
            </w:r>
          </w:p>
        </w:tc>
      </w:tr>
      <w:tr w:rsidR="00FD0770" w:rsidRPr="005235FD" w14:paraId="016076C7" w14:textId="77777777" w:rsidTr="00AC7C55">
        <w:tc>
          <w:tcPr>
            <w:tcW w:w="630" w:type="pct"/>
          </w:tcPr>
          <w:p w14:paraId="6D9D925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Brown, A.; </w:t>
            </w:r>
            <w:proofErr w:type="gramStart"/>
            <w:r w:rsidRPr="005235FD">
              <w:rPr>
                <w:rFonts w:asciiTheme="majorHAnsi" w:hAnsiTheme="majorHAnsi" w:cstheme="majorHAnsi"/>
                <w:sz w:val="18"/>
                <w:szCs w:val="18"/>
              </w:rPr>
              <w:t>Cant</w:t>
            </w:r>
            <w:proofErr w:type="gramEnd"/>
            <w:r w:rsidRPr="005235FD">
              <w:rPr>
                <w:rFonts w:asciiTheme="majorHAnsi" w:hAnsiTheme="majorHAnsi" w:cstheme="majorHAnsi"/>
                <w:sz w:val="18"/>
                <w:szCs w:val="18"/>
              </w:rPr>
              <w:t>, A.; Wolfgang, R.; Ramsden, R.; Heaney, S.; Brown, L.J.</w:t>
            </w:r>
          </w:p>
        </w:tc>
        <w:tc>
          <w:tcPr>
            <w:tcW w:w="205" w:type="pct"/>
          </w:tcPr>
          <w:p w14:paraId="510360F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2025</w:t>
            </w:r>
          </w:p>
        </w:tc>
        <w:tc>
          <w:tcPr>
            <w:tcW w:w="886" w:type="pct"/>
          </w:tcPr>
          <w:p w14:paraId="09AB529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Investigation of primary health care service delivery models used in allied health practice in rural and remote areas of Australia: a systematic review</w:t>
            </w:r>
          </w:p>
        </w:tc>
        <w:tc>
          <w:tcPr>
            <w:tcW w:w="324" w:type="pct"/>
          </w:tcPr>
          <w:p w14:paraId="0C8B946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2, 5</w:t>
            </w:r>
          </w:p>
        </w:tc>
        <w:tc>
          <w:tcPr>
            <w:tcW w:w="1694" w:type="pct"/>
          </w:tcPr>
          <w:p w14:paraId="61C882A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Access | Service availability | Frequency and reach of services | 2. Quality of Care | Clinical outcomes (e.g., glycaemic control, mental health improvements) | Patient satisfaction | Continuity of care | 3. Health Outcomes / Effectiveness | Improvements in: | Mental health | Chronic disease indicators | Health behaviours | Key Finding: | Limited robust evidence of effectiveness due to: | Many descriptive studies | Lack of rigorous evaluation</w:t>
            </w:r>
          </w:p>
        </w:tc>
        <w:tc>
          <w:tcPr>
            <w:tcW w:w="694" w:type="pct"/>
          </w:tcPr>
          <w:p w14:paraId="64489DE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0DE75F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BMC Health Services Research</w:t>
            </w:r>
          </w:p>
        </w:tc>
      </w:tr>
      <w:tr w:rsidR="008811AC" w:rsidRPr="005235FD" w14:paraId="74F35E46" w14:textId="77777777" w:rsidTr="00AC7C55">
        <w:tc>
          <w:tcPr>
            <w:tcW w:w="630" w:type="pct"/>
          </w:tcPr>
          <w:p w14:paraId="6CB94EF0"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 xml:space="preserve">Carey, T.A.; </w:t>
            </w:r>
            <w:proofErr w:type="spellStart"/>
            <w:r w:rsidRPr="005235FD">
              <w:rPr>
                <w:rFonts w:asciiTheme="majorHAnsi" w:hAnsiTheme="majorHAnsi" w:cstheme="majorHAnsi"/>
                <w:sz w:val="18"/>
                <w:szCs w:val="18"/>
              </w:rPr>
              <w:t>Sirett</w:t>
            </w:r>
            <w:proofErr w:type="spellEnd"/>
            <w:r w:rsidRPr="005235FD">
              <w:rPr>
                <w:rFonts w:asciiTheme="majorHAnsi" w:hAnsiTheme="majorHAnsi" w:cstheme="majorHAnsi"/>
                <w:sz w:val="18"/>
                <w:szCs w:val="18"/>
              </w:rPr>
              <w:t>, D.; Russell, D.; Humphreys, J.S.; Wakerman, J.</w:t>
            </w:r>
          </w:p>
        </w:tc>
        <w:tc>
          <w:tcPr>
            <w:tcW w:w="205" w:type="pct"/>
          </w:tcPr>
          <w:p w14:paraId="1C163232"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2018</w:t>
            </w:r>
          </w:p>
        </w:tc>
        <w:tc>
          <w:tcPr>
            <w:tcW w:w="886" w:type="pct"/>
          </w:tcPr>
          <w:p w14:paraId="1A90617D"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What is the overall impact or effectiveness of visiting primary health care services in rural and remote communities in high-income countries? A systematic review</w:t>
            </w:r>
          </w:p>
        </w:tc>
        <w:tc>
          <w:tcPr>
            <w:tcW w:w="324" w:type="pct"/>
          </w:tcPr>
          <w:p w14:paraId="2FF8AA2A"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1, 2, 5</w:t>
            </w:r>
          </w:p>
        </w:tc>
        <w:tc>
          <w:tcPr>
            <w:tcW w:w="1694" w:type="pct"/>
          </w:tcPr>
          <w:p w14:paraId="3051EE4A"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To assess the impact and effectiveness of visiting primary health care services in rural and remote communities in high-income countries, particularly as a response to workforce deficits and access barriers.</w:t>
            </w:r>
          </w:p>
          <w:p w14:paraId="7F90185C" w14:textId="0B35C9B5" w:rsidR="008811AC" w:rsidRPr="005235FD" w:rsidRDefault="008811AC" w:rsidP="008811AC">
            <w:pPr>
              <w:rPr>
                <w:rFonts w:asciiTheme="majorHAnsi" w:hAnsiTheme="majorHAnsi" w:cstheme="majorHAnsi"/>
                <w:sz w:val="18"/>
                <w:szCs w:val="18"/>
                <w:lang w:val="en-AU"/>
              </w:rPr>
            </w:pPr>
            <w:r w:rsidRPr="005235FD">
              <w:rPr>
                <w:rFonts w:asciiTheme="majorHAnsi" w:hAnsiTheme="majorHAnsi" w:cstheme="majorHAnsi"/>
                <w:sz w:val="18"/>
                <w:szCs w:val="18"/>
                <w:lang w:val="en-AU"/>
              </w:rPr>
              <w:t>Visiting services increased access in communities too small or isolated to support resident services. |Service location and visit frequency affected accessibility; once-weekly visits were sometimes considered insufficient.|</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Visiting services addressed rural workforce shortages and sometimes reduced waiting lists. |Continuity, appropriate scheduling, coordination with resident services and support for local staff were important enablers.</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Visiting services required coordination, an appropriate scope, continuity, local support and ongoing evaluation. |The evidence base was insufficient to determine the best structure or inform confident policy decisions.</w:t>
            </w:r>
          </w:p>
          <w:p w14:paraId="71A4D81C" w14:textId="77777777" w:rsidR="008811AC" w:rsidRPr="005235FD" w:rsidRDefault="008811AC" w:rsidP="008811AC">
            <w:pPr>
              <w:rPr>
                <w:rFonts w:asciiTheme="majorHAnsi" w:hAnsiTheme="majorHAnsi" w:cstheme="majorHAnsi"/>
                <w:sz w:val="18"/>
                <w:szCs w:val="18"/>
              </w:rPr>
            </w:pPr>
          </w:p>
        </w:tc>
        <w:tc>
          <w:tcPr>
            <w:tcW w:w="694" w:type="pct"/>
          </w:tcPr>
          <w:p w14:paraId="5C03959E" w14:textId="65DA6030"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108FBA86"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BMC Health Services Research</w:t>
            </w:r>
          </w:p>
        </w:tc>
      </w:tr>
      <w:tr w:rsidR="00261A7F" w:rsidRPr="005235FD" w14:paraId="12A72A8D" w14:textId="77777777" w:rsidTr="00AC7C55">
        <w:tc>
          <w:tcPr>
            <w:tcW w:w="630" w:type="pct"/>
          </w:tcPr>
          <w:p w14:paraId="37749B17"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Chapman, A.; Buccheri, A.; Mohotti, D.; Wong Shee, A.; Huggins, CE.; Alston, L.; Hutchinson, AM.; Lin Yoong, S.; Beks, H.; Mc Namara, K.; Peeters, A.;  Ugalde, A.</w:t>
            </w:r>
          </w:p>
        </w:tc>
        <w:tc>
          <w:tcPr>
            <w:tcW w:w="205" w:type="pct"/>
          </w:tcPr>
          <w:p w14:paraId="0F6E9E58"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2025</w:t>
            </w:r>
          </w:p>
        </w:tc>
        <w:tc>
          <w:tcPr>
            <w:tcW w:w="886" w:type="pct"/>
          </w:tcPr>
          <w:p w14:paraId="21BD5968"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Staff-reported barriers and facilitators to the implementation of healthcare interventions within regional and rural areas: a rapid review</w:t>
            </w:r>
          </w:p>
        </w:tc>
        <w:tc>
          <w:tcPr>
            <w:tcW w:w="324" w:type="pct"/>
          </w:tcPr>
          <w:p w14:paraId="781BB089"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2</w:t>
            </w:r>
          </w:p>
        </w:tc>
        <w:tc>
          <w:tcPr>
            <w:tcW w:w="1694" w:type="pct"/>
          </w:tcPr>
          <w:p w14:paraId="22F80A0C"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The aim of the study is to synthesize barriers and facilitators to the implementation of healthcare interventions in regional and rural healthcare services as reported by healthcare staff. The objective is to provide essential guidance for policymakers.</w:t>
            </w:r>
          </w:p>
          <w:p w14:paraId="59507C17" w14:textId="18744D37" w:rsidR="00261A7F" w:rsidRPr="005235FD" w:rsidRDefault="00261A7F" w:rsidP="00261A7F">
            <w:pPr>
              <w:rPr>
                <w:rFonts w:asciiTheme="majorHAnsi" w:hAnsiTheme="majorHAnsi" w:cstheme="majorHAnsi"/>
                <w:sz w:val="18"/>
                <w:szCs w:val="18"/>
                <w:lang w:val="en-AU"/>
              </w:rPr>
            </w:pPr>
            <w:r w:rsidRPr="005235FD">
              <w:rPr>
                <w:rFonts w:asciiTheme="majorHAnsi" w:hAnsiTheme="majorHAnsi" w:cstheme="majorHAnsi"/>
                <w:sz w:val="18"/>
                <w:szCs w:val="18"/>
                <w:lang w:val="en-AU"/>
              </w:rPr>
              <w:t>Recruitment difficulties, workforce shortages and high turnover were recurring barriers. |Workforce shortages increased workloads, time pressure and competing clinical priorities.</w:t>
            </w:r>
          </w:p>
        </w:tc>
        <w:tc>
          <w:tcPr>
            <w:tcW w:w="694" w:type="pct"/>
          </w:tcPr>
          <w:p w14:paraId="7FB5762A" w14:textId="1A649B50"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6F83141A"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BMC Health Services Research</w:t>
            </w:r>
          </w:p>
        </w:tc>
      </w:tr>
      <w:tr w:rsidR="00FD0770" w:rsidRPr="005235FD" w14:paraId="38707852" w14:textId="77777777" w:rsidTr="00AC7C55">
        <w:tc>
          <w:tcPr>
            <w:tcW w:w="630" w:type="pct"/>
          </w:tcPr>
          <w:p w14:paraId="3218158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Couch, Danielle; ; O'Sullivan, Belinda; Russell, Deborah; McGrail, Matthew; Wallace, Glen; </w:t>
            </w:r>
            <w:r w:rsidRPr="005235FD">
              <w:rPr>
                <w:rFonts w:asciiTheme="majorHAnsi" w:hAnsiTheme="majorHAnsi" w:cstheme="majorHAnsi"/>
                <w:sz w:val="18"/>
                <w:szCs w:val="18"/>
              </w:rPr>
              <w:lastRenderedPageBreak/>
              <w:t>Bentley, Michael</w:t>
            </w:r>
          </w:p>
        </w:tc>
        <w:tc>
          <w:tcPr>
            <w:tcW w:w="205" w:type="pct"/>
          </w:tcPr>
          <w:p w14:paraId="60FDA4C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2020</w:t>
            </w:r>
          </w:p>
        </w:tc>
        <w:tc>
          <w:tcPr>
            <w:tcW w:w="886" w:type="pct"/>
          </w:tcPr>
          <w:p w14:paraId="7DA6E82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An exploration of the experiences of GP registrar supervisors in small rural communities: a qualitative study.</w:t>
            </w:r>
          </w:p>
        </w:tc>
        <w:tc>
          <w:tcPr>
            <w:tcW w:w="324" w:type="pct"/>
          </w:tcPr>
          <w:p w14:paraId="072581D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w:t>
            </w:r>
          </w:p>
        </w:tc>
        <w:tc>
          <w:tcPr>
            <w:tcW w:w="1694" w:type="pct"/>
          </w:tcPr>
          <w:p w14:paraId="44F365E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Supervising GP registrars positively impacts quality of clinical care, reduces busy-ness, and improves patient access to primary care in rural settings. | Better policies are needed to ensure continuity of registrars and viable supervision models tailored to rural contexts. | Business factors such as registrar allocation and </w:t>
            </w:r>
            <w:r w:rsidRPr="005235FD">
              <w:rPr>
                <w:rFonts w:asciiTheme="majorHAnsi" w:hAnsiTheme="majorHAnsi" w:cstheme="majorHAnsi"/>
                <w:sz w:val="18"/>
                <w:szCs w:val="18"/>
              </w:rPr>
              <w:lastRenderedPageBreak/>
              <w:t>financial models significantly affect rural GP supervision. [Themes: Supervision participation related to quality of clinical care | Busy-ness of the practice | Patient access | Energising rural GPs | Business factors]</w:t>
            </w:r>
          </w:p>
        </w:tc>
        <w:tc>
          <w:tcPr>
            <w:tcW w:w="694" w:type="pct"/>
          </w:tcPr>
          <w:p w14:paraId="489A3E3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6051AD4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BMC health services research</w:t>
            </w:r>
          </w:p>
        </w:tc>
      </w:tr>
      <w:tr w:rsidR="00261A7F" w:rsidRPr="005235FD" w14:paraId="6E119E26" w14:textId="77777777" w:rsidTr="00AC7C55">
        <w:tc>
          <w:tcPr>
            <w:tcW w:w="630" w:type="pct"/>
          </w:tcPr>
          <w:p w14:paraId="4DC4B63C"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Cunningham, J.; Bailie, J.; Warner, S.; Condon, A.; Cheung, D.; Minc, A.; Herbert, S.; Edmiston, N.</w:t>
            </w:r>
          </w:p>
        </w:tc>
        <w:tc>
          <w:tcPr>
            <w:tcW w:w="205" w:type="pct"/>
          </w:tcPr>
          <w:p w14:paraId="0E8FEA7A"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4222F328"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Determinants of access to general practice in a shared care model for people living with HIV: a qualitative study of patients’ perspectives in an Australian rural community</w:t>
            </w:r>
          </w:p>
        </w:tc>
        <w:tc>
          <w:tcPr>
            <w:tcW w:w="324" w:type="pct"/>
          </w:tcPr>
          <w:p w14:paraId="51D71F25"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1, 2, 3, 5</w:t>
            </w:r>
          </w:p>
        </w:tc>
        <w:tc>
          <w:tcPr>
            <w:tcW w:w="1694" w:type="pct"/>
          </w:tcPr>
          <w:p w14:paraId="48446ABB"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To explore patients’ perspectives on determinants of access to general practice within a shared care model for people living with HIV in a rural Australian community.</w:t>
            </w:r>
          </w:p>
          <w:p w14:paraId="44D2B192" w14:textId="7538F94E" w:rsidR="00261A7F" w:rsidRPr="005235FD" w:rsidRDefault="00261A7F" w:rsidP="00261A7F">
            <w:pPr>
              <w:rPr>
                <w:rFonts w:asciiTheme="majorHAnsi" w:hAnsiTheme="majorHAnsi" w:cstheme="majorHAnsi"/>
                <w:sz w:val="18"/>
                <w:szCs w:val="18"/>
                <w:lang w:val="en-AU"/>
              </w:rPr>
            </w:pPr>
            <w:r w:rsidRPr="005235FD">
              <w:rPr>
                <w:rFonts w:asciiTheme="majorHAnsi" w:hAnsiTheme="majorHAnsi" w:cstheme="majorHAnsi"/>
                <w:sz w:val="18"/>
                <w:szCs w:val="18"/>
                <w:lang w:val="en-AU"/>
              </w:rPr>
              <w:t>Distance to GP appointments prevented some participants from attending. |Patients sometimes travelled long distances to retain a trusted GP after either the patient or GP relocated.</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 xml:space="preserve">Participants valued GPs with appropriate HIV knowledge, adequate consultation time and the ability to provide thorough, holistic care. |Rural workforce limitations reduced the availability of both </w:t>
            </w:r>
            <w:proofErr w:type="gramStart"/>
            <w:r w:rsidRPr="005235FD">
              <w:rPr>
                <w:rFonts w:asciiTheme="majorHAnsi" w:hAnsiTheme="majorHAnsi" w:cstheme="majorHAnsi"/>
                <w:sz w:val="18"/>
                <w:szCs w:val="18"/>
                <w:lang w:val="en-AU"/>
              </w:rPr>
              <w:t>bulk-billing</w:t>
            </w:r>
            <w:proofErr w:type="gramEnd"/>
            <w:r w:rsidRPr="005235FD">
              <w:rPr>
                <w:rFonts w:asciiTheme="majorHAnsi" w:hAnsiTheme="majorHAnsi" w:cstheme="majorHAnsi"/>
                <w:sz w:val="18"/>
                <w:szCs w:val="18"/>
                <w:lang w:val="en-AU"/>
              </w:rPr>
              <w:t xml:space="preserve"> and continuity-based general practice.</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The limited availability of bulk-billing GPs was a major barrier. |Some participants avoided general practice or relied on specialist care because of costs. |Communication between GPs and HIV specialists was inconsistent and sometimes unidirectional. |Separate state health systems created communication and information-sharing difficulties for people receiving care across borders.</w:t>
            </w:r>
          </w:p>
        </w:tc>
        <w:tc>
          <w:tcPr>
            <w:tcW w:w="694" w:type="pct"/>
          </w:tcPr>
          <w:p w14:paraId="61F313CA" w14:textId="44C4C9E9"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454B1FD9" w14:textId="77777777" w:rsidR="00261A7F" w:rsidRPr="005235FD" w:rsidRDefault="00261A7F" w:rsidP="00261A7F">
            <w:pPr>
              <w:rPr>
                <w:rFonts w:asciiTheme="majorHAnsi" w:hAnsiTheme="majorHAnsi" w:cstheme="majorHAnsi"/>
                <w:sz w:val="18"/>
                <w:szCs w:val="18"/>
              </w:rPr>
            </w:pPr>
            <w:r w:rsidRPr="005235FD">
              <w:rPr>
                <w:rFonts w:asciiTheme="majorHAnsi" w:hAnsiTheme="majorHAnsi" w:cstheme="majorHAnsi"/>
                <w:sz w:val="18"/>
                <w:szCs w:val="18"/>
              </w:rPr>
              <w:t>BMC Primary Care</w:t>
            </w:r>
          </w:p>
        </w:tc>
      </w:tr>
      <w:tr w:rsidR="00FD0770" w:rsidRPr="005235FD" w14:paraId="752A9943" w14:textId="77777777" w:rsidTr="00AC7C55">
        <w:tc>
          <w:tcPr>
            <w:tcW w:w="630" w:type="pct"/>
          </w:tcPr>
          <w:p w14:paraId="34ECFB3C"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Dalton, Hazel; Cosgrave, Catherine; MacKinnon, Duncan</w:t>
            </w:r>
          </w:p>
        </w:tc>
        <w:tc>
          <w:tcPr>
            <w:tcW w:w="205" w:type="pct"/>
          </w:tcPr>
          <w:p w14:paraId="026F082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7897EA4C"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Teen Clinic: An integrated primary healthcare model that improves access for young people in rural communities</w:t>
            </w:r>
          </w:p>
        </w:tc>
        <w:tc>
          <w:tcPr>
            <w:tcW w:w="324" w:type="pct"/>
          </w:tcPr>
          <w:p w14:paraId="77045FA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2, 3, 4</w:t>
            </w:r>
          </w:p>
        </w:tc>
        <w:tc>
          <w:tcPr>
            <w:tcW w:w="1694" w:type="pct"/>
          </w:tcPr>
          <w:p w14:paraId="7DD70FD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The Teen Clinic model successfully increases healthcare access for young people in rural areas. | Relational and cultural factors are more important than organizational processes for the model's integration. | Dedicated sustainable funding is a key challenge for the model's long-term sustainability. [Themes: Accessibility: approachability, acceptability, availability, accommodation, affordability, appropriateness | Barriers to sustainability: lack of dedicated funding | Enablers for practice integration: relational and cultural factors | Appropriateness: early intervention, confidentiality, equitable...]</w:t>
            </w:r>
          </w:p>
        </w:tc>
        <w:tc>
          <w:tcPr>
            <w:tcW w:w="694" w:type="pct"/>
          </w:tcPr>
          <w:p w14:paraId="3E879A8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733FE46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Australian Journal of Rural Health</w:t>
            </w:r>
          </w:p>
        </w:tc>
      </w:tr>
      <w:tr w:rsidR="00FD0770" w:rsidRPr="005235FD" w14:paraId="35FCA6E7" w14:textId="77777777" w:rsidTr="00AC7C55">
        <w:tc>
          <w:tcPr>
            <w:tcW w:w="630" w:type="pct"/>
          </w:tcPr>
          <w:p w14:paraId="7E4688C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Davison, R.; Hobbs, M.; Quirk, F.; Guppy, M.</w:t>
            </w:r>
          </w:p>
        </w:tc>
        <w:tc>
          <w:tcPr>
            <w:tcW w:w="205" w:type="pct"/>
          </w:tcPr>
          <w:p w14:paraId="72F9908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6B2B913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General practitioners' perspectives on the management of refugee health: a qualitative study</w:t>
            </w:r>
          </w:p>
        </w:tc>
        <w:tc>
          <w:tcPr>
            <w:tcW w:w="324" w:type="pct"/>
          </w:tcPr>
          <w:p w14:paraId="016DFD8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1, 2, 4</w:t>
            </w:r>
          </w:p>
        </w:tc>
        <w:tc>
          <w:tcPr>
            <w:tcW w:w="1694" w:type="pct"/>
          </w:tcPr>
          <w:p w14:paraId="73A3560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The main challenges in managing refugee healthcare in regional Australia include language barriers, cultural differences, health literacy issues, and workforce shortages. | Despite these challenges, GPs are generally positive about providing care to refugees, with clinical and community </w:t>
            </w:r>
            <w:proofErr w:type="gramStart"/>
            <w:r w:rsidRPr="005235FD">
              <w:rPr>
                <w:rFonts w:asciiTheme="majorHAnsi" w:hAnsiTheme="majorHAnsi" w:cstheme="majorHAnsi"/>
                <w:sz w:val="18"/>
                <w:szCs w:val="18"/>
              </w:rPr>
              <w:t>supports</w:t>
            </w:r>
            <w:proofErr w:type="gramEnd"/>
            <w:r w:rsidRPr="005235FD">
              <w:rPr>
                <w:rFonts w:asciiTheme="majorHAnsi" w:hAnsiTheme="majorHAnsi" w:cstheme="majorHAnsi"/>
                <w:sz w:val="18"/>
                <w:szCs w:val="18"/>
              </w:rPr>
              <w:t xml:space="preserve"> being key facilitators. | The study highlights the need for preplanning and consultation with healthcare providers before and during refugee settlement to address these challenges effectively. [Themes: Communication difficulties | Cultural differences and lack of cultural familiarity | Limited workforce capacity | Financial and time constraints | Trauma and somatisation | Role of refugee health nurses and trauma counselling services | Benefits of refugee resettlement (positive </w:t>
            </w:r>
            <w:proofErr w:type="gramStart"/>
            <w:r w:rsidRPr="005235FD">
              <w:rPr>
                <w:rFonts w:asciiTheme="majorHAnsi" w:hAnsiTheme="majorHAnsi" w:cstheme="majorHAnsi"/>
                <w:sz w:val="18"/>
                <w:szCs w:val="18"/>
              </w:rPr>
              <w:t>relationships,...</w:t>
            </w:r>
            <w:proofErr w:type="gramEnd"/>
            <w:r w:rsidRPr="005235FD">
              <w:rPr>
                <w:rFonts w:asciiTheme="majorHAnsi" w:hAnsiTheme="majorHAnsi" w:cstheme="majorHAnsi"/>
                <w:sz w:val="18"/>
                <w:szCs w:val="18"/>
              </w:rPr>
              <w:t>]</w:t>
            </w:r>
          </w:p>
        </w:tc>
        <w:tc>
          <w:tcPr>
            <w:tcW w:w="694" w:type="pct"/>
          </w:tcPr>
          <w:p w14:paraId="5C28BA7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21863DC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BMJ Open</w:t>
            </w:r>
          </w:p>
        </w:tc>
      </w:tr>
      <w:tr w:rsidR="00FD0770" w:rsidRPr="005235FD" w14:paraId="34CDA58C" w14:textId="77777777" w:rsidTr="00AC7C55">
        <w:tc>
          <w:tcPr>
            <w:tcW w:w="630" w:type="pct"/>
          </w:tcPr>
          <w:p w14:paraId="389BBAD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Farnbach, S.; Fernando, J.; Coyte, J.; Simms, M.; Hackett, M.L.</w:t>
            </w:r>
          </w:p>
        </w:tc>
        <w:tc>
          <w:tcPr>
            <w:tcW w:w="205" w:type="pct"/>
          </w:tcPr>
          <w:p w14:paraId="495AC80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2021</w:t>
            </w:r>
          </w:p>
        </w:tc>
        <w:tc>
          <w:tcPr>
            <w:tcW w:w="886" w:type="pct"/>
          </w:tcPr>
          <w:p w14:paraId="3AB8A82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It's hard for me to tell my story-</w:t>
            </w:r>
            <w:r w:rsidRPr="005235FD">
              <w:rPr>
                <w:rFonts w:ascii="Calibri" w:hAnsi="Calibri" w:cs="Calibri"/>
                <w:sz w:val="18"/>
                <w:szCs w:val="18"/>
              </w:rPr>
              <w:t></w:t>
            </w:r>
            <w:r w:rsidRPr="005235FD">
              <w:rPr>
                <w:rFonts w:asciiTheme="majorHAnsi" w:hAnsiTheme="majorHAnsi" w:cstheme="majorHAnsi"/>
                <w:sz w:val="18"/>
                <w:szCs w:val="18"/>
              </w:rPr>
              <w:t xml:space="preserve"> the experiences of Aboriginal and Torres Strait Islander male clients at a residential drug and </w:t>
            </w:r>
            <w:r w:rsidRPr="005235FD">
              <w:rPr>
                <w:rFonts w:asciiTheme="majorHAnsi" w:hAnsiTheme="majorHAnsi" w:cstheme="majorHAnsi"/>
                <w:sz w:val="18"/>
                <w:szCs w:val="18"/>
              </w:rPr>
              <w:lastRenderedPageBreak/>
              <w:t>alcohol rehabilitation centre using primary health care</w:t>
            </w:r>
          </w:p>
        </w:tc>
        <w:tc>
          <w:tcPr>
            <w:tcW w:w="324" w:type="pct"/>
          </w:tcPr>
          <w:p w14:paraId="5917EAC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1, 2</w:t>
            </w:r>
          </w:p>
        </w:tc>
        <w:tc>
          <w:tcPr>
            <w:tcW w:w="1694" w:type="pct"/>
          </w:tcPr>
          <w:p w14:paraId="0596FC3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About half of the Aboriginal male participants had regular General Practitioners, but they faced barriers such as limited appointment availability and cultural bias. | Positive experiences included having medical needs met and </w:t>
            </w:r>
            <w:r w:rsidRPr="005235FD">
              <w:rPr>
                <w:rFonts w:asciiTheme="majorHAnsi" w:hAnsiTheme="majorHAnsi" w:cstheme="majorHAnsi"/>
                <w:sz w:val="18"/>
                <w:szCs w:val="18"/>
              </w:rPr>
              <w:lastRenderedPageBreak/>
              <w:t>understanding health information, while negative experiences included inefficiencies and racism. | The study highlights the importance of continuity of care and culturally appropriate communication to improve access to primary health care for Aboriginal males. [Themes: 1. Positive experiences with regular GPs | 2. Negative experiences without regular GPs | 3. Inefficient operational processes | 4. Limited appointment availability | 5. Lack of continuity in care | 6. Fear of receiving bad news | 7. Prioritization of family commitments over health | 8. Cultural...]</w:t>
            </w:r>
          </w:p>
        </w:tc>
        <w:tc>
          <w:tcPr>
            <w:tcW w:w="694" w:type="pct"/>
          </w:tcPr>
          <w:p w14:paraId="0C565945"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67AB61A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Health Promot. J. Aust.</w:t>
            </w:r>
          </w:p>
        </w:tc>
      </w:tr>
      <w:tr w:rsidR="00FD0770" w:rsidRPr="005235FD" w14:paraId="2FC9E0EF" w14:textId="77777777" w:rsidTr="00AC7C55">
        <w:tc>
          <w:tcPr>
            <w:tcW w:w="630" w:type="pct"/>
          </w:tcPr>
          <w:p w14:paraId="5054C4F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Fatima, Y.; Hays, R.; Neilson, A.; Knight, S.; Jatrana, S.</w:t>
            </w:r>
          </w:p>
        </w:tc>
        <w:tc>
          <w:tcPr>
            <w:tcW w:w="205" w:type="pct"/>
          </w:tcPr>
          <w:p w14:paraId="5F1476F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2022</w:t>
            </w:r>
          </w:p>
        </w:tc>
        <w:tc>
          <w:tcPr>
            <w:tcW w:w="886" w:type="pct"/>
          </w:tcPr>
          <w:p w14:paraId="2F25CA8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Why patients attend emergency department for primary care type problems: View of healthcare providers working in a remote community</w:t>
            </w:r>
          </w:p>
        </w:tc>
        <w:tc>
          <w:tcPr>
            <w:tcW w:w="324" w:type="pct"/>
          </w:tcPr>
          <w:p w14:paraId="57D6CE1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2, 5</w:t>
            </w:r>
          </w:p>
        </w:tc>
        <w:tc>
          <w:tcPr>
            <w:tcW w:w="1694" w:type="pct"/>
          </w:tcPr>
          <w:p w14:paraId="66AC512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The study identified three themes: access and logistic barriers, rational decision-making, and self-perceived urgency, which influence ED utilization for primary care issues. | There are differences in perception between ED and GP providers regarding patient access to services, with ED providers believing GP services are less accessible. | Improving communication and referral pathways between ED and GP services could reduce unnecessary ED utilization for primary care issues. [Themes: Access and logistic barriers | Rational decision-making | Self-perceived urgency]</w:t>
            </w:r>
          </w:p>
        </w:tc>
        <w:tc>
          <w:tcPr>
            <w:tcW w:w="694" w:type="pct"/>
          </w:tcPr>
          <w:p w14:paraId="7BB1D2A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6FEB452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Rural and Remote Health</w:t>
            </w:r>
          </w:p>
        </w:tc>
      </w:tr>
      <w:tr w:rsidR="00AC7C55" w:rsidRPr="005235FD" w14:paraId="6E26B7EE" w14:textId="77777777" w:rsidTr="00AC7C55">
        <w:tc>
          <w:tcPr>
            <w:tcW w:w="630" w:type="pct"/>
          </w:tcPr>
          <w:p w14:paraId="6EC707F7"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Faulks, F.; Edvardsson, K.; Shafiei, T.</w:t>
            </w:r>
          </w:p>
        </w:tc>
        <w:tc>
          <w:tcPr>
            <w:tcW w:w="205" w:type="pct"/>
          </w:tcPr>
          <w:p w14:paraId="64897215"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2024</w:t>
            </w:r>
          </w:p>
        </w:tc>
        <w:tc>
          <w:tcPr>
            <w:tcW w:w="886" w:type="pct"/>
          </w:tcPr>
          <w:p w14:paraId="07EA8A71"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Barriers and enablers to accessing perinatal health services for rural Australian women: A qualitative exploration of rural health care providers perspectives</w:t>
            </w:r>
          </w:p>
        </w:tc>
        <w:tc>
          <w:tcPr>
            <w:tcW w:w="324" w:type="pct"/>
          </w:tcPr>
          <w:p w14:paraId="4BCDB95D"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1, 2, 5</w:t>
            </w:r>
          </w:p>
        </w:tc>
        <w:tc>
          <w:tcPr>
            <w:tcW w:w="1694" w:type="pct"/>
          </w:tcPr>
          <w:p w14:paraId="5272AD84"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To explore rural healthcare providers’ perspectives on barriers and enablers influencing access to perinatal health services for rural Australian women.</w:t>
            </w:r>
          </w:p>
          <w:p w14:paraId="2E4CF3FC" w14:textId="392AF1C6" w:rsidR="00AC7C55" w:rsidRPr="005235FD" w:rsidRDefault="00AC7C55" w:rsidP="00261A7F">
            <w:pPr>
              <w:rPr>
                <w:rFonts w:asciiTheme="majorHAnsi" w:hAnsiTheme="majorHAnsi" w:cstheme="majorHAnsi"/>
                <w:sz w:val="18"/>
                <w:szCs w:val="18"/>
                <w:lang w:val="en-AU"/>
              </w:rPr>
            </w:pPr>
            <w:r w:rsidRPr="005235FD">
              <w:rPr>
                <w:rFonts w:asciiTheme="majorHAnsi" w:hAnsiTheme="majorHAnsi" w:cstheme="majorHAnsi"/>
                <w:sz w:val="18"/>
                <w:szCs w:val="18"/>
                <w:lang w:val="en-AU"/>
              </w:rPr>
              <w:t>Distance, transport availability, transport routes and travel costs affected women’s engagement with perinatal care. |Women without sufficient financial resources to travel were particularly disadvantaged.|</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Workforce shortages reduced local service availability and women’s choice of clinicians and models of care.</w:t>
            </w:r>
            <w:r w:rsidR="00261A7F" w:rsidRPr="005235FD">
              <w:rPr>
                <w:rFonts w:asciiTheme="majorHAnsi" w:hAnsiTheme="majorHAnsi" w:cstheme="majorHAnsi"/>
                <w:sz w:val="18"/>
                <w:szCs w:val="18"/>
                <w:lang w:val="en-AU"/>
              </w:rPr>
              <w:t>|</w:t>
            </w:r>
            <w:r w:rsidRPr="005235FD">
              <w:rPr>
                <w:rFonts w:asciiTheme="majorHAnsi" w:hAnsiTheme="majorHAnsi" w:cstheme="majorHAnsi"/>
                <w:sz w:val="18"/>
                <w:szCs w:val="18"/>
                <w:lang w:val="en-AU"/>
              </w:rPr>
              <w:t xml:space="preserve"> Tensions between professional groups could restrict referrals and the information given to women about care options.</w:t>
            </w:r>
            <w:r w:rsidR="00261A7F" w:rsidRPr="005235FD">
              <w:rPr>
                <w:rFonts w:asciiTheme="majorHAnsi" w:hAnsiTheme="majorHAnsi" w:cstheme="majorHAnsi"/>
                <w:sz w:val="18"/>
                <w:szCs w:val="18"/>
                <w:lang w:val="en-AU"/>
              </w:rPr>
              <w:t>| Requirements for a GP referral could delay access and limit information about available options. |Government funding models did not adequately account for the higher costs and different conditions of rural service delivery.</w:t>
            </w:r>
          </w:p>
        </w:tc>
        <w:tc>
          <w:tcPr>
            <w:tcW w:w="694" w:type="pct"/>
          </w:tcPr>
          <w:p w14:paraId="5938E429" w14:textId="6D16E386"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7695DC06"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Australian Journal of Rural Health</w:t>
            </w:r>
          </w:p>
        </w:tc>
      </w:tr>
      <w:tr w:rsidR="00FD0770" w:rsidRPr="005235FD" w14:paraId="7127DF4B" w14:textId="77777777" w:rsidTr="00AC7C55">
        <w:tc>
          <w:tcPr>
            <w:tcW w:w="630" w:type="pct"/>
          </w:tcPr>
          <w:p w14:paraId="5E6B191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Fisher, Matthew ; Baum, Fran ; Kay, Adrian ; Friel, Sharon</w:t>
            </w:r>
          </w:p>
        </w:tc>
        <w:tc>
          <w:tcPr>
            <w:tcW w:w="205" w:type="pct"/>
          </w:tcPr>
          <w:p w14:paraId="4DADD23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2017</w:t>
            </w:r>
          </w:p>
        </w:tc>
        <w:tc>
          <w:tcPr>
            <w:tcW w:w="886" w:type="pct"/>
          </w:tcPr>
          <w:p w14:paraId="2067039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Are changes in Australian national primary healthcare policy likely to promote or impede equity of access? A narrative review</w:t>
            </w:r>
          </w:p>
        </w:tc>
        <w:tc>
          <w:tcPr>
            <w:tcW w:w="324" w:type="pct"/>
          </w:tcPr>
          <w:p w14:paraId="2B018FBF"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2, 3, 4, 5</w:t>
            </w:r>
          </w:p>
        </w:tc>
        <w:tc>
          <w:tcPr>
            <w:tcW w:w="1694" w:type="pct"/>
          </w:tcPr>
          <w:p w14:paraId="75F46EB2"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Medicare supports equitable access to general practice, but current policy settings may reduce this equity. | Increased private health insurance involvement and changes in Medicare funding pose risks to equity. | Introduction of Primary Health Networks and policies for Aboriginal and Torres Strait Islander health have potential benefits for </w:t>
            </w:r>
            <w:proofErr w:type="gramStart"/>
            <w:r w:rsidRPr="005235FD">
              <w:rPr>
                <w:rFonts w:asciiTheme="majorHAnsi" w:hAnsiTheme="majorHAnsi" w:cstheme="majorHAnsi"/>
                <w:sz w:val="18"/>
                <w:szCs w:val="18"/>
              </w:rPr>
              <w:t>equity, but</w:t>
            </w:r>
            <w:proofErr w:type="gramEnd"/>
            <w:r w:rsidRPr="005235FD">
              <w:rPr>
                <w:rFonts w:asciiTheme="majorHAnsi" w:hAnsiTheme="majorHAnsi" w:cstheme="majorHAnsi"/>
                <w:sz w:val="18"/>
                <w:szCs w:val="18"/>
              </w:rPr>
              <w:t xml:space="preserve"> depend on resource allocation and implementation. [Themes: Equity of access to PHC services across different SES groups | Outcomes for access or health from programs for disadvantaged groups | Inequities in health status or service access associated with socioeconomic status, location, PHI status, and Aboriginal or non-Aboriginal status | Qualitative...]</w:t>
            </w:r>
          </w:p>
        </w:tc>
        <w:tc>
          <w:tcPr>
            <w:tcW w:w="694" w:type="pct"/>
          </w:tcPr>
          <w:p w14:paraId="3D479A7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7EFDFEE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Australian Journal of Primary Health</w:t>
            </w:r>
          </w:p>
        </w:tc>
      </w:tr>
      <w:tr w:rsidR="00AC7C55" w:rsidRPr="005235FD" w14:paraId="765317E1" w14:textId="77777777" w:rsidTr="00AC7C55">
        <w:tc>
          <w:tcPr>
            <w:tcW w:w="630" w:type="pct"/>
          </w:tcPr>
          <w:p w14:paraId="21AE2D45"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 xml:space="preserve">Fitzpatrick, S.J.; Perkins, D.; Handley, </w:t>
            </w:r>
            <w:r w:rsidRPr="005235FD">
              <w:rPr>
                <w:rFonts w:asciiTheme="majorHAnsi" w:hAnsiTheme="majorHAnsi" w:cstheme="majorHAnsi"/>
                <w:sz w:val="18"/>
                <w:szCs w:val="18"/>
              </w:rPr>
              <w:lastRenderedPageBreak/>
              <w:t>T.; Brown, D.; Luland, T.; Corvan, E.</w:t>
            </w:r>
          </w:p>
        </w:tc>
        <w:tc>
          <w:tcPr>
            <w:tcW w:w="205" w:type="pct"/>
          </w:tcPr>
          <w:p w14:paraId="320B6EA2"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lastRenderedPageBreak/>
              <w:t>2018</w:t>
            </w:r>
          </w:p>
        </w:tc>
        <w:tc>
          <w:tcPr>
            <w:tcW w:w="886" w:type="pct"/>
          </w:tcPr>
          <w:p w14:paraId="7BA00A06"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 xml:space="preserve">Coordinating mental and physical health care in rural </w:t>
            </w:r>
            <w:r w:rsidRPr="005235FD">
              <w:rPr>
                <w:rFonts w:asciiTheme="majorHAnsi" w:hAnsiTheme="majorHAnsi" w:cstheme="majorHAnsi"/>
                <w:sz w:val="18"/>
                <w:szCs w:val="18"/>
              </w:rPr>
              <w:lastRenderedPageBreak/>
              <w:t>Australia: An integrated model for primary care settings</w:t>
            </w:r>
          </w:p>
        </w:tc>
        <w:tc>
          <w:tcPr>
            <w:tcW w:w="324" w:type="pct"/>
          </w:tcPr>
          <w:p w14:paraId="45AD8BD4"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lastRenderedPageBreak/>
              <w:t>2, 3, 5</w:t>
            </w:r>
          </w:p>
        </w:tc>
        <w:tc>
          <w:tcPr>
            <w:tcW w:w="1694" w:type="pct"/>
          </w:tcPr>
          <w:p w14:paraId="09D0425F"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 xml:space="preserve">To describe and examine an integrated model for coordinating mental and physical health care in rural Australian primary care </w:t>
            </w:r>
            <w:r w:rsidRPr="005235FD">
              <w:rPr>
                <w:rFonts w:asciiTheme="majorHAnsi" w:hAnsiTheme="majorHAnsi" w:cstheme="majorHAnsi"/>
                <w:sz w:val="18"/>
                <w:szCs w:val="18"/>
              </w:rPr>
              <w:lastRenderedPageBreak/>
              <w:t>settings.</w:t>
            </w:r>
          </w:p>
          <w:p w14:paraId="2DDA2367" w14:textId="5D31E129"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 xml:space="preserve">Rural GP undersupply and high workloads limited clinicians’ capacity to accept patients with complex mental </w:t>
            </w:r>
            <w:proofErr w:type="spellStart"/>
            <w:r w:rsidRPr="005235FD">
              <w:rPr>
                <w:rFonts w:asciiTheme="majorHAnsi" w:hAnsiTheme="majorHAnsi" w:cstheme="majorHAnsi"/>
                <w:sz w:val="18"/>
                <w:szCs w:val="18"/>
              </w:rPr>
              <w:t>illness.|Community</w:t>
            </w:r>
            <w:proofErr w:type="spellEnd"/>
            <w:r w:rsidRPr="005235FD">
              <w:rPr>
                <w:rFonts w:asciiTheme="majorHAnsi" w:hAnsiTheme="majorHAnsi" w:cstheme="majorHAnsi"/>
                <w:sz w:val="18"/>
                <w:szCs w:val="18"/>
              </w:rPr>
              <w:t xml:space="preserve"> mental health staffing levels, part-time work, leave arrangements, outreach obligations and large caseloads complicated clinic scheduling. |Under fee-for-service arrangements, GPs could receive greater returns from less complex, privately paying patients who were more likely to attend.| Existing policies and program guidelines could restrict psychiatric and mental health nursing roles and reinforce professional hierarchies.</w:t>
            </w:r>
          </w:p>
        </w:tc>
        <w:tc>
          <w:tcPr>
            <w:tcW w:w="694" w:type="pct"/>
          </w:tcPr>
          <w:p w14:paraId="248CE2AA" w14:textId="245EC0A1"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4BE048BB"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 xml:space="preserve">International Journal of </w:t>
            </w:r>
            <w:r w:rsidRPr="005235FD">
              <w:rPr>
                <w:rFonts w:asciiTheme="majorHAnsi" w:hAnsiTheme="majorHAnsi" w:cstheme="majorHAnsi"/>
                <w:sz w:val="18"/>
                <w:szCs w:val="18"/>
              </w:rPr>
              <w:lastRenderedPageBreak/>
              <w:t>Integrated Care</w:t>
            </w:r>
          </w:p>
        </w:tc>
      </w:tr>
      <w:tr w:rsidR="00AC7C55" w:rsidRPr="005235FD" w14:paraId="4E27B98B" w14:textId="77777777" w:rsidTr="00AC7C55">
        <w:tc>
          <w:tcPr>
            <w:tcW w:w="630" w:type="pct"/>
          </w:tcPr>
          <w:p w14:paraId="6CC80CCB"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lastRenderedPageBreak/>
              <w:t>Ford, J.A.; Turley, R.; Porter, T.; Shakespeare, T.; Wong, G.; Jones, A.P.; Steel, N.</w:t>
            </w:r>
          </w:p>
        </w:tc>
        <w:tc>
          <w:tcPr>
            <w:tcW w:w="205" w:type="pct"/>
          </w:tcPr>
          <w:p w14:paraId="519FC3E7"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2018</w:t>
            </w:r>
          </w:p>
        </w:tc>
        <w:tc>
          <w:tcPr>
            <w:tcW w:w="886" w:type="pct"/>
          </w:tcPr>
          <w:p w14:paraId="792B4E01"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Access to primary care for socio-economically disadvantaged older people in rural areas: A qualitative study</w:t>
            </w:r>
          </w:p>
        </w:tc>
        <w:tc>
          <w:tcPr>
            <w:tcW w:w="324" w:type="pct"/>
          </w:tcPr>
          <w:p w14:paraId="0D5C7B72"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1, 3, 5</w:t>
            </w:r>
          </w:p>
        </w:tc>
        <w:tc>
          <w:tcPr>
            <w:tcW w:w="1694" w:type="pct"/>
          </w:tcPr>
          <w:p w14:paraId="0FEB9A64" w14:textId="77777777" w:rsidR="00AC7C55" w:rsidRPr="005235FD" w:rsidRDefault="00AC7C55" w:rsidP="00AC7C55">
            <w:pPr>
              <w:rPr>
                <w:rFonts w:asciiTheme="majorHAnsi" w:hAnsiTheme="majorHAnsi" w:cstheme="majorHAnsi"/>
                <w:sz w:val="18"/>
                <w:szCs w:val="18"/>
              </w:rPr>
            </w:pPr>
            <w:proofErr w:type="gramStart"/>
            <w:r w:rsidRPr="005235FD">
              <w:rPr>
                <w:rFonts w:asciiTheme="majorHAnsi" w:hAnsiTheme="majorHAnsi" w:cstheme="majorHAnsi"/>
                <w:sz w:val="18"/>
                <w:szCs w:val="18"/>
              </w:rPr>
              <w:t>To explore</w:t>
            </w:r>
            <w:proofErr w:type="gramEnd"/>
            <w:r w:rsidRPr="005235FD">
              <w:rPr>
                <w:rFonts w:asciiTheme="majorHAnsi" w:hAnsiTheme="majorHAnsi" w:cstheme="majorHAnsi"/>
                <w:sz w:val="18"/>
                <w:szCs w:val="18"/>
              </w:rPr>
              <w:t xml:space="preserve"> barriers to primary care access for socio-economically disadvantaged older people living in rural areas.</w:t>
            </w:r>
          </w:p>
          <w:p w14:paraId="7CFA35C5" w14:textId="22CC892C" w:rsidR="00B43396" w:rsidRPr="005235FD" w:rsidRDefault="00B43396" w:rsidP="00B43396">
            <w:pPr>
              <w:rPr>
                <w:rFonts w:asciiTheme="majorHAnsi" w:hAnsiTheme="majorHAnsi" w:cstheme="majorHAnsi"/>
                <w:sz w:val="18"/>
                <w:szCs w:val="18"/>
                <w:lang w:val="en-AU"/>
              </w:rPr>
            </w:pPr>
            <w:r w:rsidRPr="005235FD">
              <w:rPr>
                <w:rFonts w:asciiTheme="majorHAnsi" w:hAnsiTheme="majorHAnsi" w:cstheme="majorHAnsi"/>
                <w:sz w:val="18"/>
                <w:szCs w:val="18"/>
                <w:lang w:val="en-AU"/>
              </w:rPr>
              <w:t>Access to a car was a key determinant of whether older people could reach general practice. |Participants were concerned about future access when they could no longer drive. |Those without a car depended on taxis, public or community transport, friends and family.</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 xml:space="preserve">Financial constraints within the health system drove service reorganisation and cost-reduction measures. </w:t>
            </w:r>
          </w:p>
          <w:p w14:paraId="2FF87A4A" w14:textId="3F43B4C0" w:rsidR="00B43396" w:rsidRPr="005235FD" w:rsidRDefault="00B43396" w:rsidP="00B43396">
            <w:pPr>
              <w:rPr>
                <w:rFonts w:asciiTheme="majorHAnsi" w:hAnsiTheme="majorHAnsi" w:cstheme="majorHAnsi"/>
                <w:sz w:val="18"/>
                <w:szCs w:val="18"/>
                <w:lang w:val="en-AU"/>
              </w:rPr>
            </w:pPr>
            <w:r w:rsidRPr="005235FD">
              <w:rPr>
                <w:rFonts w:asciiTheme="majorHAnsi" w:hAnsiTheme="majorHAnsi" w:cstheme="majorHAnsi"/>
                <w:sz w:val="18"/>
                <w:szCs w:val="18"/>
                <w:lang w:val="en-AU"/>
              </w:rPr>
              <w:t>|Cost-saving changes often disproportionately disadvantaged socioeconomically disadvantaged older people.</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Primary care restructuring did not adequately account for the needs of disadvantaged older rural residents. |National and regional policies were perceived by some practitioners as increasing pressure without improving access.</w:t>
            </w:r>
          </w:p>
        </w:tc>
        <w:tc>
          <w:tcPr>
            <w:tcW w:w="694" w:type="pct"/>
          </w:tcPr>
          <w:p w14:paraId="6A78335C" w14:textId="30807515"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20573F65" w14:textId="77777777" w:rsidR="00AC7C55" w:rsidRPr="005235FD" w:rsidRDefault="00AC7C55" w:rsidP="00AC7C55">
            <w:pPr>
              <w:rPr>
                <w:rFonts w:asciiTheme="majorHAnsi" w:hAnsiTheme="majorHAnsi" w:cstheme="majorHAnsi"/>
                <w:sz w:val="18"/>
                <w:szCs w:val="18"/>
              </w:rPr>
            </w:pPr>
            <w:proofErr w:type="gramStart"/>
            <w:r w:rsidRPr="005235FD">
              <w:rPr>
                <w:rFonts w:asciiTheme="majorHAnsi" w:hAnsiTheme="majorHAnsi" w:cstheme="majorHAnsi"/>
                <w:sz w:val="18"/>
                <w:szCs w:val="18"/>
              </w:rPr>
              <w:t>PLoS</w:t>
            </w:r>
            <w:proofErr w:type="gramEnd"/>
            <w:r w:rsidRPr="005235FD">
              <w:rPr>
                <w:rFonts w:asciiTheme="majorHAnsi" w:hAnsiTheme="majorHAnsi" w:cstheme="majorHAnsi"/>
                <w:sz w:val="18"/>
                <w:szCs w:val="18"/>
              </w:rPr>
              <w:t xml:space="preserve"> ONE</w:t>
            </w:r>
          </w:p>
        </w:tc>
      </w:tr>
      <w:tr w:rsidR="00AC7C55" w:rsidRPr="005235FD" w14:paraId="2805FD88" w14:textId="77777777" w:rsidTr="00AC7C55">
        <w:tc>
          <w:tcPr>
            <w:tcW w:w="630" w:type="pct"/>
          </w:tcPr>
          <w:p w14:paraId="6505D7A5"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Fuss, B.; Shelby-James, T.; Lawn, S.; Worley, P.; Manger, S.; Phegan, C.; Rattray, M.</w:t>
            </w:r>
          </w:p>
        </w:tc>
        <w:tc>
          <w:tcPr>
            <w:tcW w:w="205" w:type="pct"/>
          </w:tcPr>
          <w:p w14:paraId="2C2EC017"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2025</w:t>
            </w:r>
          </w:p>
        </w:tc>
        <w:tc>
          <w:tcPr>
            <w:tcW w:w="886" w:type="pct"/>
          </w:tcPr>
          <w:p w14:paraId="188C0275"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A qualitative exploration of the perceived barriers and enablers of providing mental health care in rural Australian general practice</w:t>
            </w:r>
          </w:p>
        </w:tc>
        <w:tc>
          <w:tcPr>
            <w:tcW w:w="324" w:type="pct"/>
          </w:tcPr>
          <w:p w14:paraId="4E46FCA6"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2, 5</w:t>
            </w:r>
          </w:p>
        </w:tc>
        <w:tc>
          <w:tcPr>
            <w:tcW w:w="1694" w:type="pct"/>
          </w:tcPr>
          <w:p w14:paraId="457E5418"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To explore perceived barriers and enablers to providing mental health care in rural Australian general practice.</w:t>
            </w:r>
          </w:p>
          <w:p w14:paraId="14574459" w14:textId="763E88C7" w:rsidR="00AC7C55" w:rsidRPr="005235FD" w:rsidRDefault="00261A7F" w:rsidP="00AC7C55">
            <w:pPr>
              <w:rPr>
                <w:rFonts w:asciiTheme="majorHAnsi" w:hAnsiTheme="majorHAnsi" w:cstheme="majorHAnsi"/>
                <w:sz w:val="18"/>
                <w:szCs w:val="18"/>
                <w:lang w:val="en-AU"/>
              </w:rPr>
            </w:pPr>
            <w:r w:rsidRPr="005235FD">
              <w:rPr>
                <w:rFonts w:asciiTheme="majorHAnsi" w:hAnsiTheme="majorHAnsi" w:cstheme="majorHAnsi"/>
                <w:sz w:val="18"/>
                <w:szCs w:val="18"/>
                <w:lang w:val="en-AU"/>
              </w:rPr>
              <w:t>Shortages of psychologists, psychiatrists, mental health teams and GPs with mental health expertise restricted access. |Visiting specialists provided an important service but attended infrequently and could not always accommodate urgent cases. |Long waiting times were particularly problematic because patients often presented to general practice when already vulnerable or in need of timely intervention.</w:t>
            </w:r>
            <w:r w:rsidRPr="005235FD">
              <w:rPr>
                <w:rFonts w:asciiTheme="majorHAnsi" w:eastAsia="Times New Roman" w:hAnsiTheme="majorHAnsi" w:cstheme="majorHAnsi"/>
                <w:sz w:val="18"/>
                <w:szCs w:val="18"/>
                <w:lang w:val="en-AU" w:eastAsia="en-AU"/>
              </w:rPr>
              <w:t xml:space="preserve"> </w:t>
            </w:r>
            <w:r w:rsidR="00B43396" w:rsidRPr="005235FD">
              <w:rPr>
                <w:rFonts w:asciiTheme="majorHAnsi" w:eastAsia="Times New Roman" w:hAnsiTheme="majorHAnsi" w:cstheme="majorHAnsi"/>
                <w:sz w:val="18"/>
                <w:szCs w:val="18"/>
                <w:lang w:val="en-AU" w:eastAsia="en-AU"/>
              </w:rPr>
              <w:t>|</w:t>
            </w:r>
            <w:r w:rsidRPr="005235FD">
              <w:rPr>
                <w:rFonts w:asciiTheme="majorHAnsi" w:hAnsiTheme="majorHAnsi" w:cstheme="majorHAnsi"/>
                <w:sz w:val="18"/>
                <w:szCs w:val="18"/>
                <w:lang w:val="en-AU"/>
              </w:rPr>
              <w:t>Poor communication between general practices and third-party mental health providers disrupted continuity of care. |Practices sometimes received delayed, generic or no information following referrals or emergency presentations. |Fragmentation between services made navigation and coordination difficult.</w:t>
            </w:r>
          </w:p>
        </w:tc>
        <w:tc>
          <w:tcPr>
            <w:tcW w:w="694" w:type="pct"/>
          </w:tcPr>
          <w:p w14:paraId="72E5CE37" w14:textId="0EDC9976"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7525038C"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Journal of Health Services Research &amp; Policy</w:t>
            </w:r>
          </w:p>
        </w:tc>
      </w:tr>
      <w:tr w:rsidR="00AC7C55" w:rsidRPr="005235FD" w14:paraId="7D741B9B" w14:textId="77777777" w:rsidTr="00AC7C55">
        <w:tc>
          <w:tcPr>
            <w:tcW w:w="630" w:type="pct"/>
          </w:tcPr>
          <w:p w14:paraId="08DC2500"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 xml:space="preserve">Gizaw, </w:t>
            </w:r>
            <w:proofErr w:type="spellStart"/>
            <w:r w:rsidRPr="005235FD">
              <w:rPr>
                <w:rFonts w:asciiTheme="majorHAnsi" w:hAnsiTheme="majorHAnsi" w:cstheme="majorHAnsi"/>
                <w:sz w:val="18"/>
                <w:szCs w:val="18"/>
              </w:rPr>
              <w:t>Zemichael</w:t>
            </w:r>
            <w:proofErr w:type="spellEnd"/>
            <w:r w:rsidRPr="005235FD">
              <w:rPr>
                <w:rFonts w:asciiTheme="majorHAnsi" w:hAnsiTheme="majorHAnsi" w:cstheme="majorHAnsi"/>
                <w:sz w:val="18"/>
                <w:szCs w:val="18"/>
              </w:rPr>
              <w:t xml:space="preserve">; </w:t>
            </w:r>
            <w:proofErr w:type="spellStart"/>
            <w:r w:rsidRPr="005235FD">
              <w:rPr>
                <w:rFonts w:asciiTheme="majorHAnsi" w:hAnsiTheme="majorHAnsi" w:cstheme="majorHAnsi"/>
                <w:sz w:val="18"/>
                <w:szCs w:val="18"/>
              </w:rPr>
              <w:t>Astale</w:t>
            </w:r>
            <w:proofErr w:type="spellEnd"/>
            <w:r w:rsidRPr="005235FD">
              <w:rPr>
                <w:rFonts w:asciiTheme="majorHAnsi" w:hAnsiTheme="majorHAnsi" w:cstheme="majorHAnsi"/>
                <w:sz w:val="18"/>
                <w:szCs w:val="18"/>
              </w:rPr>
              <w:t>, Tigist; Kassie, Getnet Mitike</w:t>
            </w:r>
          </w:p>
        </w:tc>
        <w:tc>
          <w:tcPr>
            <w:tcW w:w="205" w:type="pct"/>
          </w:tcPr>
          <w:p w14:paraId="00841545"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2022</w:t>
            </w:r>
          </w:p>
        </w:tc>
        <w:tc>
          <w:tcPr>
            <w:tcW w:w="886" w:type="pct"/>
          </w:tcPr>
          <w:p w14:paraId="6630A83E"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What improves access to primary healthcare services in rural communities? A systematic review</w:t>
            </w:r>
          </w:p>
        </w:tc>
        <w:tc>
          <w:tcPr>
            <w:tcW w:w="324" w:type="pct"/>
          </w:tcPr>
          <w:p w14:paraId="73B34ADB"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1, 2, 3</w:t>
            </w:r>
          </w:p>
        </w:tc>
        <w:tc>
          <w:tcPr>
            <w:tcW w:w="1694" w:type="pct"/>
          </w:tcPr>
          <w:p w14:paraId="404BB449"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 xml:space="preserve">The study identified ten key strategies to improve access to primary healthcare services in rural communities: community health programs, school-based healthcare services, student-led healthcare services, outreach services or mobile clinics, family health program, empanelment, community health funding schemes, telemedicine, promoting traditional medicine, and working with non-profit private sectors and NGOs. | These strategies are effective in improving access to healthcare </w:t>
            </w:r>
            <w:r w:rsidRPr="005235FD">
              <w:rPr>
                <w:rFonts w:asciiTheme="majorHAnsi" w:hAnsiTheme="majorHAnsi" w:cstheme="majorHAnsi"/>
                <w:sz w:val="18"/>
                <w:szCs w:val="18"/>
              </w:rPr>
              <w:lastRenderedPageBreak/>
              <w:t>services and can help achieve universal health coverage and reduce... [Themes: Community health programs or community-directed healthcare interventions | School-based healthcare services | Student-led healthcare services | Outreach services or mobile clinics | Family health program | Empanelment | Community health funding schemes | Telemedicine | Promoting the role of...]</w:t>
            </w:r>
          </w:p>
        </w:tc>
        <w:tc>
          <w:tcPr>
            <w:tcW w:w="694" w:type="pct"/>
          </w:tcPr>
          <w:p w14:paraId="335030C2" w14:textId="582E60BA"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266B4CF5" w14:textId="77777777" w:rsidR="00AC7C55" w:rsidRPr="005235FD" w:rsidRDefault="00AC7C55" w:rsidP="00AC7C55">
            <w:pPr>
              <w:rPr>
                <w:rFonts w:asciiTheme="majorHAnsi" w:hAnsiTheme="majorHAnsi" w:cstheme="majorHAnsi"/>
                <w:sz w:val="18"/>
                <w:szCs w:val="18"/>
              </w:rPr>
            </w:pPr>
            <w:r w:rsidRPr="005235FD">
              <w:rPr>
                <w:rFonts w:asciiTheme="majorHAnsi" w:hAnsiTheme="majorHAnsi" w:cstheme="majorHAnsi"/>
                <w:sz w:val="18"/>
                <w:szCs w:val="18"/>
              </w:rPr>
              <w:t>BMC Primary Care</w:t>
            </w:r>
          </w:p>
        </w:tc>
      </w:tr>
      <w:tr w:rsidR="00FD0770" w:rsidRPr="005235FD" w14:paraId="3592C2C5" w14:textId="77777777" w:rsidTr="00AC7C55">
        <w:tc>
          <w:tcPr>
            <w:tcW w:w="630" w:type="pct"/>
          </w:tcPr>
          <w:p w14:paraId="6A5409E2"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Hewitt, Suzanne; McNiesh, Susan; Fink, Lilo.</w:t>
            </w:r>
          </w:p>
        </w:tc>
        <w:tc>
          <w:tcPr>
            <w:tcW w:w="205" w:type="pct"/>
          </w:tcPr>
          <w:p w14:paraId="350C179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2019</w:t>
            </w:r>
          </w:p>
        </w:tc>
        <w:tc>
          <w:tcPr>
            <w:tcW w:w="886" w:type="pct"/>
          </w:tcPr>
          <w:p w14:paraId="2BF2CD2F"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Barriers to Primary Care Access in Rural Medically Underserved Areas: Immediate Care: A Simple Solution to a Complex Problem</w:t>
            </w:r>
          </w:p>
        </w:tc>
        <w:tc>
          <w:tcPr>
            <w:tcW w:w="324" w:type="pct"/>
          </w:tcPr>
          <w:p w14:paraId="1CB6542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w:t>
            </w:r>
          </w:p>
        </w:tc>
        <w:tc>
          <w:tcPr>
            <w:tcW w:w="1694" w:type="pct"/>
          </w:tcPr>
          <w:p w14:paraId="19C7FC7F"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Patients in rural areas are using immediate care clinics as an alternative when they cannot access their primary care providers for minor illnesses or injuries. | Immediate care clinics are identified as a viable solution to address the problems of delayed or foregone care and unnecessary emergency department utilization for non-urgent issues. | The immediate care clinic effectively meets the healthcare needs for episodic conditions of the participants. [Themes: Use of immediate care clinics for minor illnesses or injuries when unable to see a PCP | Accessibility of immediate care clinics regardless of insurance status or having a PCP | Role of immediate care in addressing foregone or delayed care | Challenges of accessing primary care due to a diminishing...]</w:t>
            </w:r>
          </w:p>
        </w:tc>
        <w:tc>
          <w:tcPr>
            <w:tcW w:w="694" w:type="pct"/>
          </w:tcPr>
          <w:p w14:paraId="282E45D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123926D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Online Journal of Rural Nursing &amp; Health Care</w:t>
            </w:r>
          </w:p>
        </w:tc>
      </w:tr>
      <w:tr w:rsidR="008811AC" w:rsidRPr="005235FD" w14:paraId="59005915" w14:textId="77777777" w:rsidTr="00AC7C55">
        <w:tc>
          <w:tcPr>
            <w:tcW w:w="630" w:type="pct"/>
          </w:tcPr>
          <w:p w14:paraId="5A46C4CD"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Higgins, M.; Gurney, T.; McGrail, M.</w:t>
            </w:r>
          </w:p>
        </w:tc>
        <w:tc>
          <w:tcPr>
            <w:tcW w:w="205" w:type="pct"/>
          </w:tcPr>
          <w:p w14:paraId="67F8C004"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2026</w:t>
            </w:r>
          </w:p>
        </w:tc>
        <w:tc>
          <w:tcPr>
            <w:tcW w:w="886" w:type="pct"/>
          </w:tcPr>
          <w:p w14:paraId="4CEB4799"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Understanding How Rurality Relates to Residents’ Experiences of Accessing Primary Care: An Interview-Based Study</w:t>
            </w:r>
          </w:p>
        </w:tc>
        <w:tc>
          <w:tcPr>
            <w:tcW w:w="324" w:type="pct"/>
          </w:tcPr>
          <w:p w14:paraId="792692DE"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1, 2, 4</w:t>
            </w:r>
          </w:p>
        </w:tc>
        <w:tc>
          <w:tcPr>
            <w:tcW w:w="1694" w:type="pct"/>
          </w:tcPr>
          <w:p w14:paraId="4D41388F"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To examine how rurality shapes residents’ experiences of accessing primary care, including geographic fragility and service access along the rural–remote gradient.</w:t>
            </w:r>
          </w:p>
          <w:p w14:paraId="57DD4A21" w14:textId="1559C690" w:rsidR="008811AC" w:rsidRPr="005235FD" w:rsidRDefault="008811AC" w:rsidP="008811AC">
            <w:pPr>
              <w:rPr>
                <w:rFonts w:asciiTheme="majorHAnsi" w:hAnsiTheme="majorHAnsi" w:cstheme="majorHAnsi"/>
                <w:sz w:val="18"/>
                <w:szCs w:val="18"/>
                <w:lang w:val="en-AU"/>
              </w:rPr>
            </w:pPr>
            <w:r w:rsidRPr="005235FD">
              <w:rPr>
                <w:rFonts w:asciiTheme="majorHAnsi" w:hAnsiTheme="majorHAnsi" w:cstheme="majorHAnsi"/>
                <w:sz w:val="18"/>
                <w:szCs w:val="18"/>
                <w:lang w:val="en-AU"/>
              </w:rPr>
              <w:t>Travel burden and dependence on private transport increased with remoteness. |Remote residents weighed whether their health concern justified the time, cost and uncertainty of travelling—described as “geographic fragility.” |Transport disruptions could remove access entirely.|</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Provider shortages, closed books, long waits and disrupted continuity occurred across all rurality levels. |Remote communities experienced the greatest instability, including periods with no GP and reliance on locums.|</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Some temporary or externally trained clinicians lacked understanding of community culture and the practical realities of remote living. |Cultural connection with providers strengthened trust, although availability was often prioritised over cultural preference.</w:t>
            </w:r>
          </w:p>
        </w:tc>
        <w:tc>
          <w:tcPr>
            <w:tcW w:w="694" w:type="pct"/>
          </w:tcPr>
          <w:p w14:paraId="5F71BB03" w14:textId="0C8FB178"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292058EE"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Australian Journal of Rural Health</w:t>
            </w:r>
          </w:p>
        </w:tc>
      </w:tr>
      <w:tr w:rsidR="00FD0770" w:rsidRPr="005235FD" w14:paraId="6E6FE72E" w14:textId="77777777" w:rsidTr="00AC7C55">
        <w:tc>
          <w:tcPr>
            <w:tcW w:w="630" w:type="pct"/>
          </w:tcPr>
          <w:p w14:paraId="7D66646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Hong Insu; Wilson, Bradley; Gross Thomson; Conley Jamison; Powers, Theodore</w:t>
            </w:r>
          </w:p>
        </w:tc>
        <w:tc>
          <w:tcPr>
            <w:tcW w:w="205" w:type="pct"/>
          </w:tcPr>
          <w:p w14:paraId="5C2795B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75A791E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Challenging terrains: socio-spatial analysis of Primary Health Care Access Disparities in West Virginia</w:t>
            </w:r>
          </w:p>
        </w:tc>
        <w:tc>
          <w:tcPr>
            <w:tcW w:w="324" w:type="pct"/>
          </w:tcPr>
          <w:p w14:paraId="38943D0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w:t>
            </w:r>
          </w:p>
        </w:tc>
        <w:tc>
          <w:tcPr>
            <w:tcW w:w="1694" w:type="pct"/>
          </w:tcPr>
          <w:p w14:paraId="29F5284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The integrated index showed that rural areas, especially in southern West Virginia, have limited access to primary healthcare. | About 30% of West Virginia residents live in areas with low or medium-low access to healthcare. | Approximately 34.2% of the state's area has two or fewer healthcare facilities within a 30-minute drive, making residents vulnerable to service changes. [Themes: 1. Rural Nature | 2. Mountainous Terrain | 3. Aging Population | 4. Economic Crisis | 5. Limited Public Transportation | 6. Healthcare Deserts | 7. Spatial and Social Accessibility]</w:t>
            </w:r>
          </w:p>
        </w:tc>
        <w:tc>
          <w:tcPr>
            <w:tcW w:w="694" w:type="pct"/>
          </w:tcPr>
          <w:p w14:paraId="3D18031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D3C540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Applied Spatial Analysis and Policy</w:t>
            </w:r>
          </w:p>
        </w:tc>
      </w:tr>
      <w:tr w:rsidR="008811AC" w:rsidRPr="005235FD" w14:paraId="6E3F5436" w14:textId="77777777" w:rsidTr="00AC7C55">
        <w:tc>
          <w:tcPr>
            <w:tcW w:w="630" w:type="pct"/>
          </w:tcPr>
          <w:p w14:paraId="5604C5B9"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 xml:space="preserve">Johnston, C.S.; Belanger, E.; Wong, </w:t>
            </w:r>
            <w:r w:rsidRPr="005235FD">
              <w:rPr>
                <w:rFonts w:asciiTheme="majorHAnsi" w:hAnsiTheme="majorHAnsi" w:cstheme="majorHAnsi"/>
                <w:sz w:val="18"/>
                <w:szCs w:val="18"/>
              </w:rPr>
              <w:lastRenderedPageBreak/>
              <w:t>K.; Snadden, D.</w:t>
            </w:r>
          </w:p>
        </w:tc>
        <w:tc>
          <w:tcPr>
            <w:tcW w:w="205" w:type="pct"/>
          </w:tcPr>
          <w:p w14:paraId="10222759"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lastRenderedPageBreak/>
              <w:t>2021</w:t>
            </w:r>
          </w:p>
        </w:tc>
        <w:tc>
          <w:tcPr>
            <w:tcW w:w="886" w:type="pct"/>
          </w:tcPr>
          <w:p w14:paraId="094C2C58"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 xml:space="preserve">How can rural community-engaged health services </w:t>
            </w:r>
            <w:proofErr w:type="gramStart"/>
            <w:r w:rsidRPr="005235FD">
              <w:rPr>
                <w:rFonts w:asciiTheme="majorHAnsi" w:hAnsiTheme="majorHAnsi" w:cstheme="majorHAnsi"/>
                <w:sz w:val="18"/>
                <w:szCs w:val="18"/>
              </w:rPr>
              <w:lastRenderedPageBreak/>
              <w:t>planning</w:t>
            </w:r>
            <w:proofErr w:type="gramEnd"/>
            <w:r w:rsidRPr="005235FD">
              <w:rPr>
                <w:rFonts w:asciiTheme="majorHAnsi" w:hAnsiTheme="majorHAnsi" w:cstheme="majorHAnsi"/>
                <w:sz w:val="18"/>
                <w:szCs w:val="18"/>
              </w:rPr>
              <w:t xml:space="preserve"> achieve sustainable healthcare system changes?</w:t>
            </w:r>
          </w:p>
        </w:tc>
        <w:tc>
          <w:tcPr>
            <w:tcW w:w="324" w:type="pct"/>
          </w:tcPr>
          <w:p w14:paraId="4A4DE97C"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lastRenderedPageBreak/>
              <w:t>2, 5</w:t>
            </w:r>
          </w:p>
        </w:tc>
        <w:tc>
          <w:tcPr>
            <w:tcW w:w="1694" w:type="pct"/>
          </w:tcPr>
          <w:p w14:paraId="73DDFD82"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 xml:space="preserve">To examine how rural community-engaged health services planning can contribute to sustainable health system change </w:t>
            </w:r>
            <w:r w:rsidRPr="005235FD">
              <w:rPr>
                <w:rFonts w:asciiTheme="majorHAnsi" w:hAnsiTheme="majorHAnsi" w:cstheme="majorHAnsi"/>
                <w:sz w:val="18"/>
                <w:szCs w:val="18"/>
              </w:rPr>
              <w:lastRenderedPageBreak/>
              <w:t>and improved alignment with community priorities.</w:t>
            </w:r>
          </w:p>
          <w:p w14:paraId="2A0318C2" w14:textId="41461326" w:rsidR="008811AC" w:rsidRPr="005235FD" w:rsidRDefault="008811AC" w:rsidP="008811AC">
            <w:pPr>
              <w:rPr>
                <w:rFonts w:asciiTheme="majorHAnsi" w:hAnsiTheme="majorHAnsi" w:cstheme="majorHAnsi"/>
                <w:sz w:val="18"/>
                <w:szCs w:val="18"/>
                <w:lang w:val="en-AU"/>
              </w:rPr>
            </w:pPr>
            <w:r w:rsidRPr="005235FD">
              <w:rPr>
                <w:rFonts w:asciiTheme="majorHAnsi" w:hAnsiTheme="majorHAnsi" w:cstheme="majorHAnsi"/>
                <w:sz w:val="18"/>
                <w:szCs w:val="18"/>
                <w:lang w:val="en-AU"/>
              </w:rPr>
              <w:t>Staffing shortages and retention difficulties reduced service coverage. |Community-based recruitment, flexible rotations and local commitment supported staffing stability.|</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Local autonomy enabled rapid, context-appropriate decisions and innovation. |Centralised control could reduce local ownership and service flexibility. |Ongoing community engagement and feedback to policymakers supported sustainable system change.</w:t>
            </w:r>
          </w:p>
        </w:tc>
        <w:tc>
          <w:tcPr>
            <w:tcW w:w="694" w:type="pct"/>
          </w:tcPr>
          <w:p w14:paraId="53D994BB" w14:textId="164CEF70"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5D2BA3FF"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BMJ Open</w:t>
            </w:r>
          </w:p>
        </w:tc>
      </w:tr>
      <w:tr w:rsidR="00FD0770" w:rsidRPr="005235FD" w14:paraId="754041EE" w14:textId="77777777" w:rsidTr="00AC7C55">
        <w:tc>
          <w:tcPr>
            <w:tcW w:w="630" w:type="pct"/>
          </w:tcPr>
          <w:p w14:paraId="0E8E8F0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Khatri, R.B.; </w:t>
            </w:r>
            <w:proofErr w:type="spellStart"/>
            <w:r w:rsidRPr="005235FD">
              <w:rPr>
                <w:rFonts w:asciiTheme="majorHAnsi" w:hAnsiTheme="majorHAnsi" w:cstheme="majorHAnsi"/>
                <w:sz w:val="18"/>
                <w:szCs w:val="18"/>
              </w:rPr>
              <w:t>Endalamaw</w:t>
            </w:r>
            <w:proofErr w:type="spellEnd"/>
            <w:r w:rsidRPr="005235FD">
              <w:rPr>
                <w:rFonts w:asciiTheme="majorHAnsi" w:hAnsiTheme="majorHAnsi" w:cstheme="majorHAnsi"/>
                <w:sz w:val="18"/>
                <w:szCs w:val="18"/>
              </w:rPr>
              <w:t>, A.; Erku, D.; Wolka, E.; Nigatu, F.; Zewdie, A.; Assefa, Y.</w:t>
            </w:r>
          </w:p>
        </w:tc>
        <w:tc>
          <w:tcPr>
            <w:tcW w:w="205" w:type="pct"/>
          </w:tcPr>
          <w:p w14:paraId="0E110F1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2024</w:t>
            </w:r>
          </w:p>
        </w:tc>
        <w:tc>
          <w:tcPr>
            <w:tcW w:w="886" w:type="pct"/>
          </w:tcPr>
          <w:p w14:paraId="3F7C337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Enablers and barriers of community health programs for improved equity and universal coverage of primary health care services: A scoping review</w:t>
            </w:r>
          </w:p>
        </w:tc>
        <w:tc>
          <w:tcPr>
            <w:tcW w:w="324" w:type="pct"/>
          </w:tcPr>
          <w:p w14:paraId="1ACEC40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2, 3, 4, 5</w:t>
            </w:r>
          </w:p>
        </w:tc>
        <w:tc>
          <w:tcPr>
            <w:tcW w:w="1694" w:type="pct"/>
          </w:tcPr>
          <w:p w14:paraId="0943270C"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CHPs enhance access to PHC by addressing social determinants of health, supporting community-based service delivery, and strengthening health systems. Enablers include community engagement, CHW integration, decentralized governance, and sustainable financing. Barriers include inadequate funding, poor quality services, limited focus on NCDs, weak governance, and fragmented systems. [Themes: 1. CHPs as platforms for equitable PHC delivery | 2. Role of CHWs, community organizations, and partnerships | 3. Foundational system inputs: financing, governance, information, commodities | 4. Barriers: underfunding, poor integration, lack of NCD focus | 5. Policy implications: need for...]</w:t>
            </w:r>
          </w:p>
        </w:tc>
        <w:tc>
          <w:tcPr>
            <w:tcW w:w="694" w:type="pct"/>
          </w:tcPr>
          <w:p w14:paraId="703DBD6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0B98855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BMC Prim. Care</w:t>
            </w:r>
          </w:p>
        </w:tc>
      </w:tr>
      <w:tr w:rsidR="00FD0770" w:rsidRPr="005235FD" w14:paraId="78C9042F" w14:textId="77777777" w:rsidTr="00AC7C55">
        <w:tc>
          <w:tcPr>
            <w:tcW w:w="630" w:type="pct"/>
          </w:tcPr>
          <w:p w14:paraId="3D2E33CF"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Khatri, Resham </w:t>
            </w:r>
            <w:proofErr w:type="gramStart"/>
            <w:r w:rsidRPr="005235FD">
              <w:rPr>
                <w:rFonts w:asciiTheme="majorHAnsi" w:hAnsiTheme="majorHAnsi" w:cstheme="majorHAnsi"/>
                <w:sz w:val="18"/>
                <w:szCs w:val="18"/>
              </w:rPr>
              <w:t>B; ;</w:t>
            </w:r>
            <w:proofErr w:type="gramEnd"/>
            <w:r w:rsidRPr="005235FD">
              <w:rPr>
                <w:rFonts w:asciiTheme="majorHAnsi" w:hAnsiTheme="majorHAnsi" w:cstheme="majorHAnsi"/>
                <w:sz w:val="18"/>
                <w:szCs w:val="18"/>
              </w:rPr>
              <w:t xml:space="preserve"> Assefa, Yibeltal</w:t>
            </w:r>
          </w:p>
        </w:tc>
        <w:tc>
          <w:tcPr>
            <w:tcW w:w="205" w:type="pct"/>
          </w:tcPr>
          <w:p w14:paraId="308658D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2D0B761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Drivers of the Australian Health System towards Health Care for All: A Scoping Review and Qualitative Synthesis.</w:t>
            </w:r>
          </w:p>
        </w:tc>
        <w:tc>
          <w:tcPr>
            <w:tcW w:w="324" w:type="pct"/>
          </w:tcPr>
          <w:p w14:paraId="2BBD3FF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2, 4,  5</w:t>
            </w:r>
          </w:p>
        </w:tc>
        <w:tc>
          <w:tcPr>
            <w:tcW w:w="1694" w:type="pct"/>
          </w:tcPr>
          <w:p w14:paraId="164BE61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The paper titled "Drivers of the Australian Health System towards Health Care for All: A Scoping Review and Qualitative Synthesis" by Resham B. Khatri and Yibeltal Assefa (2023) provides a comprehensive review of the facilitators and barriers influencing Australia's progress toward Universal Health Coverage (UHC), particularly through primary health care (PHC) services. | Key Findings | Successes in the Australian Health System | High UHC Service Coverage Index (SCI): Australia scores 89%, ranking third among 11 high-income countries. |... [Themes: The paper identifies and organizes its findings around a set of thematic drivers that influence access to and utilization of health services in Australia, particularly in the context of achieving Universal Health Coverage (UHC). These themes are structured using a multilevel framework: | Main...]</w:t>
            </w:r>
          </w:p>
        </w:tc>
        <w:tc>
          <w:tcPr>
            <w:tcW w:w="694" w:type="pct"/>
          </w:tcPr>
          <w:p w14:paraId="78C791E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1B35C4B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BioMed research international</w:t>
            </w:r>
          </w:p>
        </w:tc>
      </w:tr>
      <w:tr w:rsidR="00FD0770" w:rsidRPr="005235FD" w14:paraId="11B40E76" w14:textId="77777777" w:rsidTr="00AC7C55">
        <w:tc>
          <w:tcPr>
            <w:tcW w:w="630" w:type="pct"/>
          </w:tcPr>
          <w:p w14:paraId="52B27F8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Kornelsen, Jude; ; Carthew, Christine; Miguez, Kayla; Taylor, Matilda; Bodroghy, Catherine; Petrunia, Kathryn; Roberts, Delia</w:t>
            </w:r>
          </w:p>
        </w:tc>
        <w:tc>
          <w:tcPr>
            <w:tcW w:w="205" w:type="pct"/>
          </w:tcPr>
          <w:p w14:paraId="24D2383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2021</w:t>
            </w:r>
          </w:p>
        </w:tc>
        <w:tc>
          <w:tcPr>
            <w:tcW w:w="886" w:type="pct"/>
          </w:tcPr>
          <w:p w14:paraId="2FC3E40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Rural citizen-patient priorities for healthcare in British Columbia, Canada: findings from a mixed methods study.</w:t>
            </w:r>
          </w:p>
        </w:tc>
        <w:tc>
          <w:tcPr>
            <w:tcW w:w="324" w:type="pct"/>
          </w:tcPr>
          <w:p w14:paraId="090FF46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w:t>
            </w:r>
          </w:p>
        </w:tc>
        <w:tc>
          <w:tcPr>
            <w:tcW w:w="1694" w:type="pct"/>
          </w:tcPr>
          <w:p w14:paraId="441EEF2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Key priorities included access to local primary care, emergency services, maternity care, seniors care, specialist services, and mental health/substance use care. Barriers included geographic isolation, lack of transportation, and workforce shortages. Consequences included treatment avoidance and community vulnerability. Participants suggested improving local service capacity, workforce retention, and travel support. [Themes: . Importance of local access to care | 2. Geographic and demographic challenges | 3. Gaps in primary, emergency, and specialist care | 4. Impact of travel on access and outcomes]</w:t>
            </w:r>
          </w:p>
        </w:tc>
        <w:tc>
          <w:tcPr>
            <w:tcW w:w="694" w:type="pct"/>
          </w:tcPr>
          <w:p w14:paraId="71CA653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7C98EC7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BMC health services research</w:t>
            </w:r>
          </w:p>
        </w:tc>
      </w:tr>
      <w:tr w:rsidR="00FD0770" w:rsidRPr="005235FD" w14:paraId="5CA579A0" w14:textId="77777777" w:rsidTr="00AC7C55">
        <w:tc>
          <w:tcPr>
            <w:tcW w:w="630" w:type="pct"/>
          </w:tcPr>
          <w:p w14:paraId="439B8322"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Kwan, T.; Chua, B.; Pires, D.; Feng, O.; Edmiston, N.; Longman, J.</w:t>
            </w:r>
          </w:p>
        </w:tc>
        <w:tc>
          <w:tcPr>
            <w:tcW w:w="205" w:type="pct"/>
          </w:tcPr>
          <w:p w14:paraId="40028705"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2022</w:t>
            </w:r>
          </w:p>
        </w:tc>
        <w:tc>
          <w:tcPr>
            <w:tcW w:w="886" w:type="pct"/>
          </w:tcPr>
          <w:p w14:paraId="3C02923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 qualitative analysis of the barriers and enablers faced by Australian rural general practitioners in the non-</w:t>
            </w:r>
            <w:r w:rsidRPr="005235FD">
              <w:rPr>
                <w:rFonts w:asciiTheme="majorHAnsi" w:hAnsiTheme="majorHAnsi" w:cstheme="majorHAnsi"/>
                <w:sz w:val="18"/>
                <w:szCs w:val="18"/>
              </w:rPr>
              <w:lastRenderedPageBreak/>
              <w:t>pharmacological management of congestive heart failure in community dwelling patients.</w:t>
            </w:r>
          </w:p>
        </w:tc>
        <w:tc>
          <w:tcPr>
            <w:tcW w:w="324" w:type="pct"/>
          </w:tcPr>
          <w:p w14:paraId="49B0728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1, 2, 3, 5</w:t>
            </w:r>
          </w:p>
        </w:tc>
        <w:tc>
          <w:tcPr>
            <w:tcW w:w="1694" w:type="pct"/>
          </w:tcPr>
          <w:p w14:paraId="11261BA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Four interlinked themes emerged: (1) Resources (e.g., distance to services, inadequate consultation time), (2) Complexity of heart failure (e.g., patient understanding, comorbidities), (3) Relationships (e.g., with cardiologists and patients), and (4) </w:t>
            </w:r>
            <w:r w:rsidRPr="005235FD">
              <w:rPr>
                <w:rFonts w:asciiTheme="majorHAnsi" w:hAnsiTheme="majorHAnsi" w:cstheme="majorHAnsi"/>
                <w:sz w:val="18"/>
                <w:szCs w:val="18"/>
              </w:rPr>
              <w:lastRenderedPageBreak/>
              <w:t>Patient demographics, priorities, and views (e.g., socioeconomic disadvantage, family influence, cultural beliefs) [Themes: 1. Resources | 2. Complexity of heart failure | 3. Relationships | 4. Patient demographics, priorities, and views]</w:t>
            </w:r>
          </w:p>
        </w:tc>
        <w:tc>
          <w:tcPr>
            <w:tcW w:w="694" w:type="pct"/>
          </w:tcPr>
          <w:p w14:paraId="7E00A0FF"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792D5F1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BMC Health Serv. Res.</w:t>
            </w:r>
          </w:p>
        </w:tc>
      </w:tr>
      <w:tr w:rsidR="008811AC" w:rsidRPr="005235FD" w14:paraId="4C2CD2AC" w14:textId="77777777" w:rsidTr="00AC7C55">
        <w:tc>
          <w:tcPr>
            <w:tcW w:w="630" w:type="pct"/>
          </w:tcPr>
          <w:p w14:paraId="5337D69A"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McGrail, M.R.; Russell, D.J.; Humphreys, J.S.</w:t>
            </w:r>
          </w:p>
        </w:tc>
        <w:tc>
          <w:tcPr>
            <w:tcW w:w="205" w:type="pct"/>
          </w:tcPr>
          <w:p w14:paraId="2030A5DE"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2017</w:t>
            </w:r>
          </w:p>
        </w:tc>
        <w:tc>
          <w:tcPr>
            <w:tcW w:w="886" w:type="pct"/>
          </w:tcPr>
          <w:p w14:paraId="0557F9E9"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Index of Access: a new innovative and dynamic tool for rural health service and workforce planning</w:t>
            </w:r>
          </w:p>
        </w:tc>
        <w:tc>
          <w:tcPr>
            <w:tcW w:w="324" w:type="pct"/>
          </w:tcPr>
          <w:p w14:paraId="1B1B2555"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1, 2, 5</w:t>
            </w:r>
          </w:p>
        </w:tc>
        <w:tc>
          <w:tcPr>
            <w:tcW w:w="1694" w:type="pct"/>
          </w:tcPr>
          <w:p w14:paraId="2FDA4E75"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To develop and describe an access measurement tool for rural health service and workforce planning, focusing on spatial access, service availability, and planning needs.</w:t>
            </w:r>
          </w:p>
          <w:p w14:paraId="379DBAE6" w14:textId="4589671F" w:rsidR="008811AC" w:rsidRPr="005235FD" w:rsidRDefault="008811AC" w:rsidP="008811AC">
            <w:pPr>
              <w:rPr>
                <w:rFonts w:asciiTheme="majorHAnsi" w:hAnsiTheme="majorHAnsi" w:cstheme="majorHAnsi"/>
                <w:sz w:val="18"/>
                <w:szCs w:val="18"/>
                <w:lang w:val="en-AU"/>
              </w:rPr>
            </w:pPr>
            <w:r w:rsidRPr="005235FD">
              <w:rPr>
                <w:rFonts w:asciiTheme="majorHAnsi" w:hAnsiTheme="majorHAnsi" w:cstheme="majorHAnsi"/>
                <w:sz w:val="18"/>
                <w:szCs w:val="18"/>
                <w:lang w:val="en-AU"/>
              </w:rPr>
              <w:t>Access depends on distance, road quality and availability of private and public transport. |Adding GPs to small rural towns produced large access improvements for relatively small, highly underserved populations. |Workforce location and supply substantially influenced access. |Workforce data quickly became outdated as clinicians moved, entered or left rural practice.|</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Provider-to-population ratios and broad geographic classifications were inadequate for rural planning. |The proposed Index of Access could better target workforce redistribution and monitor recruitment and retention initiatives. |Limited data availability, privacy requirements and administrative barriers constrained its application.</w:t>
            </w:r>
          </w:p>
          <w:p w14:paraId="7B73DE81" w14:textId="77777777" w:rsidR="008811AC" w:rsidRPr="005235FD" w:rsidRDefault="008811AC" w:rsidP="008811AC">
            <w:pPr>
              <w:rPr>
                <w:rFonts w:asciiTheme="majorHAnsi" w:hAnsiTheme="majorHAnsi" w:cstheme="majorHAnsi"/>
                <w:sz w:val="18"/>
                <w:szCs w:val="18"/>
              </w:rPr>
            </w:pPr>
          </w:p>
        </w:tc>
        <w:tc>
          <w:tcPr>
            <w:tcW w:w="694" w:type="pct"/>
          </w:tcPr>
          <w:p w14:paraId="272BF6A6" w14:textId="62CAC82F"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CA1F47A" w14:textId="77777777" w:rsidR="008811AC" w:rsidRPr="005235FD" w:rsidRDefault="008811AC" w:rsidP="008811AC">
            <w:pPr>
              <w:rPr>
                <w:rFonts w:asciiTheme="majorHAnsi" w:hAnsiTheme="majorHAnsi" w:cstheme="majorHAnsi"/>
                <w:sz w:val="18"/>
                <w:szCs w:val="18"/>
              </w:rPr>
            </w:pPr>
            <w:r w:rsidRPr="005235FD">
              <w:rPr>
                <w:rFonts w:asciiTheme="majorHAnsi" w:hAnsiTheme="majorHAnsi" w:cstheme="majorHAnsi"/>
                <w:sz w:val="18"/>
                <w:szCs w:val="18"/>
              </w:rPr>
              <w:t>Australian Health Review</w:t>
            </w:r>
          </w:p>
        </w:tc>
      </w:tr>
      <w:tr w:rsidR="00FD0770" w:rsidRPr="005235FD" w14:paraId="5D40E472" w14:textId="77777777" w:rsidTr="00AC7C55">
        <w:tc>
          <w:tcPr>
            <w:tcW w:w="630" w:type="pct"/>
          </w:tcPr>
          <w:p w14:paraId="6E9AEEF7" w14:textId="77777777" w:rsidR="00FD0770" w:rsidRPr="005235FD" w:rsidRDefault="00CB5606">
            <w:pPr>
              <w:rPr>
                <w:rFonts w:asciiTheme="majorHAnsi" w:hAnsiTheme="majorHAnsi" w:cstheme="majorHAnsi"/>
                <w:sz w:val="18"/>
                <w:szCs w:val="18"/>
              </w:rPr>
            </w:pPr>
            <w:proofErr w:type="spellStart"/>
            <w:r w:rsidRPr="005235FD">
              <w:rPr>
                <w:rFonts w:asciiTheme="majorHAnsi" w:hAnsiTheme="majorHAnsi" w:cstheme="majorHAnsi"/>
                <w:sz w:val="18"/>
                <w:szCs w:val="18"/>
              </w:rPr>
              <w:t>Maganty</w:t>
            </w:r>
            <w:proofErr w:type="spellEnd"/>
            <w:r w:rsidRPr="005235FD">
              <w:rPr>
                <w:rFonts w:asciiTheme="majorHAnsi" w:hAnsiTheme="majorHAnsi" w:cstheme="majorHAnsi"/>
                <w:sz w:val="18"/>
                <w:szCs w:val="18"/>
              </w:rPr>
              <w:t>, Avinash; Byrnes, Mary E.; Hamm, Megan; Wasilko, Rachel; Sabik, Lindsay M.; Davies, Benjamin J.; Jacobs, Bruce L.</w:t>
            </w:r>
          </w:p>
        </w:tc>
        <w:tc>
          <w:tcPr>
            <w:tcW w:w="205" w:type="pct"/>
          </w:tcPr>
          <w:p w14:paraId="48CE7BC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3470744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Barriers to rural health care from the provider perspective.</w:t>
            </w:r>
          </w:p>
        </w:tc>
        <w:tc>
          <w:tcPr>
            <w:tcW w:w="324" w:type="pct"/>
          </w:tcPr>
          <w:p w14:paraId="592913C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1, 2, 3</w:t>
            </w:r>
          </w:p>
        </w:tc>
        <w:tc>
          <w:tcPr>
            <w:tcW w:w="1694" w:type="pct"/>
          </w:tcPr>
          <w:p w14:paraId="17E92A5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The main barriers to rural healthcare identified in the study are cost and insurance issues, geographic dispersion, and provider shortage and burnout. | Potential solutions to these barriers include subsidizing services, establishing mobile and satellite clinics, increasing telehealth use, improving infrastructure for ancillary services, and expanding the role of advanced practice providers. [Themes: Cost and insurance | Geographic dispersion | Provider shortage and burnout]</w:t>
            </w:r>
          </w:p>
        </w:tc>
        <w:tc>
          <w:tcPr>
            <w:tcW w:w="694" w:type="pct"/>
          </w:tcPr>
          <w:p w14:paraId="670A0C0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077CE3E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Rural &amp; Remote Health</w:t>
            </w:r>
          </w:p>
        </w:tc>
      </w:tr>
      <w:tr w:rsidR="00FD0770" w:rsidRPr="005235FD" w14:paraId="1208FF84" w14:textId="77777777" w:rsidTr="00AC7C55">
        <w:tc>
          <w:tcPr>
            <w:tcW w:w="630" w:type="pct"/>
          </w:tcPr>
          <w:p w14:paraId="1D88D21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Mengistu, T.S.; Khatri, R.; Erku, D.; Assefa, Y.</w:t>
            </w:r>
          </w:p>
        </w:tc>
        <w:tc>
          <w:tcPr>
            <w:tcW w:w="205" w:type="pct"/>
          </w:tcPr>
          <w:p w14:paraId="24F08CA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3B51BE4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Successes and challenges of primary health care in Australia: A scoping review and comparative analysis</w:t>
            </w:r>
          </w:p>
        </w:tc>
        <w:tc>
          <w:tcPr>
            <w:tcW w:w="324" w:type="pct"/>
          </w:tcPr>
          <w:p w14:paraId="49FCDC0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1, 2, 3, 4</w:t>
            </w:r>
          </w:p>
        </w:tc>
        <w:tc>
          <w:tcPr>
            <w:tcW w:w="1694" w:type="pct"/>
          </w:tcPr>
          <w:p w14:paraId="049170D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Australian PHC has achieved comprehensiveness, access, quality of care, and service coordination with exemplary evidence-based practices. | Persistent challenges include geographic and socio-economic inequalities, staff dissatisfaction, and inadequate infrastructure in rural areas. | Despite improvements in service use and person-centered care, gaps remain in service delivery to socio-economically disadvantaged populations. [Themes: Comprehensiveness | Access and coverage | Quality of care | Patient/person-centeredness | Service coordination | Evidence-based practice/knowledge translation | Geographic and socio-economic inequalities | Staff dissatisfaction and turnover | Low adoption of person-centered care | Inadequate...]</w:t>
            </w:r>
          </w:p>
        </w:tc>
        <w:tc>
          <w:tcPr>
            <w:tcW w:w="694" w:type="pct"/>
          </w:tcPr>
          <w:p w14:paraId="5AA233A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1BA4882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J. Glob. Health</w:t>
            </w:r>
          </w:p>
        </w:tc>
      </w:tr>
      <w:tr w:rsidR="00FD0770" w:rsidRPr="005235FD" w14:paraId="21BC2ABD" w14:textId="77777777" w:rsidTr="00AC7C55">
        <w:tc>
          <w:tcPr>
            <w:tcW w:w="630" w:type="pct"/>
          </w:tcPr>
          <w:p w14:paraId="7E3F2445"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Morales-Aleman, Mercedes M; ; Hu, Qinglin; Ferreti, Gwendolyn; Yerby, Lea G</w:t>
            </w:r>
          </w:p>
        </w:tc>
        <w:tc>
          <w:tcPr>
            <w:tcW w:w="205" w:type="pct"/>
          </w:tcPr>
          <w:p w14:paraId="575F698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2022</w:t>
            </w:r>
          </w:p>
        </w:tc>
        <w:tc>
          <w:tcPr>
            <w:tcW w:w="886" w:type="pct"/>
          </w:tcPr>
          <w:p w14:paraId="0260EAB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Geographic Access to Primary Healthcare Services among Latinos/as/x in Western Alabama.</w:t>
            </w:r>
          </w:p>
        </w:tc>
        <w:tc>
          <w:tcPr>
            <w:tcW w:w="324" w:type="pct"/>
          </w:tcPr>
          <w:p w14:paraId="5B19339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w:t>
            </w:r>
          </w:p>
        </w:tc>
        <w:tc>
          <w:tcPr>
            <w:tcW w:w="1694" w:type="pct"/>
          </w:tcPr>
          <w:p w14:paraId="70DC074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Latinos/as/x in Tuscaloosa County are concentrated in rural areas with fewer healthcare providers and limited public transit. Many must travel ≥45 minutes to reach a hospital. Public transit is sparse and does not connect well with </w:t>
            </w:r>
            <w:proofErr w:type="gramStart"/>
            <w:r w:rsidRPr="005235FD">
              <w:rPr>
                <w:rFonts w:asciiTheme="majorHAnsi" w:hAnsiTheme="majorHAnsi" w:cstheme="majorHAnsi"/>
                <w:sz w:val="18"/>
                <w:szCs w:val="18"/>
              </w:rPr>
              <w:t>provider</w:t>
            </w:r>
            <w:proofErr w:type="gramEnd"/>
            <w:r w:rsidRPr="005235FD">
              <w:rPr>
                <w:rFonts w:asciiTheme="majorHAnsi" w:hAnsiTheme="majorHAnsi" w:cstheme="majorHAnsi"/>
                <w:sz w:val="18"/>
                <w:szCs w:val="18"/>
              </w:rPr>
              <w:t xml:space="preserve"> locations. [Themes: 1. Geographic disparities in provider availability | 2. Limited public transportation | 3. Long travel times to hospitals | 4. Socioeconomic and language barriers | 5. Potential of </w:t>
            </w:r>
            <w:r w:rsidRPr="005235FD">
              <w:rPr>
                <w:rFonts w:asciiTheme="majorHAnsi" w:hAnsiTheme="majorHAnsi" w:cstheme="majorHAnsi"/>
                <w:sz w:val="18"/>
                <w:szCs w:val="18"/>
              </w:rPr>
              <w:lastRenderedPageBreak/>
              <w:t>outreach, mobile health, and telemedicine to bridge access gaps]</w:t>
            </w:r>
          </w:p>
        </w:tc>
        <w:tc>
          <w:tcPr>
            <w:tcW w:w="694" w:type="pct"/>
          </w:tcPr>
          <w:p w14:paraId="4410628C"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43A1656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Southern medical journal</w:t>
            </w:r>
          </w:p>
        </w:tc>
      </w:tr>
      <w:tr w:rsidR="00A16927" w:rsidRPr="005235FD" w14:paraId="52259F20" w14:textId="77777777" w:rsidTr="00AC7C55">
        <w:tc>
          <w:tcPr>
            <w:tcW w:w="630" w:type="pct"/>
          </w:tcPr>
          <w:p w14:paraId="4AC053F9"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Mathew, S.; Fitts, M.S.; Liddle, Z.; Bourke, L.; Campbell, N.; Murakami-Gold, L.; Russell, D.J.; Humphreys, J.S.; Mulholland, E.; Zhao, Y.; Jones, M.P.; Boffa, J.; Ramjan, M.; Tangey, A.; Schultz, R.; Wakerman, J.</w:t>
            </w:r>
          </w:p>
        </w:tc>
        <w:tc>
          <w:tcPr>
            <w:tcW w:w="205" w:type="pct"/>
          </w:tcPr>
          <w:p w14:paraId="4F6263F4"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0CA16215"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Telehealth in remote Australia: a supplementary tool or an alternative model of care replacing face-to-face consultations?</w:t>
            </w:r>
          </w:p>
        </w:tc>
        <w:tc>
          <w:tcPr>
            <w:tcW w:w="324" w:type="pct"/>
          </w:tcPr>
          <w:p w14:paraId="263C7C53"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1, 2, 5</w:t>
            </w:r>
          </w:p>
        </w:tc>
        <w:tc>
          <w:tcPr>
            <w:tcW w:w="1694" w:type="pct"/>
          </w:tcPr>
          <w:p w14:paraId="6BF57B45"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To examine the role of telehealth in remote Australian primary health care, including whether it functions as a supplementary tool or alternative model of care.</w:t>
            </w:r>
          </w:p>
          <w:p w14:paraId="6613422D" w14:textId="3D7B2F0F" w:rsidR="00A16927" w:rsidRPr="005235FD" w:rsidRDefault="00A16927" w:rsidP="00A16927">
            <w:pPr>
              <w:rPr>
                <w:rFonts w:asciiTheme="majorHAnsi" w:hAnsiTheme="majorHAnsi" w:cstheme="majorHAnsi"/>
                <w:sz w:val="18"/>
                <w:szCs w:val="18"/>
                <w:lang w:val="en-AU"/>
              </w:rPr>
            </w:pPr>
            <w:r w:rsidRPr="005235FD">
              <w:rPr>
                <w:rFonts w:asciiTheme="majorHAnsi" w:hAnsiTheme="majorHAnsi" w:cstheme="majorHAnsi"/>
                <w:sz w:val="18"/>
                <w:szCs w:val="18"/>
                <w:lang w:val="en-AU"/>
              </w:rPr>
              <w:t xml:space="preserve">Telehealth reduced patient and provider travel. </w:t>
            </w:r>
          </w:p>
          <w:p w14:paraId="797A3492" w14:textId="2A610538" w:rsidR="00A16927" w:rsidRPr="005235FD" w:rsidRDefault="00A16927" w:rsidP="00A16927">
            <w:pPr>
              <w:rPr>
                <w:rFonts w:asciiTheme="majorHAnsi" w:hAnsiTheme="majorHAnsi" w:cstheme="majorHAnsi"/>
                <w:sz w:val="18"/>
                <w:szCs w:val="18"/>
                <w:lang w:val="en-AU"/>
              </w:rPr>
            </w:pPr>
            <w:r w:rsidRPr="005235FD">
              <w:rPr>
                <w:rFonts w:asciiTheme="majorHAnsi" w:hAnsiTheme="majorHAnsi" w:cstheme="majorHAnsi"/>
                <w:sz w:val="18"/>
                <w:szCs w:val="18"/>
                <w:lang w:val="en-AU"/>
              </w:rPr>
              <w:t>|Reliable, affordable internet remained a major geographic barrier. |Telehealth increased remote clinic workloads because staff often facilitated consultations, administration and interpreting. |It worked best as a supplement to adequate face-to-face services, not as a replacement. |</w:t>
            </w:r>
            <w:r w:rsidRPr="005235FD">
              <w:rPr>
                <w:rFonts w:asciiTheme="majorHAnsi" w:hAnsiTheme="majorHAnsi" w:cstheme="majorHAnsi"/>
                <w:sz w:val="18"/>
                <w:szCs w:val="18"/>
              </w:rPr>
              <w:t>Telehealth implementation required workforce planning, digital infrastructure and integration with face-to-face care.</w:t>
            </w:r>
          </w:p>
        </w:tc>
        <w:tc>
          <w:tcPr>
            <w:tcW w:w="694" w:type="pct"/>
          </w:tcPr>
          <w:p w14:paraId="603FBC9F" w14:textId="705E23D2"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08341C12"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BMC Health Services Research</w:t>
            </w:r>
          </w:p>
        </w:tc>
      </w:tr>
      <w:tr w:rsidR="00A16927" w:rsidRPr="005235FD" w14:paraId="14F1BAB7" w14:textId="77777777" w:rsidTr="00AC7C55">
        <w:tc>
          <w:tcPr>
            <w:tcW w:w="630" w:type="pct"/>
          </w:tcPr>
          <w:p w14:paraId="08567E7F"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Mathew, S.; Green, D.; Newton, N.; Powell, R.; Wakerman, J.; Russell, DJ.</w:t>
            </w:r>
          </w:p>
        </w:tc>
        <w:tc>
          <w:tcPr>
            <w:tcW w:w="205" w:type="pct"/>
          </w:tcPr>
          <w:p w14:paraId="793F88E1"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2025</w:t>
            </w:r>
          </w:p>
        </w:tc>
        <w:tc>
          <w:tcPr>
            <w:tcW w:w="886" w:type="pct"/>
          </w:tcPr>
          <w:p w14:paraId="1573092A"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Telehealth for primary healthcare delivery in rural and remote contexts in high-income countries-a scoping review</w:t>
            </w:r>
          </w:p>
        </w:tc>
        <w:tc>
          <w:tcPr>
            <w:tcW w:w="324" w:type="pct"/>
          </w:tcPr>
          <w:p w14:paraId="7933599C"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1, 2, 4, 5</w:t>
            </w:r>
          </w:p>
        </w:tc>
        <w:tc>
          <w:tcPr>
            <w:tcW w:w="1694" w:type="pct"/>
          </w:tcPr>
          <w:p w14:paraId="0A5549A2" w14:textId="46A77260" w:rsidR="00A16927" w:rsidRPr="005235FD" w:rsidRDefault="00A16927" w:rsidP="00A16927">
            <w:pPr>
              <w:rPr>
                <w:rFonts w:asciiTheme="majorHAnsi" w:hAnsiTheme="majorHAnsi" w:cstheme="majorHAnsi"/>
                <w:sz w:val="18"/>
                <w:szCs w:val="18"/>
                <w:lang w:val="en-AU"/>
              </w:rPr>
            </w:pPr>
            <w:r w:rsidRPr="005235FD">
              <w:rPr>
                <w:rFonts w:asciiTheme="majorHAnsi" w:hAnsiTheme="majorHAnsi" w:cstheme="majorHAnsi"/>
                <w:sz w:val="18"/>
                <w:szCs w:val="18"/>
              </w:rPr>
              <w:t>Aim: To explore the evidence for implementing telehealth as a mode for delivering primary health care (PHC) consultations by general practitioners (GPs) to rural and remote patients in high income countries.</w:t>
            </w:r>
            <w:r w:rsidRPr="005235FD">
              <w:rPr>
                <w:rFonts w:asciiTheme="majorHAnsi" w:hAnsiTheme="majorHAnsi" w:cstheme="majorHAnsi"/>
                <w:sz w:val="18"/>
                <w:szCs w:val="18"/>
              </w:rPr>
              <w:br/>
            </w:r>
            <w:r w:rsidRPr="005235FD">
              <w:rPr>
                <w:rFonts w:asciiTheme="majorHAnsi" w:hAnsiTheme="majorHAnsi" w:cstheme="majorHAnsi"/>
                <w:sz w:val="18"/>
                <w:szCs w:val="18"/>
                <w:lang w:val="en-AU"/>
              </w:rPr>
              <w:t xml:space="preserve">Telehealth reduced long journeys, travel costs and logistical difficulties. |It helped overcome limited rural GP availability but could increase clinic workloads. |It was most acceptable for follow-up and after-hours consultations. |Limited physical examination reduced its suitability for some care. </w:t>
            </w:r>
            <w:r w:rsidRPr="005235FD">
              <w:rPr>
                <w:rFonts w:asciiTheme="majorHAnsi" w:hAnsiTheme="majorHAnsi" w:cstheme="majorHAnsi"/>
                <w:b/>
                <w:bCs/>
                <w:sz w:val="18"/>
                <w:szCs w:val="18"/>
                <w:lang w:val="en-AU"/>
              </w:rPr>
              <w:t>|</w:t>
            </w:r>
            <w:r w:rsidRPr="005235FD">
              <w:rPr>
                <w:rFonts w:asciiTheme="majorHAnsi" w:hAnsiTheme="majorHAnsi" w:cstheme="majorHAnsi"/>
                <w:sz w:val="18"/>
                <w:szCs w:val="18"/>
                <w:lang w:val="en-AU"/>
              </w:rPr>
              <w:t>Face-to-face rural care involved provider travel and accommodation costs. |Telehealth required investment in connectivity, equipment and staff training. |Pre-existing patient-provider relationships improved acceptability. |Support was particularly important where cultural or communication differences existed. |Privacy, data security and poor infrastructure impeded implementation. |Monitoring and evaluation frameworks were needed, particularly for First Nations communities.</w:t>
            </w:r>
          </w:p>
          <w:p w14:paraId="4201AF35" w14:textId="04F690DD" w:rsidR="00A16927" w:rsidRPr="005235FD" w:rsidRDefault="00A16927" w:rsidP="00A16927">
            <w:pPr>
              <w:rPr>
                <w:rFonts w:asciiTheme="majorHAnsi" w:hAnsiTheme="majorHAnsi" w:cstheme="majorHAnsi"/>
                <w:sz w:val="18"/>
                <w:szCs w:val="18"/>
              </w:rPr>
            </w:pPr>
          </w:p>
        </w:tc>
        <w:tc>
          <w:tcPr>
            <w:tcW w:w="694" w:type="pct"/>
          </w:tcPr>
          <w:p w14:paraId="55AB4FB5" w14:textId="5AE583DE"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281DA939" w14:textId="77777777" w:rsidR="00A16927" w:rsidRPr="005235FD" w:rsidRDefault="00A16927" w:rsidP="00A16927">
            <w:pPr>
              <w:rPr>
                <w:rFonts w:asciiTheme="majorHAnsi" w:hAnsiTheme="majorHAnsi" w:cstheme="majorHAnsi"/>
                <w:sz w:val="18"/>
                <w:szCs w:val="18"/>
              </w:rPr>
            </w:pPr>
            <w:r w:rsidRPr="005235FD">
              <w:rPr>
                <w:rFonts w:asciiTheme="majorHAnsi" w:hAnsiTheme="majorHAnsi" w:cstheme="majorHAnsi"/>
                <w:sz w:val="18"/>
                <w:szCs w:val="18"/>
              </w:rPr>
              <w:t>Australian Journal of Rural Health</w:t>
            </w:r>
          </w:p>
        </w:tc>
      </w:tr>
      <w:tr w:rsidR="000B14A5" w:rsidRPr="005235FD" w14:paraId="49FAE980" w14:textId="77777777" w:rsidTr="00AC7C55">
        <w:tc>
          <w:tcPr>
            <w:tcW w:w="630" w:type="pct"/>
          </w:tcPr>
          <w:p w14:paraId="1894AB24" w14:textId="67C05A39"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Mullan, Leanne; Armstrong, Kylie</w:t>
            </w:r>
          </w:p>
        </w:tc>
        <w:tc>
          <w:tcPr>
            <w:tcW w:w="205" w:type="pct"/>
          </w:tcPr>
          <w:p w14:paraId="1A764172"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45B98330"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Barriers and enablers to structured care delivery in Australian rural primary care</w:t>
            </w:r>
          </w:p>
        </w:tc>
        <w:tc>
          <w:tcPr>
            <w:tcW w:w="324" w:type="pct"/>
          </w:tcPr>
          <w:p w14:paraId="78EA9AEE"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1, 2, 3, 5</w:t>
            </w:r>
          </w:p>
        </w:tc>
        <w:tc>
          <w:tcPr>
            <w:tcW w:w="1694" w:type="pct"/>
          </w:tcPr>
          <w:p w14:paraId="3C7AA919" w14:textId="31A0ED37" w:rsidR="000B14A5" w:rsidRPr="005235FD" w:rsidRDefault="000B14A5" w:rsidP="000B14A5">
            <w:pPr>
              <w:tabs>
                <w:tab w:val="num" w:pos="720"/>
              </w:tabs>
              <w:rPr>
                <w:rFonts w:asciiTheme="majorHAnsi" w:hAnsiTheme="majorHAnsi" w:cstheme="majorHAnsi"/>
                <w:sz w:val="18"/>
                <w:szCs w:val="18"/>
                <w:lang w:val="en-AU"/>
              </w:rPr>
            </w:pPr>
            <w:r w:rsidRPr="005235FD">
              <w:rPr>
                <w:rFonts w:asciiTheme="majorHAnsi" w:hAnsiTheme="majorHAnsi" w:cstheme="majorHAnsi"/>
                <w:sz w:val="18"/>
                <w:szCs w:val="18"/>
              </w:rPr>
              <w:t>Aim: To conduct a literature review to understand and report on the barriers and enablers to the delivery of structured care in rural and remote Australian primary health care settings.</w:t>
            </w:r>
            <w:r w:rsidRPr="005235FD">
              <w:rPr>
                <w:rFonts w:asciiTheme="majorHAnsi" w:hAnsiTheme="majorHAnsi" w:cstheme="majorHAnsi"/>
                <w:sz w:val="18"/>
                <w:szCs w:val="18"/>
              </w:rPr>
              <w:br/>
            </w:r>
            <w:r w:rsidRPr="005235FD">
              <w:rPr>
                <w:rFonts w:asciiTheme="majorHAnsi" w:hAnsiTheme="majorHAnsi" w:cstheme="majorHAnsi"/>
                <w:sz w:val="18"/>
                <w:szCs w:val="18"/>
                <w:lang w:val="en-AU"/>
              </w:rPr>
              <w:t xml:space="preserve">Isolation, distance and difficulty accessing specialist services impeded structured care. |Workforce shortages, turnover, locum dependence, heavy workloads and limited professional capacity were major barriers. |Limited local services and long waiting periods reduced coordinated care. |Inadequate, fragmented and short-term funding undermined sustainable service delivery. |Complex funding and administrative arrangements impeded </w:t>
            </w:r>
            <w:proofErr w:type="spellStart"/>
            <w:r w:rsidRPr="005235FD">
              <w:rPr>
                <w:rFonts w:asciiTheme="majorHAnsi" w:hAnsiTheme="majorHAnsi" w:cstheme="majorHAnsi"/>
                <w:sz w:val="18"/>
                <w:szCs w:val="18"/>
                <w:lang w:val="en-AU"/>
              </w:rPr>
              <w:t>integration.|Poor</w:t>
            </w:r>
            <w:proofErr w:type="spellEnd"/>
            <w:r w:rsidRPr="005235FD">
              <w:rPr>
                <w:rFonts w:asciiTheme="majorHAnsi" w:hAnsiTheme="majorHAnsi" w:cstheme="majorHAnsi"/>
                <w:sz w:val="18"/>
                <w:szCs w:val="18"/>
                <w:lang w:val="en-AU"/>
              </w:rPr>
              <w:t xml:space="preserve"> coordination, unclear roles and fragmented governance impeded structured care. </w:t>
            </w:r>
          </w:p>
          <w:p w14:paraId="5B469C23" w14:textId="31038071"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lang w:val="en-AU"/>
              </w:rPr>
              <w:t>|Leadership, integration, role clarity and funding reform were required.</w:t>
            </w:r>
          </w:p>
        </w:tc>
        <w:tc>
          <w:tcPr>
            <w:tcW w:w="694" w:type="pct"/>
          </w:tcPr>
          <w:p w14:paraId="3EE0D856" w14:textId="36885383"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2D82B1D" w14:textId="77777777" w:rsidR="000B14A5" w:rsidRPr="005235FD" w:rsidRDefault="000B14A5" w:rsidP="000B14A5">
            <w:pPr>
              <w:rPr>
                <w:rFonts w:asciiTheme="majorHAnsi" w:hAnsiTheme="majorHAnsi" w:cstheme="majorHAnsi"/>
                <w:sz w:val="18"/>
                <w:szCs w:val="18"/>
              </w:rPr>
            </w:pPr>
          </w:p>
        </w:tc>
      </w:tr>
      <w:tr w:rsidR="00FD0770" w:rsidRPr="005235FD" w14:paraId="27F6CCE8" w14:textId="77777777" w:rsidTr="00AC7C55">
        <w:tc>
          <w:tcPr>
            <w:tcW w:w="630" w:type="pct"/>
          </w:tcPr>
          <w:p w14:paraId="39DCB7E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Nolan-Isles, Davida ; Macniven, Rona ; Hunter, Kate ; </w:t>
            </w:r>
            <w:r w:rsidRPr="005235FD">
              <w:rPr>
                <w:rFonts w:asciiTheme="majorHAnsi" w:hAnsiTheme="majorHAnsi" w:cstheme="majorHAnsi"/>
                <w:sz w:val="18"/>
                <w:szCs w:val="18"/>
              </w:rPr>
              <w:lastRenderedPageBreak/>
              <w:t>Gwynn, Josephine ; Lincoln, Michelle ; Moir, Rachael ; Dimitropoulos, Yvonne ; Taylor, Donna ; Agius, Tim ; Finlayson, Heather ; Martin, Robyn ; Ward, Katrina ; Tobin, Susannah ; Gwynne, Kylie</w:t>
            </w:r>
          </w:p>
        </w:tc>
        <w:tc>
          <w:tcPr>
            <w:tcW w:w="205" w:type="pct"/>
          </w:tcPr>
          <w:p w14:paraId="6388020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2021</w:t>
            </w:r>
          </w:p>
        </w:tc>
        <w:tc>
          <w:tcPr>
            <w:tcW w:w="886" w:type="pct"/>
          </w:tcPr>
          <w:p w14:paraId="73C333C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Enablers and Barriers to Accessing Healthcare Services for Aboriginal People in New </w:t>
            </w:r>
            <w:r w:rsidRPr="005235FD">
              <w:rPr>
                <w:rFonts w:asciiTheme="majorHAnsi" w:hAnsiTheme="majorHAnsi" w:cstheme="majorHAnsi"/>
                <w:sz w:val="18"/>
                <w:szCs w:val="18"/>
              </w:rPr>
              <w:lastRenderedPageBreak/>
              <w:t>South Wales, Australia</w:t>
            </w:r>
          </w:p>
        </w:tc>
        <w:tc>
          <w:tcPr>
            <w:tcW w:w="324" w:type="pct"/>
          </w:tcPr>
          <w:p w14:paraId="22A5C2E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1, 2, 4, 5</w:t>
            </w:r>
          </w:p>
        </w:tc>
        <w:tc>
          <w:tcPr>
            <w:tcW w:w="1694" w:type="pct"/>
          </w:tcPr>
          <w:p w14:paraId="4C3272D4"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Six key themes were identified as both barriers and enablers: (1) Coordination of healthcare services, (2) Communication between services and patients, (3) Trust and cultural safety, (4) </w:t>
            </w:r>
            <w:r w:rsidRPr="005235FD">
              <w:rPr>
                <w:rFonts w:asciiTheme="majorHAnsi" w:hAnsiTheme="majorHAnsi" w:cstheme="majorHAnsi"/>
                <w:sz w:val="18"/>
                <w:szCs w:val="18"/>
              </w:rPr>
              <w:lastRenderedPageBreak/>
              <w:t>Prioritization of services based on community needs, (5) Reliability and affordability of services, (6) Distance and transport availability. Aboriginal Health Workers (AHWs) played a critical role in facilitating access. [Themes: 1. Service coordination | 2. Communication | 3. Cultural safety and trust | 4. Community-defined priorities | 5. Reliable and affordable services | 6. Transport and distance barriers]</w:t>
            </w:r>
          </w:p>
        </w:tc>
        <w:tc>
          <w:tcPr>
            <w:tcW w:w="694" w:type="pct"/>
          </w:tcPr>
          <w:p w14:paraId="466C0C3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3A1DE56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International Journal of Environmental </w:t>
            </w:r>
            <w:r w:rsidRPr="005235FD">
              <w:rPr>
                <w:rFonts w:asciiTheme="majorHAnsi" w:hAnsiTheme="majorHAnsi" w:cstheme="majorHAnsi"/>
                <w:sz w:val="18"/>
                <w:szCs w:val="18"/>
              </w:rPr>
              <w:lastRenderedPageBreak/>
              <w:t>Research and Public Health</w:t>
            </w:r>
          </w:p>
        </w:tc>
      </w:tr>
      <w:tr w:rsidR="00FD0770" w:rsidRPr="005235FD" w14:paraId="7E6972EF" w14:textId="77777777" w:rsidTr="00AC7C55">
        <w:tc>
          <w:tcPr>
            <w:tcW w:w="630" w:type="pct"/>
          </w:tcPr>
          <w:p w14:paraId="421F990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Osborn, E.; Ritha, M.; Macniven, R.; Agius, T.; Christie, V.; Finlayson, H.; Gwynn, J.; Hunter, K.; Martin, R.; Moir, R.; Taylor, D.; Tobin, S.; Ward, K.; Gwynne, K.</w:t>
            </w:r>
          </w:p>
        </w:tc>
        <w:tc>
          <w:tcPr>
            <w:tcW w:w="205" w:type="pct"/>
          </w:tcPr>
          <w:p w14:paraId="513D821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2022</w:t>
            </w:r>
          </w:p>
        </w:tc>
        <w:tc>
          <w:tcPr>
            <w:tcW w:w="886" w:type="pct"/>
          </w:tcPr>
          <w:p w14:paraId="3FB4BE8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No One Manages It; We Just Sign Them Up and Do It: A Whole System Analysis of Access to Healthcare in One Remote Australian Community</w:t>
            </w:r>
          </w:p>
        </w:tc>
        <w:tc>
          <w:tcPr>
            <w:tcW w:w="324" w:type="pct"/>
          </w:tcPr>
          <w:p w14:paraId="13FE9C9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w:t>
            </w:r>
          </w:p>
        </w:tc>
        <w:tc>
          <w:tcPr>
            <w:tcW w:w="1694" w:type="pct"/>
          </w:tcPr>
          <w:p w14:paraId="29C9E1E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The findings from the paper titled “No One Manages It; We Just Sign Them Up and Do It” can be summarised into three major themes, each highlighting critical insights into healthcare access in a remote Australian Aboriginal community: | Key Findings | 1. Underservicing and </w:t>
            </w:r>
            <w:proofErr w:type="gramStart"/>
            <w:r w:rsidRPr="005235FD">
              <w:rPr>
                <w:rFonts w:asciiTheme="majorHAnsi" w:hAnsiTheme="majorHAnsi" w:cstheme="majorHAnsi"/>
                <w:sz w:val="18"/>
                <w:szCs w:val="18"/>
              </w:rPr>
              <w:t>Overservicing | Underservicing</w:t>
            </w:r>
            <w:proofErr w:type="gramEnd"/>
            <w:r w:rsidRPr="005235FD">
              <w:rPr>
                <w:rFonts w:asciiTheme="majorHAnsi" w:hAnsiTheme="majorHAnsi" w:cstheme="majorHAnsi"/>
                <w:sz w:val="18"/>
                <w:szCs w:val="18"/>
              </w:rPr>
              <w:t>: Limited access to essential services such as cancer care, chronic disease management, oral health, occupational therapy, and sexual health. | Overservicing: Duplication of services (e.g., multiple dieticians or counsellors) due to poor... [Themes: The paper identifies three central themes that emerged from the analysis of healthcare access in a remote Aboriginal community in New South Wales: | Theme 1: Underservicing and Overservicing | Underservicing: Limited access to essential services like cancer care, chronic disease management, oral...]</w:t>
            </w:r>
          </w:p>
        </w:tc>
        <w:tc>
          <w:tcPr>
            <w:tcW w:w="694" w:type="pct"/>
          </w:tcPr>
          <w:p w14:paraId="40EC830F"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4C6CA10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Int. J. Environ. Res. Public Health</w:t>
            </w:r>
          </w:p>
        </w:tc>
      </w:tr>
      <w:tr w:rsidR="00FD0770" w:rsidRPr="005235FD" w14:paraId="347B07DA" w14:textId="77777777" w:rsidTr="00AC7C55">
        <w:tc>
          <w:tcPr>
            <w:tcW w:w="630" w:type="pct"/>
          </w:tcPr>
          <w:p w14:paraId="2E6B374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Pandey, </w:t>
            </w:r>
            <w:proofErr w:type="gramStart"/>
            <w:r w:rsidRPr="005235FD">
              <w:rPr>
                <w:rFonts w:asciiTheme="majorHAnsi" w:hAnsiTheme="majorHAnsi" w:cstheme="majorHAnsi"/>
                <w:sz w:val="18"/>
                <w:szCs w:val="18"/>
              </w:rPr>
              <w:t>Mamata; ;</w:t>
            </w:r>
            <w:proofErr w:type="gramEnd"/>
            <w:r w:rsidRPr="005235FD">
              <w:rPr>
                <w:rFonts w:asciiTheme="majorHAnsi" w:hAnsiTheme="majorHAnsi" w:cstheme="majorHAnsi"/>
                <w:sz w:val="18"/>
                <w:szCs w:val="18"/>
              </w:rPr>
              <w:t xml:space="preserve"> Clark, Megan; Beresh, Erin; Nilson, Solveig; Kay, Cynthia; Campbell, Trisha; Nicolay, Susanne; Skinner, Stuart</w:t>
            </w:r>
          </w:p>
        </w:tc>
        <w:tc>
          <w:tcPr>
            <w:tcW w:w="205" w:type="pct"/>
          </w:tcPr>
          <w:p w14:paraId="623493C1"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161541B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Wellness Wheel Clinics: A First Nation community-partnered care model improving healthcare access, from healthcare providers' perspectives.</w:t>
            </w:r>
          </w:p>
        </w:tc>
        <w:tc>
          <w:tcPr>
            <w:tcW w:w="324" w:type="pct"/>
          </w:tcPr>
          <w:p w14:paraId="48869A7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1,2, 3,4</w:t>
            </w:r>
          </w:p>
        </w:tc>
        <w:tc>
          <w:tcPr>
            <w:tcW w:w="1694" w:type="pct"/>
          </w:tcPr>
          <w:p w14:paraId="6EE1902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Key enablers included community leadership engagement, </w:t>
            </w:r>
            <w:proofErr w:type="gramStart"/>
            <w:r w:rsidRPr="005235FD">
              <w:rPr>
                <w:rFonts w:asciiTheme="majorHAnsi" w:hAnsiTheme="majorHAnsi" w:cstheme="majorHAnsi"/>
                <w:sz w:val="18"/>
                <w:szCs w:val="18"/>
              </w:rPr>
              <w:t>Elder</w:t>
            </w:r>
            <w:proofErr w:type="gramEnd"/>
            <w:r w:rsidRPr="005235FD">
              <w:rPr>
                <w:rFonts w:asciiTheme="majorHAnsi" w:hAnsiTheme="majorHAnsi" w:cstheme="majorHAnsi"/>
                <w:sz w:val="18"/>
                <w:szCs w:val="18"/>
              </w:rPr>
              <w:t xml:space="preserve"> support, collaboration with local healthcare teams, and a dedicated nurse coordinator. Barriers included jurisdictional funding issues, infrastructure limitations, and challenges in care continuity. The Outreach model improved access to primary care, timely diagnoses, and chronic disease management. [Themes: 1. Availability of care | 2. Barriers to accessing care | 3. Logistics challenges | 4. Community engagement | 5. Strategies that worked | 6. Impact on healthcare access and outcomes]</w:t>
            </w:r>
          </w:p>
        </w:tc>
        <w:tc>
          <w:tcPr>
            <w:tcW w:w="694" w:type="pct"/>
          </w:tcPr>
          <w:p w14:paraId="5E648488"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13D373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Health promotion international</w:t>
            </w:r>
          </w:p>
        </w:tc>
      </w:tr>
      <w:tr w:rsidR="000B14A5" w:rsidRPr="005235FD" w14:paraId="1B70D604" w14:textId="77777777" w:rsidTr="00AC7C55">
        <w:tc>
          <w:tcPr>
            <w:tcW w:w="630" w:type="pct"/>
          </w:tcPr>
          <w:p w14:paraId="6EE900BF"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Randall, S.; White, D.; Dennis, S.</w:t>
            </w:r>
          </w:p>
        </w:tc>
        <w:tc>
          <w:tcPr>
            <w:tcW w:w="205" w:type="pct"/>
          </w:tcPr>
          <w:p w14:paraId="7BCE9552"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3F436765"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A collaborative primary health care model for children and young people in rural Australia: explorations of cross-sectoral leader action</w:t>
            </w:r>
          </w:p>
        </w:tc>
        <w:tc>
          <w:tcPr>
            <w:tcW w:w="324" w:type="pct"/>
          </w:tcPr>
          <w:p w14:paraId="17E26A3B"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2, 5</w:t>
            </w:r>
          </w:p>
        </w:tc>
        <w:tc>
          <w:tcPr>
            <w:tcW w:w="1694" w:type="pct"/>
          </w:tcPr>
          <w:p w14:paraId="791AC745"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To explore cross-sectoral leadership and collaborative primary health care models for improving access and care for children and young people in rural Australia.</w:t>
            </w:r>
          </w:p>
          <w:p w14:paraId="6412196C" w14:textId="17D31D65" w:rsidR="000B14A5" w:rsidRPr="005235FD" w:rsidRDefault="000B14A5" w:rsidP="000B14A5">
            <w:pPr>
              <w:rPr>
                <w:rFonts w:asciiTheme="majorHAnsi" w:hAnsiTheme="majorHAnsi" w:cstheme="majorHAnsi"/>
                <w:sz w:val="18"/>
                <w:szCs w:val="18"/>
                <w:lang w:val="en-AU"/>
              </w:rPr>
            </w:pPr>
            <w:r w:rsidRPr="005235FD">
              <w:rPr>
                <w:rFonts w:asciiTheme="majorHAnsi" w:hAnsiTheme="majorHAnsi" w:cstheme="majorHAnsi"/>
                <w:sz w:val="18"/>
                <w:szCs w:val="18"/>
              </w:rPr>
              <w:t>Cross-sector collaboration helped address limited local capacity, although funding alone could not overcome workforce shortages. |</w:t>
            </w:r>
            <w:r w:rsidRPr="005235FD">
              <w:rPr>
                <w:rFonts w:asciiTheme="majorHAnsi" w:hAnsiTheme="majorHAnsi" w:cstheme="majorHAnsi"/>
                <w:sz w:val="18"/>
                <w:szCs w:val="18"/>
                <w:lang w:val="en-AU"/>
              </w:rPr>
              <w:t>Organisational silos impeded coordinated responses. |Shared priorities, supportive leadership and alignment with government policy enabled service development.</w:t>
            </w:r>
          </w:p>
        </w:tc>
        <w:tc>
          <w:tcPr>
            <w:tcW w:w="694" w:type="pct"/>
          </w:tcPr>
          <w:p w14:paraId="256622B9" w14:textId="3D3218F0"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A4EC88E"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Australian Journal of Primary Health</w:t>
            </w:r>
          </w:p>
        </w:tc>
      </w:tr>
      <w:tr w:rsidR="00FD0770" w:rsidRPr="005235FD" w14:paraId="10C93803" w14:textId="77777777" w:rsidTr="00AC7C55">
        <w:tc>
          <w:tcPr>
            <w:tcW w:w="630" w:type="pct"/>
          </w:tcPr>
          <w:p w14:paraId="52CF168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Rossiter, Rachel; ; Phillips, Rosemary; Blanchard, Denise; van Wissen, Kim; </w:t>
            </w:r>
            <w:r w:rsidRPr="005235FD">
              <w:rPr>
                <w:rFonts w:asciiTheme="majorHAnsi" w:hAnsiTheme="majorHAnsi" w:cstheme="majorHAnsi"/>
                <w:sz w:val="18"/>
                <w:szCs w:val="18"/>
              </w:rPr>
              <w:lastRenderedPageBreak/>
              <w:t>Robinson, Tracy</w:t>
            </w:r>
          </w:p>
        </w:tc>
        <w:tc>
          <w:tcPr>
            <w:tcW w:w="205" w:type="pct"/>
          </w:tcPr>
          <w:p w14:paraId="6DA0AA16"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2023</w:t>
            </w:r>
          </w:p>
        </w:tc>
        <w:tc>
          <w:tcPr>
            <w:tcW w:w="886" w:type="pct"/>
          </w:tcPr>
          <w:p w14:paraId="47A9F4C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Exploring nurse practitioner practice in Australian rural primary health care settings: A scoping review.</w:t>
            </w:r>
          </w:p>
        </w:tc>
        <w:tc>
          <w:tcPr>
            <w:tcW w:w="324" w:type="pct"/>
          </w:tcPr>
          <w:p w14:paraId="5E20F1A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5</w:t>
            </w:r>
          </w:p>
        </w:tc>
        <w:tc>
          <w:tcPr>
            <w:tcW w:w="1694" w:type="pct"/>
          </w:tcPr>
          <w:p w14:paraId="30E46333"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NP roles are underutilised in rural Australia despite their potential to address service gaps. | Barriers include lack of funding, limited Medicare access, poor role clarity, and lack of community and professional awareness. | Enablers include </w:t>
            </w:r>
            <w:r w:rsidRPr="005235FD">
              <w:rPr>
                <w:rFonts w:asciiTheme="majorHAnsi" w:hAnsiTheme="majorHAnsi" w:cstheme="majorHAnsi"/>
                <w:sz w:val="18"/>
                <w:szCs w:val="18"/>
              </w:rPr>
              <w:lastRenderedPageBreak/>
              <w:t>community support, stakeholder engagement, and collaborative models. | There is a lack of long-term evaluations and economic analyses of NP-led models. [Themes: 1. Conceptualisation of NP roles | 2. Service contexts and models of care | 3. Structural supports and barriers | 4. Community and professional perceptions | 5. Need for robust evaluation and policy support]</w:t>
            </w:r>
          </w:p>
        </w:tc>
        <w:tc>
          <w:tcPr>
            <w:tcW w:w="694" w:type="pct"/>
          </w:tcPr>
          <w:p w14:paraId="44BE5DD7"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5622D16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The Australian journal of rural health</w:t>
            </w:r>
          </w:p>
        </w:tc>
      </w:tr>
      <w:tr w:rsidR="000B14A5" w:rsidRPr="005235FD" w14:paraId="25015C56" w14:textId="77777777" w:rsidTr="00AC7C55">
        <w:tc>
          <w:tcPr>
            <w:tcW w:w="630" w:type="pct"/>
          </w:tcPr>
          <w:p w14:paraId="127696C5"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Russell, D.J.; McGrail, M.R.; Humphreys, J.S.</w:t>
            </w:r>
          </w:p>
        </w:tc>
        <w:tc>
          <w:tcPr>
            <w:tcW w:w="205" w:type="pct"/>
          </w:tcPr>
          <w:p w14:paraId="6A82C893"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2017</w:t>
            </w:r>
          </w:p>
        </w:tc>
        <w:tc>
          <w:tcPr>
            <w:tcW w:w="886" w:type="pct"/>
          </w:tcPr>
          <w:p w14:paraId="36559468"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Determinants of rural Australian primary health care worker retention: A synthesis of key evidence and implications for policymaking</w:t>
            </w:r>
          </w:p>
        </w:tc>
        <w:tc>
          <w:tcPr>
            <w:tcW w:w="324" w:type="pct"/>
          </w:tcPr>
          <w:p w14:paraId="0C2B2DEE"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2, 5</w:t>
            </w:r>
          </w:p>
        </w:tc>
        <w:tc>
          <w:tcPr>
            <w:tcW w:w="1694" w:type="pct"/>
          </w:tcPr>
          <w:p w14:paraId="37EF2B44"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To synthesise evidence on determinants of rural Australian primary health care workforce retention and identify policy implications for workforce sustainability.</w:t>
            </w:r>
          </w:p>
          <w:p w14:paraId="6F8DB642" w14:textId="0D6BD772" w:rsidR="000B14A5" w:rsidRPr="005235FD" w:rsidRDefault="000B14A5" w:rsidP="000B14A5">
            <w:pPr>
              <w:rPr>
                <w:rFonts w:asciiTheme="majorHAnsi" w:hAnsiTheme="majorHAnsi" w:cstheme="majorHAnsi"/>
                <w:sz w:val="18"/>
                <w:szCs w:val="18"/>
                <w:lang w:val="en-AU"/>
              </w:rPr>
            </w:pPr>
            <w:r w:rsidRPr="005235FD">
              <w:rPr>
                <w:rFonts w:asciiTheme="majorHAnsi" w:hAnsiTheme="majorHAnsi" w:cstheme="majorHAnsi"/>
                <w:sz w:val="18"/>
                <w:szCs w:val="18"/>
                <w:lang w:val="en-AU"/>
              </w:rPr>
              <w:t xml:space="preserve">Retention was associated with profession, procedural work, hospital responsibilities, leave access, employment grade, training background and practitioner age. |Professional support and cognitive behavioural coaching improved retention. |Provider-number restrictions, training arrangements and regulatory factors affected retention. |Strategies needed to be tailored to </w:t>
            </w:r>
            <w:proofErr w:type="gramStart"/>
            <w:r w:rsidRPr="005235FD">
              <w:rPr>
                <w:rFonts w:asciiTheme="majorHAnsi" w:hAnsiTheme="majorHAnsi" w:cstheme="majorHAnsi"/>
                <w:sz w:val="18"/>
                <w:szCs w:val="18"/>
                <w:lang w:val="en-AU"/>
              </w:rPr>
              <w:t>particular professions</w:t>
            </w:r>
            <w:proofErr w:type="gramEnd"/>
            <w:r w:rsidRPr="005235FD">
              <w:rPr>
                <w:rFonts w:asciiTheme="majorHAnsi" w:hAnsiTheme="majorHAnsi" w:cstheme="majorHAnsi"/>
                <w:sz w:val="18"/>
                <w:szCs w:val="18"/>
                <w:lang w:val="en-AU"/>
              </w:rPr>
              <w:t xml:space="preserve"> and locations rather than universally applied.</w:t>
            </w:r>
          </w:p>
        </w:tc>
        <w:tc>
          <w:tcPr>
            <w:tcW w:w="694" w:type="pct"/>
          </w:tcPr>
          <w:p w14:paraId="2A960806" w14:textId="317420FF"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8BEA65E"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Australian Journal of Rural Health</w:t>
            </w:r>
          </w:p>
        </w:tc>
      </w:tr>
      <w:tr w:rsidR="000B14A5" w:rsidRPr="005235FD" w14:paraId="01B07BE7" w14:textId="77777777" w:rsidTr="00AC7C55">
        <w:tc>
          <w:tcPr>
            <w:tcW w:w="630" w:type="pct"/>
          </w:tcPr>
          <w:p w14:paraId="40401035"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Saxby, K.; Zhang, Y.</w:t>
            </w:r>
          </w:p>
        </w:tc>
        <w:tc>
          <w:tcPr>
            <w:tcW w:w="205" w:type="pct"/>
          </w:tcPr>
          <w:p w14:paraId="74BA873C"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2025</w:t>
            </w:r>
          </w:p>
        </w:tc>
        <w:tc>
          <w:tcPr>
            <w:tcW w:w="886" w:type="pct"/>
          </w:tcPr>
          <w:p w14:paraId="32E2FBAA"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Do Rurality-Based Financial Incentives Improve Equity of Primary Healthcare Access? Evidence From Australia</w:t>
            </w:r>
          </w:p>
        </w:tc>
        <w:tc>
          <w:tcPr>
            <w:tcW w:w="324" w:type="pct"/>
          </w:tcPr>
          <w:p w14:paraId="48DD6DC4"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1, 3, 5</w:t>
            </w:r>
          </w:p>
        </w:tc>
        <w:tc>
          <w:tcPr>
            <w:tcW w:w="1694" w:type="pct"/>
          </w:tcPr>
          <w:p w14:paraId="24C5118B"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To examine whether rurality-based financial incentives, including bulk billing incentives, improve equity of primary healthcare access in Australia.</w:t>
            </w:r>
          </w:p>
          <w:p w14:paraId="71C8DD34" w14:textId="7F03E032" w:rsidR="000B14A5" w:rsidRPr="005235FD" w:rsidRDefault="000B14A5" w:rsidP="000B14A5">
            <w:pPr>
              <w:rPr>
                <w:rFonts w:asciiTheme="majorHAnsi" w:hAnsiTheme="majorHAnsi" w:cstheme="majorHAnsi"/>
                <w:sz w:val="18"/>
                <w:szCs w:val="18"/>
                <w:lang w:val="en-AU"/>
              </w:rPr>
            </w:pPr>
            <w:r w:rsidRPr="005235FD">
              <w:rPr>
                <w:rFonts w:asciiTheme="majorHAnsi" w:hAnsiTheme="majorHAnsi" w:cstheme="majorHAnsi"/>
                <w:sz w:val="18"/>
                <w:szCs w:val="18"/>
              </w:rPr>
              <w:t>Rural patients continued to experience travel-related access costs.|</w:t>
            </w:r>
            <w:r w:rsidRPr="005235FD">
              <w:rPr>
                <w:rFonts w:asciiTheme="majorHAnsi" w:hAnsiTheme="majorHAnsi" w:cstheme="majorHAnsi"/>
                <w:sz w:val="18"/>
                <w:szCs w:val="18"/>
                <w:lang w:val="en-AU"/>
              </w:rPr>
              <w:t>Increased rural bulk-billing incentives produced 2.7% more GP visits; 9% more bulk-billed visits; and a 13% reduction in out-of-pocket cost per visit. |Benefits were greater for groups with higher initial costs and were unevenly distributed. |Rurality-based incentives improved affordability but did not eliminate rural access inequities. |Geographic targeting alone did not ensure equitable benefit across population groups.</w:t>
            </w:r>
          </w:p>
        </w:tc>
        <w:tc>
          <w:tcPr>
            <w:tcW w:w="694" w:type="pct"/>
          </w:tcPr>
          <w:p w14:paraId="41DB0E66" w14:textId="670E1A1A"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0BC4384C"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Health Economics</w:t>
            </w:r>
          </w:p>
        </w:tc>
      </w:tr>
      <w:tr w:rsidR="000B14A5" w:rsidRPr="005235FD" w14:paraId="136CA022" w14:textId="77777777" w:rsidTr="00AC7C55">
        <w:tc>
          <w:tcPr>
            <w:tcW w:w="630" w:type="pct"/>
          </w:tcPr>
          <w:p w14:paraId="6A8DFA8C"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St Clair, M.; Murtagh, D.</w:t>
            </w:r>
          </w:p>
        </w:tc>
        <w:tc>
          <w:tcPr>
            <w:tcW w:w="205" w:type="pct"/>
          </w:tcPr>
          <w:p w14:paraId="63D1BE73"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2019</w:t>
            </w:r>
          </w:p>
        </w:tc>
        <w:tc>
          <w:tcPr>
            <w:tcW w:w="886" w:type="pct"/>
          </w:tcPr>
          <w:p w14:paraId="008440B6"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Barriers to Telehealth Uptake in Rural, Regional, Remote Australia: What Can Be Done to Expand Telehealth Access in Remote Areas?</w:t>
            </w:r>
          </w:p>
        </w:tc>
        <w:tc>
          <w:tcPr>
            <w:tcW w:w="324" w:type="pct"/>
          </w:tcPr>
          <w:p w14:paraId="6CB32E0D"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1, 2, 4, 5</w:t>
            </w:r>
          </w:p>
        </w:tc>
        <w:tc>
          <w:tcPr>
            <w:tcW w:w="1694" w:type="pct"/>
          </w:tcPr>
          <w:p w14:paraId="633B8C9C"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To identify barriers to telehealth uptake in rural, regional, and remote Australia and consider strategies to expand telehealth access in remote areas, including Indigenous communities.</w:t>
            </w:r>
          </w:p>
          <w:p w14:paraId="30FAA1CF" w14:textId="43CBBCC1" w:rsidR="000B14A5" w:rsidRPr="005235FD" w:rsidRDefault="000B14A5" w:rsidP="000B14A5">
            <w:pPr>
              <w:rPr>
                <w:rFonts w:asciiTheme="majorHAnsi" w:hAnsiTheme="majorHAnsi" w:cstheme="majorHAnsi"/>
                <w:sz w:val="18"/>
                <w:szCs w:val="18"/>
                <w:lang w:val="en-AU"/>
              </w:rPr>
            </w:pPr>
            <w:r w:rsidRPr="005235FD">
              <w:rPr>
                <w:rFonts w:asciiTheme="majorHAnsi" w:hAnsiTheme="majorHAnsi" w:cstheme="majorHAnsi"/>
                <w:sz w:val="18"/>
                <w:szCs w:val="18"/>
                <w:lang w:val="en-AU"/>
              </w:rPr>
              <w:t>Telehealth could reduce travel time, distance and associated patient costs. |Poor and unreliable internet connectivity was a major remote-area barrier. |Limited local staff to support consultations constrained uptake. |Relationships between remote communities and external clinicians supported effective delivery. |</w:t>
            </w:r>
            <w:r w:rsidRPr="005235FD">
              <w:rPr>
                <w:rFonts w:asciiTheme="majorHAnsi" w:hAnsiTheme="majorHAnsi" w:cstheme="majorHAnsi"/>
                <w:sz w:val="18"/>
                <w:szCs w:val="18"/>
              </w:rPr>
              <w:t>Cross-cultural relationships and culturally sensitive staff induction supported adoption. |Funding rules, digital infrastructure and inadequate local support arrangements impeded telehealth expansion.</w:t>
            </w:r>
          </w:p>
        </w:tc>
        <w:tc>
          <w:tcPr>
            <w:tcW w:w="694" w:type="pct"/>
          </w:tcPr>
          <w:p w14:paraId="1A1E5599" w14:textId="1414FBD6"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18C6886E"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Studies in Health Technology and Informatics</w:t>
            </w:r>
          </w:p>
        </w:tc>
      </w:tr>
      <w:tr w:rsidR="000B14A5" w:rsidRPr="005235FD" w14:paraId="0524A26A" w14:textId="77777777" w:rsidTr="00AC7C55">
        <w:tc>
          <w:tcPr>
            <w:tcW w:w="630" w:type="pct"/>
          </w:tcPr>
          <w:p w14:paraId="4947E65B"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Sheth, A.; Thompson, S.C.; Mavaddat, N.</w:t>
            </w:r>
          </w:p>
        </w:tc>
        <w:tc>
          <w:tcPr>
            <w:tcW w:w="205" w:type="pct"/>
          </w:tcPr>
          <w:p w14:paraId="665D1F20"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2026</w:t>
            </w:r>
          </w:p>
        </w:tc>
        <w:tc>
          <w:tcPr>
            <w:tcW w:w="886" w:type="pct"/>
          </w:tcPr>
          <w:p w14:paraId="1D800850"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Rural General Practitioners’ Perceptions of the Barriers and Facilitators of Chronic Disease and Cardiometabolic Risk Factor Care Through Lifestyle Management—A Western Australian Qualitative Study</w:t>
            </w:r>
          </w:p>
        </w:tc>
        <w:tc>
          <w:tcPr>
            <w:tcW w:w="324" w:type="pct"/>
          </w:tcPr>
          <w:p w14:paraId="53CB97F0"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2, 3, 5</w:t>
            </w:r>
          </w:p>
        </w:tc>
        <w:tc>
          <w:tcPr>
            <w:tcW w:w="1694" w:type="pct"/>
          </w:tcPr>
          <w:p w14:paraId="2794059B"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To explore rural general practitioners’ perceptions of barriers and facilitators to chronic disease and cardiometabolic risk factor care through lifestyle management in Western Australia.</w:t>
            </w:r>
          </w:p>
          <w:p w14:paraId="4490B8D7" w14:textId="00E5A16E" w:rsidR="000B14A5" w:rsidRPr="005235FD" w:rsidRDefault="000B14A5" w:rsidP="000B14A5">
            <w:pPr>
              <w:rPr>
                <w:rFonts w:asciiTheme="majorHAnsi" w:hAnsiTheme="majorHAnsi" w:cstheme="majorHAnsi"/>
                <w:sz w:val="18"/>
                <w:szCs w:val="18"/>
                <w:lang w:val="en-AU"/>
              </w:rPr>
            </w:pPr>
            <w:r w:rsidRPr="005235FD">
              <w:rPr>
                <w:rFonts w:asciiTheme="majorHAnsi" w:hAnsiTheme="majorHAnsi" w:cstheme="majorHAnsi"/>
                <w:sz w:val="18"/>
                <w:szCs w:val="18"/>
                <w:lang w:val="en-AU"/>
              </w:rPr>
              <w:t xml:space="preserve">GP shortages, turnover and limited allied health access impeded care. |Co-located multidisciplinary teams, case managers and health coaches were identified as enablers. |Continuity and long-term GP relationships supported trust and engagement. |Fee-for-service funding and short consultation times </w:t>
            </w:r>
            <w:r w:rsidRPr="005235FD">
              <w:rPr>
                <w:rFonts w:asciiTheme="majorHAnsi" w:hAnsiTheme="majorHAnsi" w:cstheme="majorHAnsi"/>
                <w:sz w:val="18"/>
                <w:szCs w:val="18"/>
                <w:lang w:val="en-AU"/>
              </w:rPr>
              <w:lastRenderedPageBreak/>
              <w:t>discouraged complex preventive care. |Rural living costs impeded workforce recruitment. |Patients faced costs associated with healthy food, exercise and accessing services.</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Better remuneration for complex preventive consultations was recommended. |Upstream policies were needed to improve the affordability and availability of healthy food. |Revised funding models, workforce development and integrated multidisciplinary care were proposed.</w:t>
            </w:r>
          </w:p>
        </w:tc>
        <w:tc>
          <w:tcPr>
            <w:tcW w:w="694" w:type="pct"/>
          </w:tcPr>
          <w:p w14:paraId="7F0FE419" w14:textId="08D3EA71"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1FAE84AD" w14:textId="77777777" w:rsidR="000B14A5" w:rsidRPr="005235FD" w:rsidRDefault="000B14A5" w:rsidP="000B14A5">
            <w:pPr>
              <w:rPr>
                <w:rFonts w:asciiTheme="majorHAnsi" w:hAnsiTheme="majorHAnsi" w:cstheme="majorHAnsi"/>
                <w:sz w:val="18"/>
                <w:szCs w:val="18"/>
              </w:rPr>
            </w:pPr>
            <w:r w:rsidRPr="005235FD">
              <w:rPr>
                <w:rFonts w:asciiTheme="majorHAnsi" w:hAnsiTheme="majorHAnsi" w:cstheme="majorHAnsi"/>
                <w:sz w:val="18"/>
                <w:szCs w:val="18"/>
              </w:rPr>
              <w:t>Healthcare</w:t>
            </w:r>
          </w:p>
        </w:tc>
      </w:tr>
      <w:tr w:rsidR="00236BC7" w:rsidRPr="005235FD" w14:paraId="0945D69E" w14:textId="77777777" w:rsidTr="00AC7C55">
        <w:tc>
          <w:tcPr>
            <w:tcW w:w="630" w:type="pct"/>
          </w:tcPr>
          <w:p w14:paraId="69776D82"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Smith, T.; McNeil, K.; Mitchell, R.; Boyle, B.; Ries, N.</w:t>
            </w:r>
          </w:p>
        </w:tc>
        <w:tc>
          <w:tcPr>
            <w:tcW w:w="205" w:type="pct"/>
          </w:tcPr>
          <w:p w14:paraId="25B10C7D"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2019</w:t>
            </w:r>
          </w:p>
        </w:tc>
        <w:tc>
          <w:tcPr>
            <w:tcW w:w="886" w:type="pct"/>
          </w:tcPr>
          <w:p w14:paraId="1438DF58"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A study of macro-, meso- and micro-barriers and enablers affecting extended scopes of practice: the case of rural nurse practitioners in Australia</w:t>
            </w:r>
          </w:p>
        </w:tc>
        <w:tc>
          <w:tcPr>
            <w:tcW w:w="324" w:type="pct"/>
          </w:tcPr>
          <w:p w14:paraId="64DCF4D4"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2, 5</w:t>
            </w:r>
          </w:p>
        </w:tc>
        <w:tc>
          <w:tcPr>
            <w:tcW w:w="1694" w:type="pct"/>
          </w:tcPr>
          <w:p w14:paraId="78C4C028"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To examine macro-, meso-, and micro-level barriers and enablers affecting extended scopes of practice for rural nurse practitioners in Australia.</w:t>
            </w:r>
          </w:p>
          <w:p w14:paraId="0BA95C42" w14:textId="1A0B624B"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Older rural populations face challenges in accessing out-of-hours medical services due to transportation difficulties and limited support networks. | The need for quick access to medical care is a significant concern for older people when unwell outside regular surgery hours. | Rurality impacts these challenges, with those living further from treatment centers being less likely to use GPOOH services. Themes: Difficulties accessing transport | Limited availability of support networks | Need for quick access to medical care | Impact of rurality on vulnerability and distance from treatment centers | Concerns about accessibility and being taken seriously | Logistical issues with multiple phone calls</w:t>
            </w:r>
          </w:p>
        </w:tc>
        <w:tc>
          <w:tcPr>
            <w:tcW w:w="694" w:type="pct"/>
          </w:tcPr>
          <w:p w14:paraId="7B451163" w14:textId="424DC4A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23B8F2C3"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BMC Nursing</w:t>
            </w:r>
          </w:p>
        </w:tc>
      </w:tr>
      <w:tr w:rsidR="00236BC7" w:rsidRPr="005235FD" w14:paraId="3EF45057" w14:textId="77777777" w:rsidTr="00AC7C55">
        <w:tc>
          <w:tcPr>
            <w:tcW w:w="630" w:type="pct"/>
          </w:tcPr>
          <w:p w14:paraId="57473294"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Smith, G.; Kirkham, R.; Gunabarra, C.; Bokmakarray, V.; Burgess, C.P.</w:t>
            </w:r>
          </w:p>
        </w:tc>
        <w:tc>
          <w:tcPr>
            <w:tcW w:w="205" w:type="pct"/>
          </w:tcPr>
          <w:p w14:paraId="616C4708"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2019</w:t>
            </w:r>
          </w:p>
        </w:tc>
        <w:tc>
          <w:tcPr>
            <w:tcW w:w="886" w:type="pct"/>
          </w:tcPr>
          <w:p w14:paraId="11EDF3FF"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We can work together, talk together: an Aboriginal Health Care Home</w:t>
            </w:r>
          </w:p>
        </w:tc>
        <w:tc>
          <w:tcPr>
            <w:tcW w:w="324" w:type="pct"/>
          </w:tcPr>
          <w:p w14:paraId="70B63B4D"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1, 2, 4, 5</w:t>
            </w:r>
          </w:p>
        </w:tc>
        <w:tc>
          <w:tcPr>
            <w:tcW w:w="1694" w:type="pct"/>
          </w:tcPr>
          <w:p w14:paraId="058B2534"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To identify an Aboriginal community’s priorities for improving primary healthcare through the Health Care Homes reform.</w:t>
            </w:r>
          </w:p>
          <w:p w14:paraId="1A0DE59F" w14:textId="69E2D27C" w:rsidR="00236BC7" w:rsidRPr="005235FD" w:rsidRDefault="00236BC7" w:rsidP="00236BC7">
            <w:pPr>
              <w:rPr>
                <w:rFonts w:asciiTheme="majorHAnsi" w:hAnsiTheme="majorHAnsi" w:cstheme="majorHAnsi"/>
                <w:sz w:val="18"/>
                <w:szCs w:val="18"/>
                <w:lang w:val="en-AU"/>
              </w:rPr>
            </w:pPr>
            <w:r w:rsidRPr="005235FD">
              <w:rPr>
                <w:rFonts w:asciiTheme="majorHAnsi" w:hAnsiTheme="majorHAnsi" w:cstheme="majorHAnsi"/>
                <w:sz w:val="18"/>
                <w:szCs w:val="18"/>
                <w:lang w:val="en-AU"/>
              </w:rPr>
              <w:t xml:space="preserve">Long waits, high staff turnover and inconsistent after-hours responses reduced access. |Three of four funded Aboriginal Health Practitioner (AHP) positions were vacant. |Small care teams comprising nurses and language-congruent AHPs were proposed to improve </w:t>
            </w:r>
            <w:proofErr w:type="spellStart"/>
            <w:r w:rsidRPr="005235FD">
              <w:rPr>
                <w:rFonts w:asciiTheme="majorHAnsi" w:hAnsiTheme="majorHAnsi" w:cstheme="majorHAnsi"/>
                <w:sz w:val="18"/>
                <w:szCs w:val="18"/>
                <w:lang w:val="en-AU"/>
              </w:rPr>
              <w:t>continuity.|Low</w:t>
            </w:r>
            <w:proofErr w:type="spellEnd"/>
            <w:r w:rsidRPr="005235FD">
              <w:rPr>
                <w:rFonts w:asciiTheme="majorHAnsi" w:hAnsiTheme="majorHAnsi" w:cstheme="majorHAnsi"/>
                <w:sz w:val="18"/>
                <w:szCs w:val="18"/>
                <w:lang w:val="en-AU"/>
              </w:rPr>
              <w:t xml:space="preserve"> cultural security, unfamiliar staff and perceived unequal treatment reduced service acceptability. |Participants wanted culturally secure, relationship-based care incorporating kinship, language, Country and traditional healing. |AHPs and Elders were considered essential for cultural mentorship and trust. |Participants wanted greater Aboriginal involvement in service delivery and clinical governance. |The AHP role should be strengthened to include care coordination, navigation, health coaching and continuity. |Participants preferred a population-wide model rather than limiting Health Care Homes to people with chronic conditions.</w:t>
            </w:r>
          </w:p>
        </w:tc>
        <w:tc>
          <w:tcPr>
            <w:tcW w:w="694" w:type="pct"/>
          </w:tcPr>
          <w:p w14:paraId="222EC6ED" w14:textId="36206368"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7792347B"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Australian Health Review</w:t>
            </w:r>
          </w:p>
        </w:tc>
      </w:tr>
      <w:tr w:rsidR="00236BC7" w:rsidRPr="005235FD" w14:paraId="084694FD" w14:textId="77777777" w:rsidTr="00AC7C55">
        <w:tc>
          <w:tcPr>
            <w:tcW w:w="630" w:type="pct"/>
          </w:tcPr>
          <w:p w14:paraId="3DBAE49C" w14:textId="77777777" w:rsidR="00236BC7" w:rsidRPr="005235FD" w:rsidRDefault="00236BC7" w:rsidP="00236BC7">
            <w:pPr>
              <w:rPr>
                <w:rFonts w:asciiTheme="majorHAnsi" w:hAnsiTheme="majorHAnsi" w:cstheme="majorHAnsi"/>
                <w:sz w:val="18"/>
                <w:szCs w:val="18"/>
              </w:rPr>
            </w:pPr>
            <w:proofErr w:type="spellStart"/>
            <w:r w:rsidRPr="005235FD">
              <w:rPr>
                <w:rFonts w:asciiTheme="majorHAnsi" w:hAnsiTheme="majorHAnsi" w:cstheme="majorHAnsi"/>
                <w:sz w:val="18"/>
                <w:szCs w:val="18"/>
              </w:rPr>
              <w:t>Snadden</w:t>
            </w:r>
            <w:proofErr w:type="spellEnd"/>
            <w:r w:rsidRPr="005235FD">
              <w:rPr>
                <w:rFonts w:asciiTheme="majorHAnsi" w:hAnsiTheme="majorHAnsi" w:cstheme="majorHAnsi"/>
                <w:sz w:val="18"/>
                <w:szCs w:val="18"/>
              </w:rPr>
              <w:t>, D.; Reay, T.; Hanlon, N.; MacLeod, M.</w:t>
            </w:r>
          </w:p>
        </w:tc>
        <w:tc>
          <w:tcPr>
            <w:tcW w:w="205" w:type="pct"/>
          </w:tcPr>
          <w:p w14:paraId="45E107B1"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2019</w:t>
            </w:r>
          </w:p>
        </w:tc>
        <w:tc>
          <w:tcPr>
            <w:tcW w:w="886" w:type="pct"/>
          </w:tcPr>
          <w:p w14:paraId="64F0F507"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Engaging primary care physicians in system change – an interpretive qualitative study in a remote and rural health region in Northern British Columbia, Canada</w:t>
            </w:r>
          </w:p>
        </w:tc>
        <w:tc>
          <w:tcPr>
            <w:tcW w:w="324" w:type="pct"/>
          </w:tcPr>
          <w:p w14:paraId="0AF504AF"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1, 2, 5</w:t>
            </w:r>
          </w:p>
        </w:tc>
        <w:tc>
          <w:tcPr>
            <w:tcW w:w="1694" w:type="pct"/>
          </w:tcPr>
          <w:p w14:paraId="172D058B"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 xml:space="preserve">To explore primary care physician engagement in health </w:t>
            </w:r>
            <w:proofErr w:type="gramStart"/>
            <w:r w:rsidRPr="005235FD">
              <w:rPr>
                <w:rFonts w:asciiTheme="majorHAnsi" w:hAnsiTheme="majorHAnsi" w:cstheme="majorHAnsi"/>
                <w:sz w:val="18"/>
                <w:szCs w:val="18"/>
              </w:rPr>
              <w:t>system</w:t>
            </w:r>
            <w:proofErr w:type="gramEnd"/>
            <w:r w:rsidRPr="005235FD">
              <w:rPr>
                <w:rFonts w:asciiTheme="majorHAnsi" w:hAnsiTheme="majorHAnsi" w:cstheme="majorHAnsi"/>
                <w:sz w:val="18"/>
                <w:szCs w:val="18"/>
              </w:rPr>
              <w:t xml:space="preserve"> </w:t>
            </w:r>
            <w:proofErr w:type="gramStart"/>
            <w:r w:rsidRPr="005235FD">
              <w:rPr>
                <w:rFonts w:asciiTheme="majorHAnsi" w:hAnsiTheme="majorHAnsi" w:cstheme="majorHAnsi"/>
                <w:sz w:val="18"/>
                <w:szCs w:val="18"/>
              </w:rPr>
              <w:t>change</w:t>
            </w:r>
            <w:proofErr w:type="gramEnd"/>
            <w:r w:rsidRPr="005235FD">
              <w:rPr>
                <w:rFonts w:asciiTheme="majorHAnsi" w:hAnsiTheme="majorHAnsi" w:cstheme="majorHAnsi"/>
                <w:sz w:val="18"/>
                <w:szCs w:val="18"/>
              </w:rPr>
              <w:t xml:space="preserve"> in a remote and rural health region, including </w:t>
            </w:r>
            <w:proofErr w:type="spellStart"/>
            <w:r w:rsidRPr="005235FD">
              <w:rPr>
                <w:rFonts w:asciiTheme="majorHAnsi" w:hAnsiTheme="majorHAnsi" w:cstheme="majorHAnsi"/>
                <w:sz w:val="18"/>
                <w:szCs w:val="18"/>
              </w:rPr>
              <w:t>organisational</w:t>
            </w:r>
            <w:proofErr w:type="spellEnd"/>
            <w:r w:rsidRPr="005235FD">
              <w:rPr>
                <w:rFonts w:asciiTheme="majorHAnsi" w:hAnsiTheme="majorHAnsi" w:cstheme="majorHAnsi"/>
                <w:sz w:val="18"/>
                <w:szCs w:val="18"/>
              </w:rPr>
              <w:t xml:space="preserve"> and contextual influences.</w:t>
            </w:r>
          </w:p>
          <w:p w14:paraId="74C159B4" w14:textId="2BFCB5A7" w:rsidR="00014E5D" w:rsidRPr="005235FD" w:rsidRDefault="00533225" w:rsidP="00533225">
            <w:pPr>
              <w:rPr>
                <w:rFonts w:asciiTheme="majorHAnsi" w:hAnsiTheme="majorHAnsi" w:cstheme="majorHAnsi"/>
                <w:sz w:val="18"/>
                <w:szCs w:val="18"/>
                <w:lang w:val="en-AU"/>
              </w:rPr>
            </w:pPr>
            <w:r w:rsidRPr="005235FD">
              <w:rPr>
                <w:rFonts w:asciiTheme="majorHAnsi" w:hAnsiTheme="majorHAnsi" w:cstheme="majorHAnsi"/>
                <w:sz w:val="18"/>
                <w:szCs w:val="18"/>
              </w:rPr>
              <w:t>Widely dispersed communities made communication, travel and relationship-building more time-consuming.|</w:t>
            </w:r>
            <w:r w:rsidRPr="005235FD">
              <w:rPr>
                <w:rFonts w:asciiTheme="majorHAnsi" w:hAnsiTheme="majorHAnsi" w:cstheme="majorHAnsi"/>
                <w:sz w:val="18"/>
                <w:szCs w:val="18"/>
                <w:lang w:val="en-AU"/>
              </w:rPr>
              <w:t xml:space="preserve">Physician turnover and workload complicated sustained engagement. | Interdisciplinary teams and shared local priorities supported </w:t>
            </w:r>
            <w:r w:rsidRPr="005235FD">
              <w:rPr>
                <w:rFonts w:asciiTheme="majorHAnsi" w:hAnsiTheme="majorHAnsi" w:cstheme="majorHAnsi"/>
                <w:sz w:val="18"/>
                <w:szCs w:val="18"/>
                <w:lang w:val="en-AU"/>
              </w:rPr>
              <w:lastRenderedPageBreak/>
              <w:t>service reform.|</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Formal physician-led structures created a collective voice and supported partnership with the health authority. |Local flexibility, shared decision-making and coordinators who bridged organisational boundaries facilitated change.</w:t>
            </w:r>
          </w:p>
        </w:tc>
        <w:tc>
          <w:tcPr>
            <w:tcW w:w="694" w:type="pct"/>
          </w:tcPr>
          <w:p w14:paraId="389B4E12" w14:textId="0F320FEE"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390ECFCC" w14:textId="77777777" w:rsidR="00236BC7" w:rsidRPr="005235FD" w:rsidRDefault="00236BC7" w:rsidP="00236BC7">
            <w:pPr>
              <w:rPr>
                <w:rFonts w:asciiTheme="majorHAnsi" w:hAnsiTheme="majorHAnsi" w:cstheme="majorHAnsi"/>
                <w:sz w:val="18"/>
                <w:szCs w:val="18"/>
              </w:rPr>
            </w:pPr>
            <w:r w:rsidRPr="005235FD">
              <w:rPr>
                <w:rFonts w:asciiTheme="majorHAnsi" w:hAnsiTheme="majorHAnsi" w:cstheme="majorHAnsi"/>
                <w:sz w:val="18"/>
                <w:szCs w:val="18"/>
              </w:rPr>
              <w:t>BMJ Open</w:t>
            </w:r>
          </w:p>
        </w:tc>
      </w:tr>
      <w:tr w:rsidR="00014E5D" w:rsidRPr="005235FD" w14:paraId="2E0FE108" w14:textId="77777777" w:rsidTr="00AC7C55">
        <w:tc>
          <w:tcPr>
            <w:tcW w:w="630" w:type="pct"/>
          </w:tcPr>
          <w:p w14:paraId="16CE5327" w14:textId="77777777" w:rsidR="00014E5D" w:rsidRPr="005235FD" w:rsidRDefault="00014E5D" w:rsidP="00014E5D">
            <w:pPr>
              <w:rPr>
                <w:rFonts w:asciiTheme="majorHAnsi" w:hAnsiTheme="majorHAnsi" w:cstheme="majorHAnsi"/>
                <w:sz w:val="18"/>
                <w:szCs w:val="18"/>
              </w:rPr>
            </w:pPr>
            <w:r w:rsidRPr="005235FD">
              <w:rPr>
                <w:rFonts w:asciiTheme="majorHAnsi" w:hAnsiTheme="majorHAnsi" w:cstheme="majorHAnsi"/>
                <w:sz w:val="18"/>
                <w:szCs w:val="18"/>
              </w:rPr>
              <w:t xml:space="preserve">Stefanon, B.M.; </w:t>
            </w:r>
            <w:proofErr w:type="spellStart"/>
            <w:r w:rsidRPr="005235FD">
              <w:rPr>
                <w:rFonts w:asciiTheme="majorHAnsi" w:hAnsiTheme="majorHAnsi" w:cstheme="majorHAnsi"/>
                <w:sz w:val="18"/>
                <w:szCs w:val="18"/>
              </w:rPr>
              <w:t>Tsetso</w:t>
            </w:r>
            <w:proofErr w:type="spellEnd"/>
            <w:r w:rsidRPr="005235FD">
              <w:rPr>
                <w:rFonts w:asciiTheme="majorHAnsi" w:hAnsiTheme="majorHAnsi" w:cstheme="majorHAnsi"/>
                <w:sz w:val="18"/>
                <w:szCs w:val="18"/>
              </w:rPr>
              <w:t>, K.; Tanche, K.; Morton Ninomiya, M.E.</w:t>
            </w:r>
          </w:p>
        </w:tc>
        <w:tc>
          <w:tcPr>
            <w:tcW w:w="205" w:type="pct"/>
          </w:tcPr>
          <w:p w14:paraId="0458BD36" w14:textId="77777777" w:rsidR="00014E5D" w:rsidRPr="005235FD" w:rsidRDefault="00014E5D" w:rsidP="00014E5D">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5B5F8361" w14:textId="77777777" w:rsidR="00014E5D" w:rsidRPr="005235FD" w:rsidRDefault="00014E5D" w:rsidP="00014E5D">
            <w:pPr>
              <w:rPr>
                <w:rFonts w:asciiTheme="majorHAnsi" w:hAnsiTheme="majorHAnsi" w:cstheme="majorHAnsi"/>
                <w:sz w:val="18"/>
                <w:szCs w:val="18"/>
              </w:rPr>
            </w:pPr>
            <w:r w:rsidRPr="005235FD">
              <w:rPr>
                <w:rFonts w:asciiTheme="majorHAnsi" w:hAnsiTheme="majorHAnsi" w:cstheme="majorHAnsi"/>
                <w:sz w:val="18"/>
                <w:szCs w:val="18"/>
              </w:rPr>
              <w:t>Effective health and wellness systems for rural and remote Indigenous communities: a rapid review</w:t>
            </w:r>
          </w:p>
        </w:tc>
        <w:tc>
          <w:tcPr>
            <w:tcW w:w="324" w:type="pct"/>
          </w:tcPr>
          <w:p w14:paraId="7A3FF401" w14:textId="77777777" w:rsidR="00014E5D" w:rsidRPr="005235FD" w:rsidRDefault="00014E5D" w:rsidP="00014E5D">
            <w:pPr>
              <w:rPr>
                <w:rFonts w:asciiTheme="majorHAnsi" w:hAnsiTheme="majorHAnsi" w:cstheme="majorHAnsi"/>
                <w:sz w:val="18"/>
                <w:szCs w:val="18"/>
              </w:rPr>
            </w:pPr>
            <w:r w:rsidRPr="005235FD">
              <w:rPr>
                <w:rFonts w:asciiTheme="majorHAnsi" w:hAnsiTheme="majorHAnsi" w:cstheme="majorHAnsi"/>
                <w:sz w:val="18"/>
                <w:szCs w:val="18"/>
              </w:rPr>
              <w:t>2, 4, 5</w:t>
            </w:r>
          </w:p>
        </w:tc>
        <w:tc>
          <w:tcPr>
            <w:tcW w:w="1694" w:type="pct"/>
          </w:tcPr>
          <w:p w14:paraId="04A53147" w14:textId="77777777" w:rsidR="00014E5D" w:rsidRPr="005235FD" w:rsidRDefault="00014E5D" w:rsidP="00014E5D">
            <w:pPr>
              <w:rPr>
                <w:rFonts w:asciiTheme="majorHAnsi" w:hAnsiTheme="majorHAnsi" w:cstheme="majorHAnsi"/>
                <w:sz w:val="18"/>
                <w:szCs w:val="18"/>
              </w:rPr>
            </w:pPr>
            <w:r w:rsidRPr="005235FD">
              <w:rPr>
                <w:rFonts w:asciiTheme="majorHAnsi" w:hAnsiTheme="majorHAnsi" w:cstheme="majorHAnsi"/>
                <w:sz w:val="18"/>
                <w:szCs w:val="18"/>
              </w:rPr>
              <w:t>To review evidence on effective health and wellness systems for rural and remote Indigenous communities, with attention to cultural safety, governance, and system design.</w:t>
            </w:r>
          </w:p>
          <w:p w14:paraId="36793F46" w14:textId="3879E04B" w:rsidR="00014E5D" w:rsidRPr="005235FD" w:rsidRDefault="00014E5D" w:rsidP="00014E5D">
            <w:pPr>
              <w:rPr>
                <w:rFonts w:asciiTheme="majorHAnsi" w:hAnsiTheme="majorHAnsi" w:cstheme="majorHAnsi"/>
                <w:sz w:val="18"/>
                <w:szCs w:val="18"/>
                <w:lang w:val="en-AU"/>
              </w:rPr>
            </w:pPr>
            <w:r w:rsidRPr="005235FD">
              <w:rPr>
                <w:rFonts w:asciiTheme="majorHAnsi" w:hAnsiTheme="majorHAnsi" w:cstheme="majorHAnsi"/>
                <w:sz w:val="18"/>
                <w:szCs w:val="18"/>
                <w:lang w:val="en-AU"/>
              </w:rPr>
              <w:t xml:space="preserve">Training local community members and building community capacity supported sustainable services. </w:t>
            </w:r>
          </w:p>
          <w:p w14:paraId="0280CD6B" w14:textId="4F34875C" w:rsidR="00014E5D" w:rsidRPr="005235FD" w:rsidRDefault="00014E5D" w:rsidP="00014E5D">
            <w:pPr>
              <w:rPr>
                <w:rFonts w:asciiTheme="majorHAnsi" w:hAnsiTheme="majorHAnsi" w:cstheme="majorHAnsi"/>
                <w:sz w:val="18"/>
                <w:szCs w:val="18"/>
                <w:lang w:val="en-AU"/>
              </w:rPr>
            </w:pPr>
            <w:r w:rsidRPr="005235FD">
              <w:rPr>
                <w:rFonts w:asciiTheme="majorHAnsi" w:hAnsiTheme="majorHAnsi" w:cstheme="majorHAnsi"/>
                <w:sz w:val="18"/>
                <w:szCs w:val="18"/>
                <w:lang w:val="en-AU"/>
              </w:rPr>
              <w:t>|Integrated, coordinated services improved referrals and continuity.</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Effective systems incorporated Indigenous knowledge, language, healing practices and community priorities. |Cultural safety training for non-Indigenous staff improved care. |Indigenous leadership, self-determination and governance were central. |Coordination across government levels and integration between services were required.</w:t>
            </w:r>
          </w:p>
        </w:tc>
        <w:tc>
          <w:tcPr>
            <w:tcW w:w="694" w:type="pct"/>
          </w:tcPr>
          <w:p w14:paraId="22552983" w14:textId="59667EB8" w:rsidR="00014E5D" w:rsidRPr="005235FD" w:rsidRDefault="00014E5D" w:rsidP="00014E5D">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38263D71" w14:textId="77777777" w:rsidR="00014E5D" w:rsidRPr="005235FD" w:rsidRDefault="00014E5D" w:rsidP="00014E5D">
            <w:pPr>
              <w:rPr>
                <w:rFonts w:asciiTheme="majorHAnsi" w:hAnsiTheme="majorHAnsi" w:cstheme="majorHAnsi"/>
                <w:sz w:val="18"/>
                <w:szCs w:val="18"/>
              </w:rPr>
            </w:pPr>
            <w:r w:rsidRPr="005235FD">
              <w:rPr>
                <w:rFonts w:asciiTheme="majorHAnsi" w:hAnsiTheme="majorHAnsi" w:cstheme="majorHAnsi"/>
                <w:sz w:val="18"/>
                <w:szCs w:val="18"/>
              </w:rPr>
              <w:t>International Journal of Circumpolar Health</w:t>
            </w:r>
          </w:p>
        </w:tc>
      </w:tr>
      <w:tr w:rsidR="00FD0770" w:rsidRPr="005235FD" w14:paraId="24C84C4E" w14:textId="77777777" w:rsidTr="00AC7C55">
        <w:tc>
          <w:tcPr>
            <w:tcW w:w="630" w:type="pct"/>
          </w:tcPr>
          <w:p w14:paraId="3238C69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Taylor, D.; Lange, J.; Laurence, C.; Beilby, J.; Kitson, A.; Barrie, H.; Visvanathan, R.</w:t>
            </w:r>
          </w:p>
        </w:tc>
        <w:tc>
          <w:tcPr>
            <w:tcW w:w="205" w:type="pct"/>
          </w:tcPr>
          <w:p w14:paraId="4727BB7D"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2021</w:t>
            </w:r>
          </w:p>
        </w:tc>
        <w:tc>
          <w:tcPr>
            <w:tcW w:w="886" w:type="pct"/>
          </w:tcPr>
          <w:p w14:paraId="5A50976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General practice access in regional and remote Australia for ageing populations</w:t>
            </w:r>
          </w:p>
        </w:tc>
        <w:tc>
          <w:tcPr>
            <w:tcW w:w="324" w:type="pct"/>
          </w:tcPr>
          <w:p w14:paraId="60CE3BD0"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w:t>
            </w:r>
          </w:p>
        </w:tc>
        <w:tc>
          <w:tcPr>
            <w:tcW w:w="1694" w:type="pct"/>
          </w:tcPr>
          <w:p w14:paraId="62D98722"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The number of frail and prefrail individuals living outside GP service catchments is expected to double by 2027, reaching 7,800 people. | There is a significant maldistribution of GP locations, particularly in Western Australia (WA), where a larger proportion of the frail and prefrail population lives outside accessible service areas. | A need for additional GP service locations has been identified, especially in remote WA areas, to address the growing health needs of these populations. [Themes: Geographic accessibility to general practice services for ageing populations | Healthcare access and equity | Healthcare service distribution and planning | Environmental and pandemic-related health challenges | Healthcare service innovation and adaptation]</w:t>
            </w:r>
          </w:p>
        </w:tc>
        <w:tc>
          <w:tcPr>
            <w:tcW w:w="694" w:type="pct"/>
          </w:tcPr>
          <w:p w14:paraId="4E2204C2"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0A1D656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Geogr. Res.</w:t>
            </w:r>
          </w:p>
        </w:tc>
      </w:tr>
      <w:tr w:rsidR="00FD0770" w:rsidRPr="005235FD" w14:paraId="7F43C48D" w14:textId="77777777" w:rsidTr="00AC7C55">
        <w:tc>
          <w:tcPr>
            <w:tcW w:w="630" w:type="pct"/>
          </w:tcPr>
          <w:p w14:paraId="33241A0A"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Thorn, Harrison; Olley, Richard</w:t>
            </w:r>
          </w:p>
        </w:tc>
        <w:tc>
          <w:tcPr>
            <w:tcW w:w="205" w:type="pct"/>
          </w:tcPr>
          <w:p w14:paraId="0B07B2F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2023</w:t>
            </w:r>
          </w:p>
        </w:tc>
        <w:tc>
          <w:tcPr>
            <w:tcW w:w="886" w:type="pct"/>
          </w:tcPr>
          <w:p w14:paraId="4169BCEB"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Barriers and facilitators to accessing medical services in rural and remote Australia: A systematic review</w:t>
            </w:r>
          </w:p>
        </w:tc>
        <w:tc>
          <w:tcPr>
            <w:tcW w:w="324" w:type="pct"/>
          </w:tcPr>
          <w:p w14:paraId="108161A2"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1, 2, 3, 5</w:t>
            </w:r>
          </w:p>
        </w:tc>
        <w:tc>
          <w:tcPr>
            <w:tcW w:w="1694" w:type="pct"/>
          </w:tcPr>
          <w:p w14:paraId="4E8B4AA9"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 xml:space="preserve">Identified 10 barriers: communication, confidentiality, fear and shame, funding, geography, health behaviours, reliance on others, service provision, staffing, transport; and 8 facilitators: collaboration/partnerships, communication, cultural safety, funding, service provision, staffing, telehealth, and trust. Many themes were interdependent and </w:t>
            </w:r>
            <w:proofErr w:type="gramStart"/>
            <w:r w:rsidRPr="005235FD">
              <w:rPr>
                <w:rFonts w:asciiTheme="majorHAnsi" w:hAnsiTheme="majorHAnsi" w:cstheme="majorHAnsi"/>
                <w:sz w:val="18"/>
                <w:szCs w:val="18"/>
              </w:rPr>
              <w:t>context-specific</w:t>
            </w:r>
            <w:proofErr w:type="gramEnd"/>
            <w:r w:rsidRPr="005235FD">
              <w:rPr>
                <w:rFonts w:asciiTheme="majorHAnsi" w:hAnsiTheme="majorHAnsi" w:cstheme="majorHAnsi"/>
                <w:sz w:val="18"/>
                <w:szCs w:val="18"/>
              </w:rPr>
              <w:t>. [Themes: 1. Communication | 2. Funding | 3. Service provision | 4. Staffing | 5. Confidentiality | 6. Fear and shame7. Cultural safety | 8. Reliance on others | 9. Transport | 10. Trust | 11. Telehealth | 12. Collaboration/partnerships | 13. Geography]</w:t>
            </w:r>
          </w:p>
        </w:tc>
        <w:tc>
          <w:tcPr>
            <w:tcW w:w="694" w:type="pct"/>
          </w:tcPr>
          <w:p w14:paraId="50BC01D2"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579EB99E" w14:textId="77777777" w:rsidR="00FD0770" w:rsidRPr="005235FD" w:rsidRDefault="00CB5606">
            <w:pPr>
              <w:rPr>
                <w:rFonts w:asciiTheme="majorHAnsi" w:hAnsiTheme="majorHAnsi" w:cstheme="majorHAnsi"/>
                <w:sz w:val="18"/>
                <w:szCs w:val="18"/>
              </w:rPr>
            </w:pPr>
            <w:r w:rsidRPr="005235FD">
              <w:rPr>
                <w:rFonts w:asciiTheme="majorHAnsi" w:hAnsiTheme="majorHAnsi" w:cstheme="majorHAnsi"/>
                <w:sz w:val="18"/>
                <w:szCs w:val="18"/>
              </w:rPr>
              <w:t>Asia Pacific Journal of Health Management</w:t>
            </w:r>
          </w:p>
        </w:tc>
      </w:tr>
      <w:tr w:rsidR="00565E35" w:rsidRPr="005235FD" w14:paraId="5A95D66E" w14:textId="77777777" w:rsidTr="00AC7C55">
        <w:tc>
          <w:tcPr>
            <w:tcW w:w="630" w:type="pct"/>
          </w:tcPr>
          <w:p w14:paraId="65D8537A" w14:textId="77777777" w:rsidR="00565E35" w:rsidRPr="005235FD" w:rsidRDefault="00565E35" w:rsidP="00565E35">
            <w:pPr>
              <w:rPr>
                <w:rFonts w:asciiTheme="majorHAnsi" w:hAnsiTheme="majorHAnsi" w:cstheme="majorHAnsi"/>
                <w:sz w:val="18"/>
                <w:szCs w:val="18"/>
              </w:rPr>
            </w:pPr>
            <w:r w:rsidRPr="005235FD">
              <w:rPr>
                <w:rFonts w:asciiTheme="majorHAnsi" w:hAnsiTheme="majorHAnsi" w:cstheme="majorHAnsi"/>
                <w:sz w:val="18"/>
                <w:szCs w:val="18"/>
              </w:rPr>
              <w:t>Warwick, S.; Atkinson, D.; Kitaura, T.; LeLievre, M.; Marley, J.V.</w:t>
            </w:r>
          </w:p>
        </w:tc>
        <w:tc>
          <w:tcPr>
            <w:tcW w:w="205" w:type="pct"/>
          </w:tcPr>
          <w:p w14:paraId="37074BB5" w14:textId="77777777" w:rsidR="00565E35" w:rsidRPr="005235FD" w:rsidRDefault="00565E35" w:rsidP="00565E35">
            <w:pPr>
              <w:rPr>
                <w:rFonts w:asciiTheme="majorHAnsi" w:hAnsiTheme="majorHAnsi" w:cstheme="majorHAnsi"/>
                <w:sz w:val="18"/>
                <w:szCs w:val="18"/>
              </w:rPr>
            </w:pPr>
            <w:r w:rsidRPr="005235FD">
              <w:rPr>
                <w:rFonts w:asciiTheme="majorHAnsi" w:hAnsiTheme="majorHAnsi" w:cstheme="majorHAnsi"/>
                <w:sz w:val="18"/>
                <w:szCs w:val="18"/>
              </w:rPr>
              <w:t>2019</w:t>
            </w:r>
          </w:p>
        </w:tc>
        <w:tc>
          <w:tcPr>
            <w:tcW w:w="886" w:type="pct"/>
          </w:tcPr>
          <w:p w14:paraId="2DF0372C" w14:textId="77777777" w:rsidR="00565E35" w:rsidRPr="005235FD" w:rsidRDefault="00565E35" w:rsidP="00565E35">
            <w:pPr>
              <w:rPr>
                <w:rFonts w:asciiTheme="majorHAnsi" w:hAnsiTheme="majorHAnsi" w:cstheme="majorHAnsi"/>
                <w:sz w:val="18"/>
                <w:szCs w:val="18"/>
              </w:rPr>
            </w:pPr>
            <w:r w:rsidRPr="005235FD">
              <w:rPr>
                <w:rFonts w:asciiTheme="majorHAnsi" w:hAnsiTheme="majorHAnsi" w:cstheme="majorHAnsi"/>
                <w:sz w:val="18"/>
                <w:szCs w:val="18"/>
              </w:rPr>
              <w:t>Young Aboriginal People’s Perspective on Access to Health Care in Remote Australia: Hearing Their Voices</w:t>
            </w:r>
          </w:p>
        </w:tc>
        <w:tc>
          <w:tcPr>
            <w:tcW w:w="324" w:type="pct"/>
          </w:tcPr>
          <w:p w14:paraId="73815358" w14:textId="77777777" w:rsidR="00565E35" w:rsidRPr="005235FD" w:rsidRDefault="00565E35" w:rsidP="00565E35">
            <w:pPr>
              <w:rPr>
                <w:rFonts w:asciiTheme="majorHAnsi" w:hAnsiTheme="majorHAnsi" w:cstheme="majorHAnsi"/>
                <w:sz w:val="18"/>
                <w:szCs w:val="18"/>
              </w:rPr>
            </w:pPr>
            <w:r w:rsidRPr="005235FD">
              <w:rPr>
                <w:rFonts w:asciiTheme="majorHAnsi" w:hAnsiTheme="majorHAnsi" w:cstheme="majorHAnsi"/>
                <w:sz w:val="18"/>
                <w:szCs w:val="18"/>
              </w:rPr>
              <w:t>1, 2, 4</w:t>
            </w:r>
          </w:p>
        </w:tc>
        <w:tc>
          <w:tcPr>
            <w:tcW w:w="1694" w:type="pct"/>
          </w:tcPr>
          <w:p w14:paraId="0CB02F68" w14:textId="77777777" w:rsidR="00565E35" w:rsidRPr="005235FD" w:rsidRDefault="00565E35" w:rsidP="00565E35">
            <w:pPr>
              <w:rPr>
                <w:rFonts w:asciiTheme="majorHAnsi" w:hAnsiTheme="majorHAnsi" w:cstheme="majorHAnsi"/>
                <w:sz w:val="18"/>
                <w:szCs w:val="18"/>
              </w:rPr>
            </w:pPr>
            <w:r w:rsidRPr="005235FD">
              <w:rPr>
                <w:rFonts w:asciiTheme="majorHAnsi" w:hAnsiTheme="majorHAnsi" w:cstheme="majorHAnsi"/>
                <w:sz w:val="18"/>
                <w:szCs w:val="18"/>
              </w:rPr>
              <w:t>To explore young Aboriginal people’s perspectives on access to healthcare in remote Australia, including trust, cultural safety, and service relevance.</w:t>
            </w:r>
          </w:p>
          <w:p w14:paraId="4367584C" w14:textId="0AF7B51A" w:rsidR="00565E35" w:rsidRPr="005235FD" w:rsidRDefault="00565E35" w:rsidP="00565E35">
            <w:pPr>
              <w:rPr>
                <w:rFonts w:asciiTheme="majorHAnsi" w:hAnsiTheme="majorHAnsi" w:cstheme="majorHAnsi"/>
                <w:sz w:val="18"/>
                <w:szCs w:val="18"/>
                <w:lang w:val="en-AU"/>
              </w:rPr>
            </w:pPr>
            <w:r w:rsidRPr="005235FD">
              <w:rPr>
                <w:rFonts w:asciiTheme="majorHAnsi" w:hAnsiTheme="majorHAnsi" w:cstheme="majorHAnsi"/>
                <w:sz w:val="18"/>
                <w:szCs w:val="18"/>
              </w:rPr>
              <w:t xml:space="preserve">Lack of vehicles, </w:t>
            </w:r>
            <w:proofErr w:type="spellStart"/>
            <w:r w:rsidRPr="005235FD">
              <w:rPr>
                <w:rFonts w:asciiTheme="majorHAnsi" w:hAnsiTheme="majorHAnsi" w:cstheme="majorHAnsi"/>
                <w:sz w:val="18"/>
                <w:szCs w:val="18"/>
              </w:rPr>
              <w:t>licences</w:t>
            </w:r>
            <w:proofErr w:type="spellEnd"/>
            <w:r w:rsidRPr="005235FD">
              <w:rPr>
                <w:rFonts w:asciiTheme="majorHAnsi" w:hAnsiTheme="majorHAnsi" w:cstheme="majorHAnsi"/>
                <w:sz w:val="18"/>
                <w:szCs w:val="18"/>
              </w:rPr>
              <w:t xml:space="preserve"> and available lifts restricted access from remote communities.</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Low staffing, limited doctors and staff turnover reduced access and trust. |Participants preferred local, Aboriginal and longer-term staff, including gender-matched clinicians. |Long waiting times were a major barrier.</w:t>
            </w:r>
            <w:r w:rsidRPr="005235FD">
              <w:rPr>
                <w:rFonts w:asciiTheme="majorHAnsi" w:eastAsia="Times New Roman" w:hAnsiTheme="majorHAnsi" w:cstheme="majorHAnsi"/>
                <w:sz w:val="18"/>
                <w:szCs w:val="18"/>
                <w:lang w:val="en-AU" w:eastAsia="en-AU"/>
              </w:rPr>
              <w:t xml:space="preserve"> </w:t>
            </w:r>
            <w:r w:rsidRPr="005235FD">
              <w:rPr>
                <w:rFonts w:asciiTheme="majorHAnsi" w:eastAsia="Times New Roman" w:hAnsiTheme="majorHAnsi" w:cstheme="majorHAnsi"/>
                <w:sz w:val="18"/>
                <w:szCs w:val="18"/>
                <w:lang w:val="en-AU" w:eastAsia="en-AU"/>
              </w:rPr>
              <w:lastRenderedPageBreak/>
              <w:t>|</w:t>
            </w:r>
            <w:r w:rsidRPr="005235FD">
              <w:rPr>
                <w:rFonts w:asciiTheme="majorHAnsi" w:hAnsiTheme="majorHAnsi" w:cstheme="majorHAnsi"/>
                <w:sz w:val="18"/>
                <w:szCs w:val="18"/>
                <w:lang w:val="en-AU"/>
              </w:rPr>
              <w:t>Effective communication, confidentiality, trust and cultural awareness were central to access. |Shame, crowded waiting rooms, unfamiliar staff and concerns about confidentiality discouraged attendance. |Friendly Aboriginal staff and gender matching reduced discomfort and shame.</w:t>
            </w:r>
          </w:p>
        </w:tc>
        <w:tc>
          <w:tcPr>
            <w:tcW w:w="694" w:type="pct"/>
          </w:tcPr>
          <w:p w14:paraId="6EB322DD" w14:textId="391D7CAD" w:rsidR="00565E35" w:rsidRPr="005235FD" w:rsidRDefault="00565E35" w:rsidP="00565E35">
            <w:pPr>
              <w:rPr>
                <w:rFonts w:asciiTheme="majorHAnsi" w:hAnsiTheme="majorHAnsi" w:cstheme="majorHAnsi"/>
                <w:sz w:val="18"/>
                <w:szCs w:val="18"/>
              </w:rPr>
            </w:pPr>
            <w:r w:rsidRPr="005235FD">
              <w:rPr>
                <w:rFonts w:asciiTheme="majorHAnsi" w:hAnsiTheme="majorHAnsi" w:cstheme="majorHAnsi"/>
                <w:sz w:val="18"/>
                <w:szCs w:val="18"/>
              </w:rPr>
              <w:lastRenderedPageBreak/>
              <w:t>Covidence extraction (Findings + Themes)</w:t>
            </w:r>
          </w:p>
        </w:tc>
        <w:tc>
          <w:tcPr>
            <w:tcW w:w="566" w:type="pct"/>
          </w:tcPr>
          <w:p w14:paraId="694D6E85" w14:textId="77777777" w:rsidR="00565E35" w:rsidRPr="005235FD" w:rsidRDefault="00565E35" w:rsidP="00565E35">
            <w:pPr>
              <w:rPr>
                <w:rFonts w:asciiTheme="majorHAnsi" w:hAnsiTheme="majorHAnsi" w:cstheme="majorHAnsi"/>
                <w:sz w:val="18"/>
                <w:szCs w:val="18"/>
              </w:rPr>
            </w:pPr>
            <w:r w:rsidRPr="005235FD">
              <w:rPr>
                <w:rFonts w:asciiTheme="majorHAnsi" w:hAnsiTheme="majorHAnsi" w:cstheme="majorHAnsi"/>
                <w:sz w:val="18"/>
                <w:szCs w:val="18"/>
              </w:rPr>
              <w:t>Progress in Community Health Partnerships: Research, Education, and Action</w:t>
            </w:r>
          </w:p>
        </w:tc>
      </w:tr>
      <w:tr w:rsidR="00533225" w:rsidRPr="005235FD" w14:paraId="0823F215" w14:textId="77777777" w:rsidTr="00AC7C55">
        <w:tc>
          <w:tcPr>
            <w:tcW w:w="630" w:type="pct"/>
          </w:tcPr>
          <w:p w14:paraId="41502C4D" w14:textId="77777777" w:rsidR="00533225" w:rsidRPr="005235FD" w:rsidRDefault="00533225" w:rsidP="00533225">
            <w:pPr>
              <w:rPr>
                <w:rFonts w:asciiTheme="majorHAnsi" w:hAnsiTheme="majorHAnsi" w:cstheme="majorHAnsi"/>
                <w:sz w:val="18"/>
                <w:szCs w:val="18"/>
              </w:rPr>
            </w:pPr>
            <w:r w:rsidRPr="005235FD">
              <w:rPr>
                <w:rFonts w:asciiTheme="majorHAnsi" w:hAnsiTheme="majorHAnsi" w:cstheme="majorHAnsi"/>
                <w:sz w:val="18"/>
                <w:szCs w:val="18"/>
              </w:rPr>
              <w:t>Woodland, R.; Morgan, P.; MacLean, S.; Downey, H.</w:t>
            </w:r>
          </w:p>
        </w:tc>
        <w:tc>
          <w:tcPr>
            <w:tcW w:w="205" w:type="pct"/>
          </w:tcPr>
          <w:p w14:paraId="3BC066DB" w14:textId="77777777" w:rsidR="00533225" w:rsidRPr="005235FD" w:rsidRDefault="00533225" w:rsidP="00533225">
            <w:pPr>
              <w:rPr>
                <w:rFonts w:asciiTheme="majorHAnsi" w:hAnsiTheme="majorHAnsi" w:cstheme="majorHAnsi"/>
                <w:sz w:val="18"/>
                <w:szCs w:val="18"/>
              </w:rPr>
            </w:pPr>
            <w:r w:rsidRPr="005235FD">
              <w:rPr>
                <w:rFonts w:asciiTheme="majorHAnsi" w:hAnsiTheme="majorHAnsi" w:cstheme="majorHAnsi"/>
                <w:sz w:val="18"/>
                <w:szCs w:val="18"/>
              </w:rPr>
              <w:t>2024</w:t>
            </w:r>
          </w:p>
        </w:tc>
        <w:tc>
          <w:tcPr>
            <w:tcW w:w="886" w:type="pct"/>
          </w:tcPr>
          <w:p w14:paraId="5F36B413" w14:textId="77777777" w:rsidR="00533225" w:rsidRPr="005235FD" w:rsidRDefault="00533225" w:rsidP="00533225">
            <w:pPr>
              <w:rPr>
                <w:rFonts w:asciiTheme="majorHAnsi" w:hAnsiTheme="majorHAnsi" w:cstheme="majorHAnsi"/>
                <w:sz w:val="18"/>
                <w:szCs w:val="18"/>
              </w:rPr>
            </w:pPr>
            <w:r w:rsidRPr="005235FD">
              <w:rPr>
                <w:rFonts w:asciiTheme="majorHAnsi" w:hAnsiTheme="majorHAnsi" w:cstheme="majorHAnsi"/>
                <w:sz w:val="18"/>
                <w:szCs w:val="18"/>
              </w:rPr>
              <w:t>The experiences of a regional Aboriginal community accessing primary health care during times of crisis</w:t>
            </w:r>
          </w:p>
        </w:tc>
        <w:tc>
          <w:tcPr>
            <w:tcW w:w="324" w:type="pct"/>
          </w:tcPr>
          <w:p w14:paraId="50A738E8" w14:textId="77777777" w:rsidR="00533225" w:rsidRPr="005235FD" w:rsidRDefault="00533225" w:rsidP="00533225">
            <w:pPr>
              <w:rPr>
                <w:rFonts w:asciiTheme="majorHAnsi" w:hAnsiTheme="majorHAnsi" w:cstheme="majorHAnsi"/>
                <w:sz w:val="18"/>
                <w:szCs w:val="18"/>
              </w:rPr>
            </w:pPr>
            <w:r w:rsidRPr="005235FD">
              <w:rPr>
                <w:rFonts w:asciiTheme="majorHAnsi" w:hAnsiTheme="majorHAnsi" w:cstheme="majorHAnsi"/>
                <w:sz w:val="18"/>
                <w:szCs w:val="18"/>
              </w:rPr>
              <w:t>1, 2, 4, 5</w:t>
            </w:r>
          </w:p>
        </w:tc>
        <w:tc>
          <w:tcPr>
            <w:tcW w:w="1694" w:type="pct"/>
          </w:tcPr>
          <w:p w14:paraId="3B87C15C" w14:textId="77777777" w:rsidR="00533225" w:rsidRPr="005235FD" w:rsidRDefault="00533225" w:rsidP="00533225">
            <w:pPr>
              <w:rPr>
                <w:rFonts w:asciiTheme="majorHAnsi" w:hAnsiTheme="majorHAnsi" w:cstheme="majorHAnsi"/>
                <w:sz w:val="18"/>
                <w:szCs w:val="18"/>
              </w:rPr>
            </w:pPr>
            <w:r w:rsidRPr="005235FD">
              <w:rPr>
                <w:rFonts w:asciiTheme="majorHAnsi" w:hAnsiTheme="majorHAnsi" w:cstheme="majorHAnsi"/>
                <w:sz w:val="18"/>
                <w:szCs w:val="18"/>
              </w:rPr>
              <w:t>To examine experiences of a regional Aboriginal community accessing primary health care during crises, including cultural safety, trust, service continuity, and system responsiveness.</w:t>
            </w:r>
          </w:p>
          <w:p w14:paraId="275A1AA6" w14:textId="0E42496A" w:rsidR="00533225" w:rsidRPr="005235FD" w:rsidRDefault="00533225" w:rsidP="00533225">
            <w:pPr>
              <w:rPr>
                <w:rFonts w:asciiTheme="majorHAnsi" w:hAnsiTheme="majorHAnsi" w:cstheme="majorHAnsi"/>
                <w:sz w:val="18"/>
                <w:szCs w:val="18"/>
                <w:lang w:val="en-AU"/>
              </w:rPr>
            </w:pPr>
            <w:r w:rsidRPr="005235FD">
              <w:rPr>
                <w:rFonts w:asciiTheme="majorHAnsi" w:hAnsiTheme="majorHAnsi" w:cstheme="majorHAnsi"/>
                <w:sz w:val="18"/>
                <w:szCs w:val="18"/>
                <w:lang w:val="en-AU"/>
              </w:rPr>
              <w:t>Disrupted public and medical transport, distance and high petrol costs restricted access. |ACCHO-provided transport was a major enabler. |Crisis-related staff shortages reduced service availability. |ACCHO staff assisted with appointments, referrals, testing and navigation.|</w:t>
            </w:r>
            <w:r w:rsidRPr="005235FD">
              <w:rPr>
                <w:rFonts w:asciiTheme="majorHAnsi" w:eastAsia="Times New Roman" w:hAnsiTheme="majorHAnsi" w:cstheme="majorHAnsi"/>
                <w:sz w:val="18"/>
                <w:szCs w:val="18"/>
                <w:lang w:val="en-AU" w:eastAsia="en-AU"/>
              </w:rPr>
              <w:t xml:space="preserve"> </w:t>
            </w:r>
            <w:r w:rsidRPr="005235FD">
              <w:rPr>
                <w:rFonts w:asciiTheme="majorHAnsi" w:hAnsiTheme="majorHAnsi" w:cstheme="majorHAnsi"/>
                <w:sz w:val="18"/>
                <w:szCs w:val="18"/>
                <w:lang w:val="en-AU"/>
              </w:rPr>
              <w:t xml:space="preserve">Mainstream reception processes and waiting rooms could feel culturally unsafe and unwelcoming. |Trust, community knowledge and cultural safety encouraged use of the local ACCHO. |Medical bureaucracy and complex appointment processes impeded access. </w:t>
            </w:r>
          </w:p>
          <w:p w14:paraId="3A3F0DB9" w14:textId="6029697E" w:rsidR="00533225" w:rsidRPr="005235FD" w:rsidRDefault="00533225" w:rsidP="00533225">
            <w:pPr>
              <w:rPr>
                <w:rFonts w:asciiTheme="majorHAnsi" w:hAnsiTheme="majorHAnsi" w:cstheme="majorHAnsi"/>
                <w:sz w:val="18"/>
                <w:szCs w:val="18"/>
                <w:lang w:val="en-AU"/>
              </w:rPr>
            </w:pPr>
            <w:r w:rsidRPr="005235FD">
              <w:rPr>
                <w:rFonts w:asciiTheme="majorHAnsi" w:hAnsiTheme="majorHAnsi" w:cstheme="majorHAnsi"/>
                <w:sz w:val="18"/>
                <w:szCs w:val="18"/>
                <w:lang w:val="en-AU"/>
              </w:rPr>
              <w:t xml:space="preserve">|Crisis planning should recognise and resource ACCHOs as central providers and coordinators. </w:t>
            </w:r>
          </w:p>
        </w:tc>
        <w:tc>
          <w:tcPr>
            <w:tcW w:w="694" w:type="pct"/>
          </w:tcPr>
          <w:p w14:paraId="1FFE4C33" w14:textId="17E844E9" w:rsidR="00533225" w:rsidRPr="005235FD" w:rsidRDefault="00533225" w:rsidP="00533225">
            <w:pPr>
              <w:rPr>
                <w:rFonts w:asciiTheme="majorHAnsi" w:hAnsiTheme="majorHAnsi" w:cstheme="majorHAnsi"/>
                <w:sz w:val="18"/>
                <w:szCs w:val="18"/>
              </w:rPr>
            </w:pPr>
            <w:r w:rsidRPr="005235FD">
              <w:rPr>
                <w:rFonts w:asciiTheme="majorHAnsi" w:hAnsiTheme="majorHAnsi" w:cstheme="majorHAnsi"/>
                <w:sz w:val="18"/>
                <w:szCs w:val="18"/>
              </w:rPr>
              <w:t>Covidence extraction (Findings + Themes)</w:t>
            </w:r>
          </w:p>
        </w:tc>
        <w:tc>
          <w:tcPr>
            <w:tcW w:w="566" w:type="pct"/>
          </w:tcPr>
          <w:p w14:paraId="79BDF9C5" w14:textId="77777777" w:rsidR="00533225" w:rsidRPr="005235FD" w:rsidRDefault="00533225" w:rsidP="00533225">
            <w:pPr>
              <w:rPr>
                <w:rFonts w:asciiTheme="majorHAnsi" w:hAnsiTheme="majorHAnsi" w:cstheme="majorHAnsi"/>
                <w:sz w:val="18"/>
                <w:szCs w:val="18"/>
              </w:rPr>
            </w:pPr>
            <w:r w:rsidRPr="005235FD">
              <w:rPr>
                <w:rFonts w:asciiTheme="majorHAnsi" w:hAnsiTheme="majorHAnsi" w:cstheme="majorHAnsi"/>
                <w:sz w:val="18"/>
                <w:szCs w:val="18"/>
              </w:rPr>
              <w:t>Australian Journal of Rural Health</w:t>
            </w:r>
          </w:p>
        </w:tc>
      </w:tr>
    </w:tbl>
    <w:p w14:paraId="660AB850" w14:textId="77777777" w:rsidR="00CB5606" w:rsidRDefault="00CB5606"/>
    <w:sectPr w:rsidR="00CB5606" w:rsidSect="00034616">
      <w:pgSz w:w="15840" w:h="12240" w:orient="landscape"/>
      <w:pgMar w:top="737" w:right="737" w:bottom="737"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31311A"/>
    <w:multiLevelType w:val="multilevel"/>
    <w:tmpl w:val="FEE4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4B7D63"/>
    <w:multiLevelType w:val="multilevel"/>
    <w:tmpl w:val="223C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B57920"/>
    <w:multiLevelType w:val="multilevel"/>
    <w:tmpl w:val="24EA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DE7B2E"/>
    <w:multiLevelType w:val="multilevel"/>
    <w:tmpl w:val="B640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C40450"/>
    <w:multiLevelType w:val="multilevel"/>
    <w:tmpl w:val="564A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2A03B4"/>
    <w:multiLevelType w:val="multilevel"/>
    <w:tmpl w:val="62D2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34694B"/>
    <w:multiLevelType w:val="multilevel"/>
    <w:tmpl w:val="6840E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5F2CC1"/>
    <w:multiLevelType w:val="multilevel"/>
    <w:tmpl w:val="4B7E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2561FA"/>
    <w:multiLevelType w:val="multilevel"/>
    <w:tmpl w:val="FA7A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6437EB"/>
    <w:multiLevelType w:val="multilevel"/>
    <w:tmpl w:val="0616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0E0B0E"/>
    <w:multiLevelType w:val="multilevel"/>
    <w:tmpl w:val="7574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AF10C1"/>
    <w:multiLevelType w:val="multilevel"/>
    <w:tmpl w:val="002A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141530"/>
    <w:multiLevelType w:val="multilevel"/>
    <w:tmpl w:val="F4E4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656C8C"/>
    <w:multiLevelType w:val="multilevel"/>
    <w:tmpl w:val="049E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B25246"/>
    <w:multiLevelType w:val="multilevel"/>
    <w:tmpl w:val="28547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230A4"/>
    <w:multiLevelType w:val="multilevel"/>
    <w:tmpl w:val="93D4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554DE2"/>
    <w:multiLevelType w:val="multilevel"/>
    <w:tmpl w:val="1632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13F24"/>
    <w:multiLevelType w:val="multilevel"/>
    <w:tmpl w:val="0DAC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F61617"/>
    <w:multiLevelType w:val="multilevel"/>
    <w:tmpl w:val="31E2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895DF2"/>
    <w:multiLevelType w:val="multilevel"/>
    <w:tmpl w:val="C46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3F55CB"/>
    <w:multiLevelType w:val="multilevel"/>
    <w:tmpl w:val="25B6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612B7E"/>
    <w:multiLevelType w:val="multilevel"/>
    <w:tmpl w:val="9032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4C3AA9"/>
    <w:multiLevelType w:val="multilevel"/>
    <w:tmpl w:val="57F4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1403E"/>
    <w:multiLevelType w:val="multilevel"/>
    <w:tmpl w:val="81B2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0F625C"/>
    <w:multiLevelType w:val="multilevel"/>
    <w:tmpl w:val="52D0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20313C"/>
    <w:multiLevelType w:val="multilevel"/>
    <w:tmpl w:val="149C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9747547">
    <w:abstractNumId w:val="8"/>
  </w:num>
  <w:num w:numId="2" w16cid:durableId="308439921">
    <w:abstractNumId w:val="6"/>
  </w:num>
  <w:num w:numId="3" w16cid:durableId="1027292890">
    <w:abstractNumId w:val="5"/>
  </w:num>
  <w:num w:numId="4" w16cid:durableId="588123497">
    <w:abstractNumId w:val="4"/>
  </w:num>
  <w:num w:numId="5" w16cid:durableId="2022079371">
    <w:abstractNumId w:val="7"/>
  </w:num>
  <w:num w:numId="6" w16cid:durableId="1784811265">
    <w:abstractNumId w:val="3"/>
  </w:num>
  <w:num w:numId="7" w16cid:durableId="1116022259">
    <w:abstractNumId w:val="2"/>
  </w:num>
  <w:num w:numId="8" w16cid:durableId="350768312">
    <w:abstractNumId w:val="1"/>
  </w:num>
  <w:num w:numId="9" w16cid:durableId="177240667">
    <w:abstractNumId w:val="0"/>
  </w:num>
  <w:num w:numId="10" w16cid:durableId="452793432">
    <w:abstractNumId w:val="15"/>
  </w:num>
  <w:num w:numId="11" w16cid:durableId="1786463958">
    <w:abstractNumId w:val="18"/>
  </w:num>
  <w:num w:numId="12" w16cid:durableId="609433724">
    <w:abstractNumId w:val="30"/>
  </w:num>
  <w:num w:numId="13" w16cid:durableId="1425225000">
    <w:abstractNumId w:val="20"/>
  </w:num>
  <w:num w:numId="14" w16cid:durableId="940335700">
    <w:abstractNumId w:val="33"/>
  </w:num>
  <w:num w:numId="15" w16cid:durableId="399450788">
    <w:abstractNumId w:val="34"/>
  </w:num>
  <w:num w:numId="16" w16cid:durableId="195503843">
    <w:abstractNumId w:val="21"/>
  </w:num>
  <w:num w:numId="17" w16cid:durableId="1910574874">
    <w:abstractNumId w:val="28"/>
  </w:num>
  <w:num w:numId="18" w16cid:durableId="89742719">
    <w:abstractNumId w:val="17"/>
  </w:num>
  <w:num w:numId="19" w16cid:durableId="307903514">
    <w:abstractNumId w:val="11"/>
  </w:num>
  <w:num w:numId="20" w16cid:durableId="1238587206">
    <w:abstractNumId w:val="14"/>
  </w:num>
  <w:num w:numId="21" w16cid:durableId="1461877890">
    <w:abstractNumId w:val="19"/>
  </w:num>
  <w:num w:numId="22" w16cid:durableId="1295211966">
    <w:abstractNumId w:val="25"/>
  </w:num>
  <w:num w:numId="23" w16cid:durableId="411972627">
    <w:abstractNumId w:val="29"/>
  </w:num>
  <w:num w:numId="24" w16cid:durableId="1653682590">
    <w:abstractNumId w:val="31"/>
  </w:num>
  <w:num w:numId="25" w16cid:durableId="1413893860">
    <w:abstractNumId w:val="10"/>
  </w:num>
  <w:num w:numId="26" w16cid:durableId="801726624">
    <w:abstractNumId w:val="24"/>
  </w:num>
  <w:num w:numId="27" w16cid:durableId="2126579704">
    <w:abstractNumId w:val="16"/>
  </w:num>
  <w:num w:numId="28" w16cid:durableId="1061756109">
    <w:abstractNumId w:val="13"/>
  </w:num>
  <w:num w:numId="29" w16cid:durableId="1904097888">
    <w:abstractNumId w:val="12"/>
  </w:num>
  <w:num w:numId="30" w16cid:durableId="1676760551">
    <w:abstractNumId w:val="9"/>
  </w:num>
  <w:num w:numId="31" w16cid:durableId="1058744640">
    <w:abstractNumId w:val="23"/>
  </w:num>
  <w:num w:numId="32" w16cid:durableId="1060248567">
    <w:abstractNumId w:val="26"/>
  </w:num>
  <w:num w:numId="33" w16cid:durableId="387459108">
    <w:abstractNumId w:val="32"/>
  </w:num>
  <w:num w:numId="34" w16cid:durableId="296299438">
    <w:abstractNumId w:val="22"/>
  </w:num>
  <w:num w:numId="35" w16cid:durableId="15636418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E5D"/>
    <w:rsid w:val="00034616"/>
    <w:rsid w:val="0006063C"/>
    <w:rsid w:val="000B14A5"/>
    <w:rsid w:val="0012689A"/>
    <w:rsid w:val="0015074B"/>
    <w:rsid w:val="00236BC7"/>
    <w:rsid w:val="00261A7F"/>
    <w:rsid w:val="00267ADB"/>
    <w:rsid w:val="0029639D"/>
    <w:rsid w:val="00326F90"/>
    <w:rsid w:val="005235FD"/>
    <w:rsid w:val="00533225"/>
    <w:rsid w:val="00565E35"/>
    <w:rsid w:val="00794BA9"/>
    <w:rsid w:val="008811AC"/>
    <w:rsid w:val="00906EA1"/>
    <w:rsid w:val="00A16927"/>
    <w:rsid w:val="00A81F15"/>
    <w:rsid w:val="00AA1D8D"/>
    <w:rsid w:val="00AC7C55"/>
    <w:rsid w:val="00B43396"/>
    <w:rsid w:val="00B47730"/>
    <w:rsid w:val="00CB0664"/>
    <w:rsid w:val="00CB5606"/>
    <w:rsid w:val="00DD721E"/>
    <w:rsid w:val="00E0798E"/>
    <w:rsid w:val="00FC693F"/>
    <w:rsid w:val="00FD07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044F9C"/>
  <w14:defaultImageDpi w14:val="300"/>
  <w15:docId w15:val="{578C5FE8-3309-4D6B-A74C-B78F00BB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94BA9"/>
    <w:rPr>
      <w:color w:val="0000FF" w:themeColor="hyperlink"/>
      <w:u w:val="single"/>
    </w:rPr>
  </w:style>
  <w:style w:type="character" w:styleId="UnresolvedMention">
    <w:name w:val="Unresolved Mention"/>
    <w:basedOn w:val="DefaultParagraphFont"/>
    <w:uiPriority w:val="99"/>
    <w:semiHidden/>
    <w:unhideWhenUsed/>
    <w:rsid w:val="00794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13</Pages>
  <Words>7056</Words>
  <Characters>40221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Anne Silvester</cp:lastModifiedBy>
  <cp:revision>5</cp:revision>
  <dcterms:created xsi:type="dcterms:W3CDTF">2026-07-22T04:59:00Z</dcterms:created>
  <dcterms:modified xsi:type="dcterms:W3CDTF">2026-07-24T06:01:00Z</dcterms:modified>
  <cp:category/>
</cp:coreProperties>
</file>