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96DEA1">
      <w:pPr>
        <w:jc w:val="center"/>
        <w:rPr>
          <w:b/>
          <w:sz w:val="32"/>
        </w:rPr>
      </w:pPr>
      <w:r>
        <w:rPr>
          <w:b/>
          <w:sz w:val="32"/>
        </w:rPr>
        <w:t>Supplementary Appendix</w:t>
      </w:r>
    </w:p>
    <w:p w14:paraId="3B2CD72B">
      <w:pPr>
        <w:jc w:val="both"/>
        <w:rPr>
          <w:sz w:val="20"/>
          <w:szCs w:val="20"/>
        </w:rPr>
      </w:pPr>
      <w:r>
        <w:rPr>
          <w:rFonts w:hint="eastAsia" w:eastAsia="宋体"/>
          <w:lang w:val="en-US" w:eastAsia="zh-CN"/>
        </w:rPr>
        <w:t xml:space="preserve">Supplementary </w:t>
      </w:r>
      <w:r>
        <w:rPr>
          <w:sz w:val="20"/>
          <w:szCs w:val="20"/>
        </w:rPr>
        <w:t>Table S1. DIRECT checklist for reporting discrete choice experiments in health</w:t>
      </w:r>
      <w:r>
        <w:rPr>
          <w:rFonts w:hint="eastAsia" w:eastAsia="宋体"/>
          <w:sz w:val="20"/>
          <w:szCs w:val="20"/>
          <w:lang w:val="en-US" w:eastAsia="zh-CN"/>
        </w:rPr>
        <w:t>.</w:t>
      </w:r>
      <w:r>
        <w:rPr>
          <w:sz w:val="20"/>
          <w:szCs w:val="20"/>
        </w:rPr>
        <w:t xml:space="preserve"> </w:t>
      </w:r>
    </w:p>
    <w:tbl>
      <w:tblPr>
        <w:tblStyle w:val="33"/>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5"/>
        <w:gridCol w:w="4144"/>
        <w:gridCol w:w="4205"/>
      </w:tblGrid>
      <w:tr w14:paraId="02520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1947" w:type="dxa"/>
            <w:tcBorders>
              <w:tl2br w:val="nil"/>
              <w:tr2bl w:val="nil"/>
            </w:tcBorders>
            <w:shd w:val="clear" w:color="auto" w:fill="D9EAF7"/>
            <w:vAlign w:val="top"/>
          </w:tcPr>
          <w:p w14:paraId="54DE3D02">
            <w:pPr>
              <w:spacing w:before="0" w:after="0" w:line="240" w:lineRule="auto"/>
              <w:jc w:val="left"/>
              <w:rPr>
                <w:b/>
                <w:bCs/>
                <w:color w:val="auto"/>
                <w:sz w:val="20"/>
                <w:szCs w:val="20"/>
              </w:rPr>
            </w:pPr>
            <w:r>
              <w:rPr>
                <w:rFonts w:ascii="Times New Roman" w:hAnsi="Times New Roman" w:eastAsia="Times New Roman"/>
                <w:b/>
                <w:sz w:val="18"/>
              </w:rPr>
              <w:t>Section</w:t>
            </w:r>
          </w:p>
        </w:tc>
        <w:tc>
          <w:tcPr>
            <w:tcW w:w="4143" w:type="dxa"/>
            <w:tcBorders>
              <w:tl2br w:val="nil"/>
              <w:tr2bl w:val="nil"/>
            </w:tcBorders>
            <w:shd w:val="clear" w:color="auto" w:fill="D9EAF7"/>
            <w:vAlign w:val="top"/>
          </w:tcPr>
          <w:p w14:paraId="05E43779">
            <w:pPr>
              <w:spacing w:before="0" w:after="0" w:line="240" w:lineRule="auto"/>
              <w:jc w:val="left"/>
              <w:rPr>
                <w:b/>
                <w:bCs/>
                <w:color w:val="auto"/>
                <w:sz w:val="20"/>
                <w:szCs w:val="20"/>
              </w:rPr>
            </w:pPr>
            <w:r>
              <w:rPr>
                <w:rFonts w:ascii="Times New Roman" w:hAnsi="Times New Roman" w:eastAsia="Times New Roman"/>
                <w:b/>
                <w:sz w:val="18"/>
              </w:rPr>
              <w:t>Item</w:t>
            </w:r>
          </w:p>
        </w:tc>
        <w:tc>
          <w:tcPr>
            <w:tcW w:w="4204" w:type="dxa"/>
            <w:tcBorders>
              <w:tl2br w:val="nil"/>
              <w:tr2bl w:val="nil"/>
            </w:tcBorders>
            <w:shd w:val="clear" w:color="auto" w:fill="D9EAF7"/>
            <w:vAlign w:val="top"/>
          </w:tcPr>
          <w:p w14:paraId="27E3FFC4">
            <w:pPr>
              <w:spacing w:before="0" w:after="0" w:line="240" w:lineRule="auto"/>
              <w:jc w:val="left"/>
              <w:rPr>
                <w:b/>
                <w:bCs/>
                <w:color w:val="auto"/>
                <w:sz w:val="20"/>
                <w:szCs w:val="20"/>
              </w:rPr>
            </w:pPr>
            <w:r>
              <w:rPr>
                <w:rFonts w:ascii="Times New Roman" w:hAnsi="Times New Roman" w:eastAsia="Times New Roman"/>
                <w:b/>
                <w:sz w:val="18"/>
              </w:rPr>
              <w:t>Page/Line in revised manuscript</w:t>
            </w:r>
          </w:p>
        </w:tc>
      </w:tr>
      <w:tr w14:paraId="6FF1F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47" w:type="dxa"/>
            <w:vMerge w:val="restart"/>
            <w:tcBorders>
              <w:tl2br w:val="nil"/>
              <w:tr2bl w:val="nil"/>
            </w:tcBorders>
            <w:shd w:val="clear" w:color="auto" w:fill="auto"/>
            <w:vAlign w:val="top"/>
          </w:tcPr>
          <w:p w14:paraId="2A0A3E77">
            <w:pPr>
              <w:spacing w:before="0" w:after="0" w:line="240" w:lineRule="auto"/>
              <w:jc w:val="left"/>
              <w:rPr>
                <w:sz w:val="20"/>
                <w:szCs w:val="20"/>
              </w:rPr>
            </w:pPr>
            <w:r>
              <w:rPr>
                <w:rFonts w:ascii="Times New Roman" w:hAnsi="Times New Roman" w:eastAsia="Times New Roman"/>
                <w:b w:val="0"/>
                <w:sz w:val="17"/>
              </w:rPr>
              <w:t>Purpose and rationale</w:t>
            </w:r>
          </w:p>
        </w:tc>
        <w:tc>
          <w:tcPr>
            <w:tcW w:w="4143" w:type="dxa"/>
            <w:tcBorders>
              <w:tl2br w:val="nil"/>
              <w:tr2bl w:val="nil"/>
            </w:tcBorders>
            <w:shd w:val="clear" w:color="auto" w:fill="auto"/>
            <w:vAlign w:val="top"/>
          </w:tcPr>
          <w:p w14:paraId="61EFCDA6">
            <w:pPr>
              <w:spacing w:before="0" w:after="0" w:line="240" w:lineRule="auto"/>
              <w:jc w:val="left"/>
              <w:rPr>
                <w:sz w:val="20"/>
                <w:szCs w:val="20"/>
              </w:rPr>
            </w:pPr>
            <w:r>
              <w:rPr>
                <w:rFonts w:ascii="Times New Roman" w:hAnsi="Times New Roman" w:eastAsia="Times New Roman"/>
                <w:b w:val="0"/>
                <w:sz w:val="17"/>
              </w:rPr>
              <w:t>1. Describe the real-world context and decision-maker that the hypothetical choice context seeks to replicate or inform</w:t>
            </w:r>
          </w:p>
        </w:tc>
        <w:tc>
          <w:tcPr>
            <w:tcW w:w="4204" w:type="dxa"/>
            <w:tcBorders>
              <w:tl2br w:val="nil"/>
              <w:tr2bl w:val="nil"/>
            </w:tcBorders>
            <w:vAlign w:val="top"/>
          </w:tcPr>
          <w:p w14:paraId="312B14C5">
            <w:pPr>
              <w:spacing w:before="0" w:after="0" w:line="240" w:lineRule="auto"/>
              <w:jc w:val="left"/>
              <w:rPr>
                <w:sz w:val="20"/>
                <w:szCs w:val="20"/>
              </w:rPr>
            </w:pPr>
            <w:r>
              <w:rPr>
                <w:rFonts w:ascii="Times New Roman" w:hAnsi="Times New Roman" w:eastAsia="Times New Roman"/>
                <w:b w:val="0"/>
                <w:sz w:val="16"/>
              </w:rPr>
              <w:t>Page 4, lines 64–78; Page 6, lines 10</w:t>
            </w:r>
            <w:r>
              <w:rPr>
                <w:rFonts w:hint="eastAsia" w:eastAsia="宋体"/>
                <w:b w:val="0"/>
                <w:sz w:val="16"/>
                <w:lang w:val="en-US" w:eastAsia="zh-CN"/>
              </w:rPr>
              <w:t>6</w:t>
            </w:r>
            <w:r>
              <w:rPr>
                <w:rFonts w:ascii="Times New Roman" w:hAnsi="Times New Roman" w:eastAsia="Times New Roman"/>
                <w:b w:val="0"/>
                <w:sz w:val="16"/>
              </w:rPr>
              <w:t>–116</w:t>
            </w:r>
          </w:p>
        </w:tc>
      </w:tr>
      <w:tr w14:paraId="257F3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47" w:type="dxa"/>
            <w:vMerge w:val="continue"/>
            <w:tcBorders>
              <w:tl2br w:val="nil"/>
              <w:tr2bl w:val="nil"/>
            </w:tcBorders>
            <w:shd w:val="clear" w:color="auto" w:fill="auto"/>
            <w:vAlign w:val="center"/>
          </w:tcPr>
          <w:p w14:paraId="3A675965">
            <w:pPr>
              <w:spacing w:after="0" w:line="240" w:lineRule="auto"/>
              <w:jc w:val="left"/>
              <w:rPr>
                <w:sz w:val="20"/>
                <w:szCs w:val="20"/>
              </w:rPr>
            </w:pPr>
          </w:p>
        </w:tc>
        <w:tc>
          <w:tcPr>
            <w:tcW w:w="4143" w:type="dxa"/>
            <w:tcBorders>
              <w:tl2br w:val="nil"/>
              <w:tr2bl w:val="nil"/>
            </w:tcBorders>
            <w:shd w:val="clear" w:color="auto" w:fill="auto"/>
            <w:vAlign w:val="top"/>
          </w:tcPr>
          <w:p w14:paraId="127265F5">
            <w:pPr>
              <w:spacing w:before="0" w:after="0" w:line="240" w:lineRule="auto"/>
              <w:jc w:val="left"/>
              <w:rPr>
                <w:sz w:val="20"/>
                <w:szCs w:val="20"/>
              </w:rPr>
            </w:pPr>
            <w:r>
              <w:rPr>
                <w:rFonts w:ascii="Times New Roman" w:hAnsi="Times New Roman" w:eastAsia="Times New Roman"/>
                <w:b w:val="0"/>
                <w:sz w:val="17"/>
              </w:rPr>
              <w:t>2. Provide a rationale for using a DCE to answer the research question</w:t>
            </w:r>
          </w:p>
        </w:tc>
        <w:tc>
          <w:tcPr>
            <w:tcW w:w="4204" w:type="dxa"/>
            <w:tcBorders>
              <w:tl2br w:val="nil"/>
              <w:tr2bl w:val="nil"/>
            </w:tcBorders>
            <w:vAlign w:val="top"/>
          </w:tcPr>
          <w:p w14:paraId="31956D37">
            <w:pPr>
              <w:spacing w:before="0" w:after="0" w:line="240" w:lineRule="auto"/>
              <w:jc w:val="left"/>
              <w:rPr>
                <w:sz w:val="20"/>
                <w:szCs w:val="20"/>
              </w:rPr>
            </w:pPr>
            <w:r>
              <w:rPr>
                <w:rFonts w:ascii="Times New Roman" w:hAnsi="Times New Roman" w:eastAsia="Times New Roman"/>
                <w:b w:val="0"/>
                <w:sz w:val="16"/>
              </w:rPr>
              <w:t>Page 6, lines 10</w:t>
            </w:r>
            <w:r>
              <w:rPr>
                <w:rFonts w:hint="eastAsia" w:eastAsia="宋体"/>
                <w:b w:val="0"/>
                <w:sz w:val="16"/>
                <w:lang w:val="en-US" w:eastAsia="zh-CN"/>
              </w:rPr>
              <w:t>6</w:t>
            </w:r>
            <w:r>
              <w:rPr>
                <w:rFonts w:ascii="Times New Roman" w:hAnsi="Times New Roman" w:eastAsia="Times New Roman"/>
                <w:b w:val="0"/>
                <w:sz w:val="16"/>
              </w:rPr>
              <w:t>–116</w:t>
            </w:r>
          </w:p>
        </w:tc>
      </w:tr>
      <w:tr w14:paraId="74AD2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47" w:type="dxa"/>
            <w:vMerge w:val="restart"/>
            <w:tcBorders>
              <w:tl2br w:val="nil"/>
              <w:tr2bl w:val="nil"/>
            </w:tcBorders>
            <w:shd w:val="clear" w:color="auto" w:fill="auto"/>
            <w:vAlign w:val="top"/>
          </w:tcPr>
          <w:p w14:paraId="491A5871">
            <w:pPr>
              <w:spacing w:before="0" w:after="0" w:line="240" w:lineRule="auto"/>
              <w:jc w:val="left"/>
              <w:rPr>
                <w:sz w:val="20"/>
                <w:szCs w:val="20"/>
              </w:rPr>
            </w:pPr>
            <w:r>
              <w:rPr>
                <w:rFonts w:ascii="Times New Roman" w:hAnsi="Times New Roman" w:eastAsia="Times New Roman"/>
                <w:b w:val="0"/>
                <w:sz w:val="17"/>
              </w:rPr>
              <w:t>Attributes and levels</w:t>
            </w:r>
          </w:p>
        </w:tc>
        <w:tc>
          <w:tcPr>
            <w:tcW w:w="4143" w:type="dxa"/>
            <w:tcBorders>
              <w:tl2br w:val="nil"/>
              <w:tr2bl w:val="nil"/>
            </w:tcBorders>
            <w:shd w:val="clear" w:color="auto" w:fill="auto"/>
            <w:vAlign w:val="top"/>
          </w:tcPr>
          <w:p w14:paraId="42213E2E">
            <w:pPr>
              <w:spacing w:before="0" w:after="0" w:line="240" w:lineRule="auto"/>
              <w:jc w:val="left"/>
              <w:rPr>
                <w:sz w:val="20"/>
                <w:szCs w:val="20"/>
              </w:rPr>
            </w:pPr>
            <w:r>
              <w:rPr>
                <w:rFonts w:ascii="Times New Roman" w:hAnsi="Times New Roman" w:eastAsia="Times New Roman"/>
                <w:b w:val="0"/>
                <w:sz w:val="17"/>
              </w:rPr>
              <w:t>3. Describe how attributes and levels were derived (e.g. literature review, interviews, focus groups, expert input)</w:t>
            </w:r>
          </w:p>
        </w:tc>
        <w:tc>
          <w:tcPr>
            <w:tcW w:w="4204" w:type="dxa"/>
            <w:tcBorders>
              <w:tl2br w:val="nil"/>
              <w:tr2bl w:val="nil"/>
            </w:tcBorders>
            <w:vAlign w:val="top"/>
          </w:tcPr>
          <w:p w14:paraId="7BF06DAE">
            <w:pPr>
              <w:spacing w:before="0" w:after="0" w:line="240" w:lineRule="auto"/>
              <w:jc w:val="left"/>
              <w:rPr>
                <w:rFonts w:hint="eastAsia" w:eastAsia="宋体"/>
                <w:sz w:val="20"/>
                <w:szCs w:val="20"/>
                <w:lang w:eastAsia="zh-CN"/>
              </w:rPr>
            </w:pPr>
            <w:r>
              <w:rPr>
                <w:rFonts w:ascii="Times New Roman" w:hAnsi="Times New Roman" w:eastAsia="Times New Roman"/>
                <w:b w:val="0"/>
                <w:sz w:val="16"/>
              </w:rPr>
              <w:t>Pages 7–9, lines 14</w:t>
            </w:r>
            <w:r>
              <w:rPr>
                <w:rFonts w:hint="eastAsia" w:eastAsia="宋体"/>
                <w:b w:val="0"/>
                <w:sz w:val="16"/>
                <w:lang w:val="en-US" w:eastAsia="zh-CN"/>
              </w:rPr>
              <w:t>2</w:t>
            </w:r>
            <w:r>
              <w:rPr>
                <w:rFonts w:ascii="Times New Roman" w:hAnsi="Times New Roman" w:eastAsia="Times New Roman"/>
                <w:b w:val="0"/>
                <w:sz w:val="16"/>
              </w:rPr>
              <w:t>–180; Page 12, lines 21</w:t>
            </w:r>
            <w:r>
              <w:rPr>
                <w:rFonts w:hint="eastAsia" w:eastAsia="宋体"/>
                <w:b w:val="0"/>
                <w:sz w:val="16"/>
                <w:lang w:val="en-US" w:eastAsia="zh-CN"/>
              </w:rPr>
              <w:t>4</w:t>
            </w:r>
            <w:r>
              <w:rPr>
                <w:rFonts w:ascii="Times New Roman" w:hAnsi="Times New Roman" w:eastAsia="Times New Roman"/>
                <w:b w:val="0"/>
                <w:sz w:val="16"/>
              </w:rPr>
              <w:t>–22</w:t>
            </w:r>
            <w:r>
              <w:rPr>
                <w:rFonts w:hint="eastAsia" w:eastAsia="宋体"/>
                <w:b w:val="0"/>
                <w:sz w:val="16"/>
                <w:lang w:val="en-US" w:eastAsia="zh-CN"/>
              </w:rPr>
              <w:t>5</w:t>
            </w:r>
          </w:p>
        </w:tc>
      </w:tr>
      <w:tr w14:paraId="484F3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47" w:type="dxa"/>
            <w:vMerge w:val="continue"/>
            <w:tcBorders>
              <w:tl2br w:val="nil"/>
              <w:tr2bl w:val="nil"/>
            </w:tcBorders>
            <w:shd w:val="clear" w:color="auto" w:fill="auto"/>
            <w:vAlign w:val="center"/>
          </w:tcPr>
          <w:p w14:paraId="3F16456A">
            <w:pPr>
              <w:spacing w:after="0" w:line="240" w:lineRule="auto"/>
              <w:jc w:val="left"/>
              <w:rPr>
                <w:sz w:val="20"/>
                <w:szCs w:val="20"/>
              </w:rPr>
            </w:pPr>
          </w:p>
        </w:tc>
        <w:tc>
          <w:tcPr>
            <w:tcW w:w="4143" w:type="dxa"/>
            <w:tcBorders>
              <w:tl2br w:val="nil"/>
              <w:tr2bl w:val="nil"/>
            </w:tcBorders>
            <w:shd w:val="clear" w:color="auto" w:fill="auto"/>
            <w:vAlign w:val="top"/>
          </w:tcPr>
          <w:p w14:paraId="7E32CF16">
            <w:pPr>
              <w:spacing w:before="0" w:after="0" w:line="240" w:lineRule="auto"/>
              <w:jc w:val="left"/>
              <w:rPr>
                <w:sz w:val="20"/>
                <w:szCs w:val="20"/>
              </w:rPr>
            </w:pPr>
            <w:r>
              <w:rPr>
                <w:rFonts w:ascii="Times New Roman" w:hAnsi="Times New Roman" w:eastAsia="Times New Roman"/>
                <w:b w:val="0"/>
                <w:sz w:val="17"/>
              </w:rPr>
              <w:t>4. Provide the final list of attributes and levels</w:t>
            </w:r>
          </w:p>
        </w:tc>
        <w:tc>
          <w:tcPr>
            <w:tcW w:w="4204" w:type="dxa"/>
            <w:tcBorders>
              <w:tl2br w:val="nil"/>
              <w:tr2bl w:val="nil"/>
            </w:tcBorders>
            <w:vAlign w:val="top"/>
          </w:tcPr>
          <w:p w14:paraId="1AFDE226">
            <w:pPr>
              <w:spacing w:before="0" w:after="0" w:line="240" w:lineRule="auto"/>
              <w:jc w:val="left"/>
              <w:rPr>
                <w:rFonts w:hint="eastAsia" w:eastAsia="宋体"/>
                <w:sz w:val="20"/>
                <w:szCs w:val="20"/>
                <w:lang w:eastAsia="zh-CN"/>
              </w:rPr>
            </w:pPr>
            <w:r>
              <w:rPr>
                <w:rFonts w:ascii="Times New Roman" w:hAnsi="Times New Roman" w:eastAsia="Times New Roman"/>
                <w:b w:val="0"/>
                <w:sz w:val="16"/>
              </w:rPr>
              <w:t>Pages 8–10, lines 1</w:t>
            </w:r>
            <w:r>
              <w:rPr>
                <w:rFonts w:hint="eastAsia" w:eastAsia="宋体"/>
                <w:b w:val="0"/>
                <w:sz w:val="16"/>
                <w:lang w:val="en-US" w:eastAsia="zh-CN"/>
              </w:rPr>
              <w:t>69</w:t>
            </w:r>
            <w:r>
              <w:rPr>
                <w:rFonts w:ascii="Times New Roman" w:hAnsi="Times New Roman" w:eastAsia="Times New Roman"/>
                <w:b w:val="0"/>
                <w:sz w:val="16"/>
              </w:rPr>
              <w:t>–18</w:t>
            </w:r>
            <w:r>
              <w:rPr>
                <w:rFonts w:hint="eastAsia" w:eastAsia="宋体"/>
                <w:b w:val="0"/>
                <w:sz w:val="16"/>
                <w:lang w:val="en-US" w:eastAsia="zh-CN"/>
              </w:rPr>
              <w:t>5</w:t>
            </w:r>
          </w:p>
        </w:tc>
      </w:tr>
      <w:tr w14:paraId="0E08C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47" w:type="dxa"/>
            <w:vMerge w:val="restart"/>
            <w:tcBorders>
              <w:tl2br w:val="nil"/>
              <w:tr2bl w:val="nil"/>
            </w:tcBorders>
            <w:shd w:val="clear" w:color="auto" w:fill="auto"/>
            <w:vAlign w:val="top"/>
          </w:tcPr>
          <w:p w14:paraId="058CEFAF">
            <w:pPr>
              <w:spacing w:before="0" w:after="0" w:line="240" w:lineRule="auto"/>
              <w:jc w:val="left"/>
              <w:rPr>
                <w:sz w:val="20"/>
                <w:szCs w:val="20"/>
              </w:rPr>
            </w:pPr>
            <w:r>
              <w:rPr>
                <w:rFonts w:ascii="Times New Roman" w:hAnsi="Times New Roman" w:eastAsia="Times New Roman"/>
                <w:b w:val="0"/>
                <w:sz w:val="17"/>
              </w:rPr>
              <w:t>Experimental design</w:t>
            </w:r>
          </w:p>
        </w:tc>
        <w:tc>
          <w:tcPr>
            <w:tcW w:w="4143" w:type="dxa"/>
            <w:tcBorders>
              <w:tl2br w:val="nil"/>
              <w:tr2bl w:val="nil"/>
            </w:tcBorders>
            <w:shd w:val="clear" w:color="auto" w:fill="auto"/>
            <w:vAlign w:val="top"/>
          </w:tcPr>
          <w:p w14:paraId="1B0F58A8">
            <w:pPr>
              <w:spacing w:before="0" w:after="0" w:line="240" w:lineRule="auto"/>
              <w:jc w:val="left"/>
              <w:rPr>
                <w:sz w:val="20"/>
                <w:szCs w:val="20"/>
              </w:rPr>
            </w:pPr>
            <w:r>
              <w:rPr>
                <w:rFonts w:ascii="Times New Roman" w:hAnsi="Times New Roman" w:eastAsia="Times New Roman"/>
                <w:b w:val="0"/>
                <w:sz w:val="17"/>
              </w:rPr>
              <w:t>5. Report the number of alternatives per choice set and whether they were labelled or unlabelled</w:t>
            </w:r>
          </w:p>
        </w:tc>
        <w:tc>
          <w:tcPr>
            <w:tcW w:w="4204" w:type="dxa"/>
            <w:tcBorders>
              <w:tl2br w:val="nil"/>
              <w:tr2bl w:val="nil"/>
            </w:tcBorders>
            <w:vAlign w:val="top"/>
          </w:tcPr>
          <w:p w14:paraId="711605EF">
            <w:pPr>
              <w:spacing w:before="0" w:after="0" w:line="240" w:lineRule="auto"/>
              <w:jc w:val="left"/>
              <w:rPr>
                <w:sz w:val="20"/>
                <w:szCs w:val="20"/>
              </w:rPr>
            </w:pPr>
            <w:r>
              <w:rPr>
                <w:rFonts w:ascii="Times New Roman" w:hAnsi="Times New Roman" w:eastAsia="Times New Roman"/>
                <w:b w:val="0"/>
                <w:sz w:val="16"/>
              </w:rPr>
              <w:t>Page 10, lines 196–201; Page 11, lines 21</w:t>
            </w:r>
            <w:r>
              <w:rPr>
                <w:rFonts w:hint="eastAsia" w:eastAsia="宋体"/>
                <w:b w:val="0"/>
                <w:sz w:val="16"/>
                <w:lang w:val="en-US" w:eastAsia="zh-CN"/>
              </w:rPr>
              <w:t>0</w:t>
            </w:r>
            <w:r>
              <w:rPr>
                <w:rFonts w:ascii="Times New Roman" w:hAnsi="Times New Roman" w:eastAsia="Times New Roman"/>
                <w:b w:val="0"/>
                <w:sz w:val="16"/>
              </w:rPr>
              <w:t>–212</w:t>
            </w:r>
          </w:p>
        </w:tc>
      </w:tr>
      <w:tr w14:paraId="1ADDC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47" w:type="dxa"/>
            <w:vMerge w:val="continue"/>
            <w:tcBorders>
              <w:tl2br w:val="nil"/>
              <w:tr2bl w:val="nil"/>
            </w:tcBorders>
            <w:shd w:val="clear" w:color="auto" w:fill="auto"/>
            <w:vAlign w:val="center"/>
          </w:tcPr>
          <w:p w14:paraId="73BC576F">
            <w:pPr>
              <w:spacing w:after="0" w:line="240" w:lineRule="auto"/>
              <w:jc w:val="left"/>
              <w:rPr>
                <w:sz w:val="20"/>
                <w:szCs w:val="20"/>
              </w:rPr>
            </w:pPr>
          </w:p>
        </w:tc>
        <w:tc>
          <w:tcPr>
            <w:tcW w:w="4143" w:type="dxa"/>
            <w:tcBorders>
              <w:tl2br w:val="nil"/>
              <w:tr2bl w:val="nil"/>
            </w:tcBorders>
            <w:shd w:val="clear" w:color="auto" w:fill="auto"/>
            <w:vAlign w:val="top"/>
          </w:tcPr>
          <w:p w14:paraId="6088D180">
            <w:pPr>
              <w:spacing w:before="0" w:after="0" w:line="240" w:lineRule="auto"/>
              <w:jc w:val="left"/>
              <w:rPr>
                <w:sz w:val="20"/>
                <w:szCs w:val="20"/>
              </w:rPr>
            </w:pPr>
            <w:r>
              <w:rPr>
                <w:rFonts w:ascii="Times New Roman" w:hAnsi="Times New Roman" w:eastAsia="Times New Roman"/>
                <w:b w:val="0"/>
                <w:sz w:val="17"/>
              </w:rPr>
              <w:t>6. Describe response options (e.g. forced choice, opt-out, status quo)</w:t>
            </w:r>
          </w:p>
        </w:tc>
        <w:tc>
          <w:tcPr>
            <w:tcW w:w="4204" w:type="dxa"/>
            <w:tcBorders>
              <w:tl2br w:val="nil"/>
              <w:tr2bl w:val="nil"/>
            </w:tcBorders>
            <w:vAlign w:val="top"/>
          </w:tcPr>
          <w:p w14:paraId="795208C3">
            <w:pPr>
              <w:spacing w:before="0" w:after="0" w:line="240" w:lineRule="auto"/>
              <w:jc w:val="left"/>
              <w:rPr>
                <w:sz w:val="20"/>
                <w:szCs w:val="20"/>
              </w:rPr>
            </w:pPr>
            <w:r>
              <w:rPr>
                <w:rFonts w:ascii="Times New Roman" w:hAnsi="Times New Roman" w:eastAsia="Times New Roman"/>
                <w:b w:val="0"/>
                <w:sz w:val="16"/>
              </w:rPr>
              <w:t>Page 10, lines 199–201; Pages 11–12, lines 21</w:t>
            </w:r>
            <w:r>
              <w:rPr>
                <w:rFonts w:hint="eastAsia" w:eastAsia="宋体"/>
                <w:b w:val="0"/>
                <w:sz w:val="16"/>
                <w:lang w:val="en-US" w:eastAsia="zh-CN"/>
              </w:rPr>
              <w:t>0</w:t>
            </w:r>
            <w:r>
              <w:rPr>
                <w:rFonts w:ascii="Times New Roman" w:hAnsi="Times New Roman" w:eastAsia="Times New Roman"/>
                <w:b w:val="0"/>
                <w:sz w:val="16"/>
              </w:rPr>
              <w:t>–212</w:t>
            </w:r>
          </w:p>
        </w:tc>
      </w:tr>
      <w:tr w14:paraId="199E5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47" w:type="dxa"/>
            <w:vMerge w:val="continue"/>
            <w:tcBorders>
              <w:tl2br w:val="nil"/>
              <w:tr2bl w:val="nil"/>
            </w:tcBorders>
            <w:shd w:val="clear" w:color="auto" w:fill="auto"/>
            <w:vAlign w:val="center"/>
          </w:tcPr>
          <w:p w14:paraId="63CEE7B2">
            <w:pPr>
              <w:spacing w:after="0" w:line="240" w:lineRule="auto"/>
              <w:jc w:val="left"/>
              <w:rPr>
                <w:sz w:val="20"/>
                <w:szCs w:val="20"/>
              </w:rPr>
            </w:pPr>
          </w:p>
        </w:tc>
        <w:tc>
          <w:tcPr>
            <w:tcW w:w="4143" w:type="dxa"/>
            <w:tcBorders>
              <w:tl2br w:val="nil"/>
              <w:tr2bl w:val="nil"/>
            </w:tcBorders>
            <w:shd w:val="clear" w:color="auto" w:fill="auto"/>
            <w:vAlign w:val="top"/>
          </w:tcPr>
          <w:p w14:paraId="0AC4CA6E">
            <w:pPr>
              <w:spacing w:before="0" w:after="0" w:line="240" w:lineRule="auto"/>
              <w:jc w:val="left"/>
              <w:rPr>
                <w:sz w:val="20"/>
                <w:szCs w:val="20"/>
              </w:rPr>
            </w:pPr>
            <w:r>
              <w:rPr>
                <w:rFonts w:ascii="Times New Roman" w:hAnsi="Times New Roman" w:eastAsia="Times New Roman"/>
                <w:b w:val="0"/>
                <w:sz w:val="17"/>
              </w:rPr>
              <w:t>7. Describe the type of experimental design (e.g. orthogonal, D-efficient, Bayesian efficient, partial profile)</w:t>
            </w:r>
          </w:p>
        </w:tc>
        <w:tc>
          <w:tcPr>
            <w:tcW w:w="4204" w:type="dxa"/>
            <w:tcBorders>
              <w:tl2br w:val="nil"/>
              <w:tr2bl w:val="nil"/>
            </w:tcBorders>
            <w:vAlign w:val="top"/>
          </w:tcPr>
          <w:p w14:paraId="2074C068">
            <w:pPr>
              <w:spacing w:before="0" w:after="0" w:line="240" w:lineRule="auto"/>
              <w:jc w:val="left"/>
              <w:rPr>
                <w:sz w:val="20"/>
                <w:szCs w:val="20"/>
              </w:rPr>
            </w:pPr>
            <w:r>
              <w:rPr>
                <w:rFonts w:ascii="Times New Roman" w:hAnsi="Times New Roman" w:eastAsia="Times New Roman"/>
                <w:b w:val="0"/>
                <w:sz w:val="16"/>
              </w:rPr>
              <w:t>Page 10, lines 18</w:t>
            </w:r>
            <w:r>
              <w:rPr>
                <w:rFonts w:hint="eastAsia" w:eastAsia="宋体"/>
                <w:b w:val="0"/>
                <w:sz w:val="16"/>
                <w:lang w:val="en-US" w:eastAsia="zh-CN"/>
              </w:rPr>
              <w:t>7</w:t>
            </w:r>
            <w:r>
              <w:rPr>
                <w:rFonts w:ascii="Times New Roman" w:hAnsi="Times New Roman" w:eastAsia="Times New Roman"/>
                <w:b w:val="0"/>
                <w:sz w:val="16"/>
              </w:rPr>
              <w:t>–196</w:t>
            </w:r>
          </w:p>
        </w:tc>
      </w:tr>
      <w:tr w14:paraId="4AE16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47" w:type="dxa"/>
            <w:vMerge w:val="continue"/>
            <w:tcBorders>
              <w:tl2br w:val="nil"/>
              <w:tr2bl w:val="nil"/>
            </w:tcBorders>
            <w:shd w:val="clear" w:color="auto" w:fill="auto"/>
            <w:vAlign w:val="center"/>
          </w:tcPr>
          <w:p w14:paraId="52A4512B">
            <w:pPr>
              <w:spacing w:after="0" w:line="240" w:lineRule="auto"/>
              <w:jc w:val="left"/>
              <w:rPr>
                <w:sz w:val="20"/>
                <w:szCs w:val="20"/>
              </w:rPr>
            </w:pPr>
          </w:p>
        </w:tc>
        <w:tc>
          <w:tcPr>
            <w:tcW w:w="4143" w:type="dxa"/>
            <w:tcBorders>
              <w:tl2br w:val="nil"/>
              <w:tr2bl w:val="nil"/>
            </w:tcBorders>
            <w:shd w:val="clear" w:color="auto" w:fill="auto"/>
            <w:vAlign w:val="top"/>
          </w:tcPr>
          <w:p w14:paraId="3D5E6191">
            <w:pPr>
              <w:spacing w:before="0" w:after="0" w:line="240" w:lineRule="auto"/>
              <w:jc w:val="left"/>
              <w:rPr>
                <w:sz w:val="20"/>
                <w:szCs w:val="20"/>
              </w:rPr>
            </w:pPr>
            <w:r>
              <w:rPr>
                <w:rFonts w:ascii="Times New Roman" w:hAnsi="Times New Roman" w:eastAsia="Times New Roman"/>
                <w:b w:val="0"/>
                <w:sz w:val="17"/>
              </w:rPr>
              <w:t>8. Describe which effects are identified in the design (e.g. main effects, higher order interactions, functional form)</w:t>
            </w:r>
          </w:p>
        </w:tc>
        <w:tc>
          <w:tcPr>
            <w:tcW w:w="4204" w:type="dxa"/>
            <w:tcBorders>
              <w:tl2br w:val="nil"/>
              <w:tr2bl w:val="nil"/>
            </w:tcBorders>
            <w:vAlign w:val="top"/>
          </w:tcPr>
          <w:p w14:paraId="1CE4B04B">
            <w:pPr>
              <w:spacing w:before="0" w:after="0" w:line="240" w:lineRule="auto"/>
              <w:jc w:val="left"/>
              <w:rPr>
                <w:rFonts w:hint="eastAsia" w:eastAsia="宋体"/>
                <w:sz w:val="20"/>
                <w:szCs w:val="20"/>
                <w:lang w:eastAsia="zh-CN"/>
              </w:rPr>
            </w:pPr>
            <w:r>
              <w:rPr>
                <w:rFonts w:ascii="Times New Roman" w:hAnsi="Times New Roman" w:eastAsia="Times New Roman"/>
                <w:b w:val="0"/>
                <w:sz w:val="16"/>
              </w:rPr>
              <w:t>Page 7, lines 13</w:t>
            </w:r>
            <w:r>
              <w:rPr>
                <w:rFonts w:hint="eastAsia" w:eastAsia="宋体"/>
                <w:b w:val="0"/>
                <w:sz w:val="16"/>
                <w:lang w:val="en-US" w:eastAsia="zh-CN"/>
              </w:rPr>
              <w:t>2</w:t>
            </w:r>
            <w:r>
              <w:rPr>
                <w:rFonts w:ascii="Times New Roman" w:hAnsi="Times New Roman" w:eastAsia="Times New Roman"/>
                <w:b w:val="0"/>
                <w:sz w:val="16"/>
              </w:rPr>
              <w:t>–1</w:t>
            </w:r>
            <w:r>
              <w:rPr>
                <w:rFonts w:hint="eastAsia" w:eastAsia="宋体"/>
                <w:b w:val="0"/>
                <w:sz w:val="16"/>
                <w:lang w:val="en-US" w:eastAsia="zh-CN"/>
              </w:rPr>
              <w:t>39</w:t>
            </w:r>
            <w:r>
              <w:rPr>
                <w:rFonts w:ascii="Times New Roman" w:hAnsi="Times New Roman" w:eastAsia="Times New Roman"/>
                <w:b w:val="0"/>
                <w:sz w:val="16"/>
              </w:rPr>
              <w:t>; Pages 13–14, lines 24</w:t>
            </w:r>
            <w:r>
              <w:rPr>
                <w:rFonts w:hint="eastAsia" w:eastAsia="宋体"/>
                <w:b w:val="0"/>
                <w:sz w:val="16"/>
                <w:lang w:val="en-US" w:eastAsia="zh-CN"/>
              </w:rPr>
              <w:t>6</w:t>
            </w:r>
            <w:r>
              <w:rPr>
                <w:rFonts w:ascii="Times New Roman" w:hAnsi="Times New Roman" w:eastAsia="Times New Roman"/>
                <w:b w:val="0"/>
                <w:sz w:val="16"/>
              </w:rPr>
              <w:t>–27</w:t>
            </w:r>
            <w:r>
              <w:rPr>
                <w:rFonts w:hint="eastAsia" w:eastAsia="宋体"/>
                <w:b w:val="0"/>
                <w:sz w:val="16"/>
                <w:lang w:val="en-US" w:eastAsia="zh-CN"/>
              </w:rPr>
              <w:t>3</w:t>
            </w:r>
          </w:p>
        </w:tc>
      </w:tr>
      <w:tr w14:paraId="53438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47" w:type="dxa"/>
            <w:vMerge w:val="continue"/>
            <w:tcBorders>
              <w:tl2br w:val="nil"/>
              <w:tr2bl w:val="nil"/>
            </w:tcBorders>
            <w:shd w:val="clear" w:color="auto" w:fill="auto"/>
            <w:vAlign w:val="center"/>
          </w:tcPr>
          <w:p w14:paraId="1DA7A128">
            <w:pPr>
              <w:spacing w:after="0" w:line="240" w:lineRule="auto"/>
              <w:jc w:val="left"/>
              <w:rPr>
                <w:sz w:val="20"/>
                <w:szCs w:val="20"/>
              </w:rPr>
            </w:pPr>
          </w:p>
        </w:tc>
        <w:tc>
          <w:tcPr>
            <w:tcW w:w="4143" w:type="dxa"/>
            <w:tcBorders>
              <w:tl2br w:val="nil"/>
              <w:tr2bl w:val="nil"/>
            </w:tcBorders>
            <w:shd w:val="clear" w:color="auto" w:fill="auto"/>
            <w:vAlign w:val="top"/>
          </w:tcPr>
          <w:p w14:paraId="3F7C90F1">
            <w:pPr>
              <w:spacing w:before="0" w:after="0" w:line="240" w:lineRule="auto"/>
              <w:jc w:val="left"/>
              <w:rPr>
                <w:sz w:val="20"/>
                <w:szCs w:val="20"/>
              </w:rPr>
            </w:pPr>
            <w:r>
              <w:rPr>
                <w:rFonts w:ascii="Times New Roman" w:hAnsi="Times New Roman" w:eastAsia="Times New Roman"/>
                <w:b w:val="0"/>
                <w:sz w:val="17"/>
              </w:rPr>
              <w:t>9. Describe the number of choice sets, blocks and choice sets per block</w:t>
            </w:r>
          </w:p>
        </w:tc>
        <w:tc>
          <w:tcPr>
            <w:tcW w:w="4204" w:type="dxa"/>
            <w:tcBorders>
              <w:tl2br w:val="nil"/>
              <w:tr2bl w:val="nil"/>
            </w:tcBorders>
            <w:vAlign w:val="top"/>
          </w:tcPr>
          <w:p w14:paraId="23C9E9AD">
            <w:pPr>
              <w:spacing w:before="0" w:after="0" w:line="240" w:lineRule="auto"/>
              <w:jc w:val="left"/>
              <w:rPr>
                <w:rFonts w:hint="eastAsia" w:eastAsia="宋体"/>
                <w:sz w:val="20"/>
                <w:szCs w:val="20"/>
                <w:lang w:eastAsia="zh-CN"/>
              </w:rPr>
            </w:pPr>
            <w:r>
              <w:rPr>
                <w:rFonts w:ascii="Times New Roman" w:hAnsi="Times New Roman" w:eastAsia="Times New Roman"/>
                <w:b w:val="0"/>
                <w:sz w:val="16"/>
              </w:rPr>
              <w:t>Page 10, lines 19</w:t>
            </w:r>
            <w:r>
              <w:rPr>
                <w:rFonts w:hint="eastAsia" w:eastAsia="宋体"/>
                <w:b w:val="0"/>
                <w:sz w:val="16"/>
                <w:lang w:val="en-US" w:eastAsia="zh-CN"/>
              </w:rPr>
              <w:t>6</w:t>
            </w:r>
            <w:r>
              <w:rPr>
                <w:rFonts w:ascii="Times New Roman" w:hAnsi="Times New Roman" w:eastAsia="Times New Roman"/>
                <w:b w:val="0"/>
                <w:sz w:val="16"/>
              </w:rPr>
              <w:t>–20</w:t>
            </w:r>
            <w:r>
              <w:rPr>
                <w:rFonts w:hint="eastAsia" w:eastAsia="宋体"/>
                <w:b w:val="0"/>
                <w:sz w:val="16"/>
                <w:lang w:val="en-US" w:eastAsia="zh-CN"/>
              </w:rPr>
              <w:t>1</w:t>
            </w:r>
          </w:p>
        </w:tc>
      </w:tr>
      <w:tr w14:paraId="5E9CF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47" w:type="dxa"/>
            <w:vMerge w:val="continue"/>
            <w:tcBorders>
              <w:tl2br w:val="nil"/>
              <w:tr2bl w:val="nil"/>
            </w:tcBorders>
            <w:shd w:val="clear" w:color="auto" w:fill="auto"/>
            <w:vAlign w:val="center"/>
          </w:tcPr>
          <w:p w14:paraId="098D16F3">
            <w:pPr>
              <w:spacing w:after="0" w:line="240" w:lineRule="auto"/>
              <w:jc w:val="left"/>
              <w:rPr>
                <w:sz w:val="20"/>
                <w:szCs w:val="20"/>
              </w:rPr>
            </w:pPr>
          </w:p>
        </w:tc>
        <w:tc>
          <w:tcPr>
            <w:tcW w:w="4143" w:type="dxa"/>
            <w:tcBorders>
              <w:tl2br w:val="nil"/>
              <w:tr2bl w:val="nil"/>
            </w:tcBorders>
            <w:shd w:val="clear" w:color="auto" w:fill="auto"/>
            <w:vAlign w:val="top"/>
          </w:tcPr>
          <w:p w14:paraId="38B29E99">
            <w:pPr>
              <w:spacing w:before="0" w:after="0" w:line="240" w:lineRule="auto"/>
              <w:jc w:val="left"/>
              <w:rPr>
                <w:sz w:val="20"/>
                <w:szCs w:val="20"/>
              </w:rPr>
            </w:pPr>
            <w:r>
              <w:rPr>
                <w:rFonts w:ascii="Times New Roman" w:hAnsi="Times New Roman" w:eastAsia="Times New Roman"/>
                <w:b w:val="0"/>
                <w:sz w:val="17"/>
              </w:rPr>
              <w:t>10. Indicate how the experimental design was obtained (software, catalogue, other)</w:t>
            </w:r>
          </w:p>
        </w:tc>
        <w:tc>
          <w:tcPr>
            <w:tcW w:w="4204" w:type="dxa"/>
            <w:tcBorders>
              <w:tl2br w:val="nil"/>
              <w:tr2bl w:val="nil"/>
            </w:tcBorders>
            <w:vAlign w:val="top"/>
          </w:tcPr>
          <w:p w14:paraId="30E58D26">
            <w:pPr>
              <w:spacing w:before="0" w:after="0" w:line="240" w:lineRule="auto"/>
              <w:jc w:val="left"/>
              <w:rPr>
                <w:sz w:val="20"/>
                <w:szCs w:val="20"/>
              </w:rPr>
            </w:pPr>
            <w:r>
              <w:rPr>
                <w:rFonts w:ascii="Times New Roman" w:hAnsi="Times New Roman" w:eastAsia="Times New Roman"/>
                <w:b w:val="0"/>
                <w:sz w:val="16"/>
              </w:rPr>
              <w:t>Page 10, lines 18</w:t>
            </w:r>
            <w:r>
              <w:rPr>
                <w:rFonts w:hint="eastAsia" w:eastAsia="宋体"/>
                <w:b w:val="0"/>
                <w:sz w:val="16"/>
                <w:lang w:val="en-US" w:eastAsia="zh-CN"/>
              </w:rPr>
              <w:t>7</w:t>
            </w:r>
            <w:r>
              <w:rPr>
                <w:rFonts w:ascii="Times New Roman" w:hAnsi="Times New Roman" w:eastAsia="Times New Roman"/>
                <w:b w:val="0"/>
                <w:sz w:val="16"/>
              </w:rPr>
              <w:t>–196</w:t>
            </w:r>
          </w:p>
        </w:tc>
      </w:tr>
      <w:tr w14:paraId="25301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47" w:type="dxa"/>
            <w:vMerge w:val="restart"/>
            <w:tcBorders>
              <w:tl2br w:val="nil"/>
              <w:tr2bl w:val="nil"/>
            </w:tcBorders>
            <w:shd w:val="clear" w:color="auto" w:fill="auto"/>
            <w:vAlign w:val="top"/>
          </w:tcPr>
          <w:p w14:paraId="428A86CD">
            <w:pPr>
              <w:spacing w:before="0" w:after="0" w:line="240" w:lineRule="auto"/>
              <w:jc w:val="left"/>
              <w:rPr>
                <w:sz w:val="20"/>
                <w:szCs w:val="20"/>
              </w:rPr>
            </w:pPr>
            <w:r>
              <w:rPr>
                <w:rFonts w:ascii="Times New Roman" w:hAnsi="Times New Roman" w:eastAsia="Times New Roman"/>
                <w:b w:val="0"/>
                <w:sz w:val="17"/>
              </w:rPr>
              <w:t>Survey design</w:t>
            </w:r>
          </w:p>
        </w:tc>
        <w:tc>
          <w:tcPr>
            <w:tcW w:w="4143" w:type="dxa"/>
            <w:tcBorders>
              <w:tl2br w:val="nil"/>
              <w:tr2bl w:val="nil"/>
            </w:tcBorders>
            <w:shd w:val="clear" w:color="auto" w:fill="auto"/>
            <w:vAlign w:val="top"/>
          </w:tcPr>
          <w:p w14:paraId="79769A43">
            <w:pPr>
              <w:spacing w:before="0" w:after="0" w:line="240" w:lineRule="auto"/>
              <w:jc w:val="left"/>
              <w:rPr>
                <w:sz w:val="20"/>
                <w:szCs w:val="20"/>
              </w:rPr>
            </w:pPr>
            <w:r>
              <w:rPr>
                <w:rFonts w:ascii="Times New Roman" w:hAnsi="Times New Roman" w:eastAsia="Times New Roman"/>
                <w:b w:val="0"/>
                <w:sz w:val="17"/>
              </w:rPr>
              <w:t>11. Provide a sample choice set and the instructions and background information given to respondents</w:t>
            </w:r>
          </w:p>
        </w:tc>
        <w:tc>
          <w:tcPr>
            <w:tcW w:w="4204" w:type="dxa"/>
            <w:tcBorders>
              <w:tl2br w:val="nil"/>
              <w:tr2bl w:val="nil"/>
            </w:tcBorders>
            <w:vAlign w:val="top"/>
          </w:tcPr>
          <w:p w14:paraId="635AFD31">
            <w:pPr>
              <w:spacing w:before="0" w:after="0" w:line="240" w:lineRule="auto"/>
              <w:jc w:val="left"/>
              <w:rPr>
                <w:sz w:val="20"/>
                <w:szCs w:val="20"/>
              </w:rPr>
            </w:pPr>
            <w:r>
              <w:rPr>
                <w:rFonts w:ascii="Times New Roman" w:hAnsi="Times New Roman" w:eastAsia="Times New Roman"/>
                <w:b w:val="0"/>
                <w:sz w:val="16"/>
              </w:rPr>
              <w:t>Page 10, lines 18</w:t>
            </w:r>
            <w:r>
              <w:rPr>
                <w:rFonts w:hint="eastAsia" w:eastAsia="宋体"/>
                <w:b w:val="0"/>
                <w:sz w:val="16"/>
                <w:lang w:val="en-US" w:eastAsia="zh-CN"/>
              </w:rPr>
              <w:t>0</w:t>
            </w:r>
            <w:r>
              <w:rPr>
                <w:rFonts w:ascii="Times New Roman" w:hAnsi="Times New Roman" w:eastAsia="Times New Roman"/>
                <w:b w:val="0"/>
                <w:sz w:val="16"/>
              </w:rPr>
              <w:t>–18</w:t>
            </w:r>
            <w:r>
              <w:rPr>
                <w:rFonts w:hint="eastAsia" w:eastAsia="宋体"/>
                <w:b w:val="0"/>
                <w:sz w:val="16"/>
                <w:lang w:val="en-US" w:eastAsia="zh-CN"/>
              </w:rPr>
              <w:t>5</w:t>
            </w:r>
            <w:r>
              <w:rPr>
                <w:rFonts w:ascii="Times New Roman" w:hAnsi="Times New Roman" w:eastAsia="Times New Roman"/>
                <w:b w:val="0"/>
                <w:sz w:val="16"/>
              </w:rPr>
              <w:t>; Pages 11–12, lines 21</w:t>
            </w:r>
            <w:r>
              <w:rPr>
                <w:rFonts w:hint="eastAsia" w:eastAsia="宋体"/>
                <w:b w:val="0"/>
                <w:sz w:val="16"/>
                <w:lang w:val="en-US" w:eastAsia="zh-CN"/>
              </w:rPr>
              <w:t>0</w:t>
            </w:r>
            <w:r>
              <w:rPr>
                <w:rFonts w:ascii="Times New Roman" w:hAnsi="Times New Roman" w:eastAsia="Times New Roman"/>
                <w:b w:val="0"/>
                <w:sz w:val="16"/>
              </w:rPr>
              <w:t>–212; Pages 12–13, lines 22</w:t>
            </w:r>
            <w:r>
              <w:rPr>
                <w:rFonts w:hint="eastAsia" w:eastAsia="宋体"/>
                <w:b w:val="0"/>
                <w:sz w:val="16"/>
                <w:lang w:val="en-US" w:eastAsia="zh-CN"/>
              </w:rPr>
              <w:t>6</w:t>
            </w:r>
            <w:r>
              <w:rPr>
                <w:rFonts w:ascii="Times New Roman" w:hAnsi="Times New Roman" w:eastAsia="Times New Roman"/>
                <w:b w:val="0"/>
                <w:sz w:val="16"/>
              </w:rPr>
              <w:t>–233</w:t>
            </w:r>
          </w:p>
        </w:tc>
      </w:tr>
      <w:tr w14:paraId="132DB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47" w:type="dxa"/>
            <w:vMerge w:val="continue"/>
            <w:tcBorders>
              <w:tl2br w:val="nil"/>
              <w:tr2bl w:val="nil"/>
            </w:tcBorders>
            <w:shd w:val="clear" w:color="auto" w:fill="auto"/>
            <w:vAlign w:val="center"/>
          </w:tcPr>
          <w:p w14:paraId="477E6B36">
            <w:pPr>
              <w:spacing w:after="0" w:line="240" w:lineRule="auto"/>
              <w:jc w:val="left"/>
              <w:rPr>
                <w:sz w:val="20"/>
                <w:szCs w:val="20"/>
              </w:rPr>
            </w:pPr>
          </w:p>
        </w:tc>
        <w:tc>
          <w:tcPr>
            <w:tcW w:w="4143" w:type="dxa"/>
            <w:tcBorders>
              <w:tl2br w:val="nil"/>
              <w:tr2bl w:val="nil"/>
            </w:tcBorders>
            <w:shd w:val="clear" w:color="auto" w:fill="auto"/>
            <w:vAlign w:val="top"/>
          </w:tcPr>
          <w:p w14:paraId="30325E3B">
            <w:pPr>
              <w:spacing w:before="0" w:after="0" w:line="240" w:lineRule="auto"/>
              <w:jc w:val="left"/>
              <w:rPr>
                <w:sz w:val="20"/>
                <w:szCs w:val="20"/>
              </w:rPr>
            </w:pPr>
            <w:r>
              <w:rPr>
                <w:rFonts w:ascii="Times New Roman" w:hAnsi="Times New Roman" w:eastAsia="Times New Roman"/>
                <w:b w:val="0"/>
                <w:sz w:val="17"/>
              </w:rPr>
              <w:t>12. Report any randomisation</w:t>
            </w:r>
          </w:p>
        </w:tc>
        <w:tc>
          <w:tcPr>
            <w:tcW w:w="4204" w:type="dxa"/>
            <w:tcBorders>
              <w:tl2br w:val="nil"/>
              <w:tr2bl w:val="nil"/>
            </w:tcBorders>
            <w:vAlign w:val="top"/>
          </w:tcPr>
          <w:p w14:paraId="2B271243">
            <w:pPr>
              <w:spacing w:before="0" w:after="0" w:line="240" w:lineRule="auto"/>
              <w:jc w:val="left"/>
              <w:rPr>
                <w:rFonts w:hint="default" w:eastAsia="宋体"/>
                <w:sz w:val="20"/>
                <w:szCs w:val="20"/>
                <w:lang w:val="en-US" w:eastAsia="zh-CN"/>
              </w:rPr>
            </w:pPr>
            <w:r>
              <w:rPr>
                <w:rFonts w:ascii="Times New Roman" w:hAnsi="Times New Roman" w:eastAsia="Times New Roman"/>
                <w:b w:val="0"/>
                <w:sz w:val="16"/>
              </w:rPr>
              <w:t>Page 10, lines 19</w:t>
            </w:r>
            <w:r>
              <w:rPr>
                <w:rFonts w:hint="eastAsia" w:eastAsia="宋体"/>
                <w:b w:val="0"/>
                <w:sz w:val="16"/>
                <w:lang w:val="en-US" w:eastAsia="zh-CN"/>
              </w:rPr>
              <w:t>7</w:t>
            </w:r>
            <w:r>
              <w:rPr>
                <w:rFonts w:ascii="Times New Roman" w:hAnsi="Times New Roman" w:eastAsia="Times New Roman"/>
                <w:b w:val="0"/>
                <w:sz w:val="16"/>
              </w:rPr>
              <w:t>–</w:t>
            </w:r>
            <w:r>
              <w:rPr>
                <w:rFonts w:hint="eastAsia" w:eastAsia="宋体"/>
                <w:b w:val="0"/>
                <w:sz w:val="16"/>
                <w:lang w:val="en-US" w:eastAsia="zh-CN"/>
              </w:rPr>
              <w:t>200</w:t>
            </w:r>
            <w:r>
              <w:rPr>
                <w:rFonts w:ascii="Times New Roman" w:hAnsi="Times New Roman" w:eastAsia="Times New Roman"/>
                <w:b w:val="0"/>
                <w:sz w:val="16"/>
              </w:rPr>
              <w:t>; Pages 12–13, lines 23</w:t>
            </w:r>
            <w:r>
              <w:rPr>
                <w:rFonts w:hint="eastAsia" w:eastAsia="宋体"/>
                <w:b w:val="0"/>
                <w:sz w:val="16"/>
                <w:lang w:val="en-US" w:eastAsia="zh-CN"/>
              </w:rPr>
              <w:t>1</w:t>
            </w:r>
            <w:r>
              <w:rPr>
                <w:rFonts w:ascii="Times New Roman" w:hAnsi="Times New Roman" w:eastAsia="Times New Roman"/>
                <w:b w:val="0"/>
                <w:sz w:val="16"/>
              </w:rPr>
              <w:t>–233</w:t>
            </w:r>
          </w:p>
        </w:tc>
      </w:tr>
      <w:tr w14:paraId="21D0F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47" w:type="dxa"/>
            <w:vMerge w:val="continue"/>
            <w:tcBorders>
              <w:tl2br w:val="nil"/>
              <w:tr2bl w:val="nil"/>
            </w:tcBorders>
            <w:shd w:val="clear" w:color="auto" w:fill="auto"/>
            <w:vAlign w:val="center"/>
          </w:tcPr>
          <w:p w14:paraId="0AD4BB97">
            <w:pPr>
              <w:spacing w:after="0" w:line="240" w:lineRule="auto"/>
              <w:jc w:val="left"/>
              <w:rPr>
                <w:sz w:val="20"/>
                <w:szCs w:val="20"/>
              </w:rPr>
            </w:pPr>
          </w:p>
        </w:tc>
        <w:tc>
          <w:tcPr>
            <w:tcW w:w="4143" w:type="dxa"/>
            <w:tcBorders>
              <w:tl2br w:val="nil"/>
              <w:tr2bl w:val="nil"/>
            </w:tcBorders>
            <w:shd w:val="clear" w:color="auto" w:fill="auto"/>
            <w:vAlign w:val="top"/>
          </w:tcPr>
          <w:p w14:paraId="27CEB3F7">
            <w:pPr>
              <w:spacing w:before="0" w:after="0" w:line="240" w:lineRule="auto"/>
              <w:jc w:val="left"/>
              <w:rPr>
                <w:sz w:val="20"/>
                <w:szCs w:val="20"/>
              </w:rPr>
            </w:pPr>
            <w:r>
              <w:rPr>
                <w:rFonts w:ascii="Times New Roman" w:hAnsi="Times New Roman" w:eastAsia="Times New Roman"/>
                <w:b w:val="0"/>
                <w:sz w:val="17"/>
              </w:rPr>
              <w:t>13. Describe what was checked in piloting</w:t>
            </w:r>
          </w:p>
        </w:tc>
        <w:tc>
          <w:tcPr>
            <w:tcW w:w="4204" w:type="dxa"/>
            <w:tcBorders>
              <w:tl2br w:val="nil"/>
              <w:tr2bl w:val="nil"/>
            </w:tcBorders>
            <w:vAlign w:val="top"/>
          </w:tcPr>
          <w:p w14:paraId="392C1FFF">
            <w:pPr>
              <w:spacing w:before="0" w:after="0" w:line="240" w:lineRule="auto"/>
              <w:jc w:val="left"/>
              <w:rPr>
                <w:rFonts w:hint="eastAsia" w:eastAsia="宋体"/>
                <w:sz w:val="20"/>
                <w:szCs w:val="20"/>
                <w:lang w:eastAsia="zh-CN"/>
              </w:rPr>
            </w:pPr>
            <w:r>
              <w:rPr>
                <w:rFonts w:ascii="Times New Roman" w:hAnsi="Times New Roman" w:eastAsia="Times New Roman"/>
                <w:b w:val="0"/>
                <w:sz w:val="16"/>
              </w:rPr>
              <w:t>Page 12, lines 21</w:t>
            </w:r>
            <w:r>
              <w:rPr>
                <w:rFonts w:hint="eastAsia" w:eastAsia="宋体"/>
                <w:b w:val="0"/>
                <w:sz w:val="16"/>
                <w:lang w:val="en-US" w:eastAsia="zh-CN"/>
              </w:rPr>
              <w:t>4</w:t>
            </w:r>
            <w:r>
              <w:rPr>
                <w:rFonts w:ascii="Times New Roman" w:hAnsi="Times New Roman" w:eastAsia="Times New Roman"/>
                <w:b w:val="0"/>
                <w:sz w:val="16"/>
              </w:rPr>
              <w:t>–22</w:t>
            </w:r>
            <w:r>
              <w:rPr>
                <w:rFonts w:hint="eastAsia" w:eastAsia="宋体"/>
                <w:b w:val="0"/>
                <w:sz w:val="16"/>
                <w:lang w:val="en-US" w:eastAsia="zh-CN"/>
              </w:rPr>
              <w:t>5</w:t>
            </w:r>
          </w:p>
        </w:tc>
      </w:tr>
      <w:tr w14:paraId="701E7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47" w:type="dxa"/>
            <w:vMerge w:val="continue"/>
            <w:tcBorders>
              <w:tl2br w:val="nil"/>
              <w:tr2bl w:val="nil"/>
            </w:tcBorders>
            <w:shd w:val="clear" w:color="auto" w:fill="auto"/>
            <w:vAlign w:val="center"/>
          </w:tcPr>
          <w:p w14:paraId="69E3805A">
            <w:pPr>
              <w:spacing w:after="0" w:line="240" w:lineRule="auto"/>
              <w:jc w:val="left"/>
              <w:rPr>
                <w:sz w:val="20"/>
                <w:szCs w:val="20"/>
              </w:rPr>
            </w:pPr>
          </w:p>
        </w:tc>
        <w:tc>
          <w:tcPr>
            <w:tcW w:w="4143" w:type="dxa"/>
            <w:tcBorders>
              <w:tl2br w:val="nil"/>
              <w:tr2bl w:val="nil"/>
            </w:tcBorders>
            <w:shd w:val="clear" w:color="auto" w:fill="auto"/>
            <w:vAlign w:val="top"/>
          </w:tcPr>
          <w:p w14:paraId="0C289E36">
            <w:pPr>
              <w:spacing w:before="0" w:after="0" w:line="240" w:lineRule="auto"/>
              <w:jc w:val="left"/>
              <w:rPr>
                <w:sz w:val="20"/>
                <w:szCs w:val="20"/>
              </w:rPr>
            </w:pPr>
            <w:r>
              <w:rPr>
                <w:rFonts w:ascii="Times New Roman" w:hAnsi="Times New Roman" w:eastAsia="Times New Roman"/>
                <w:b w:val="0"/>
                <w:sz w:val="17"/>
              </w:rPr>
              <w:t>14. Report whether information from the pilot was used to update the experimental design or survey design</w:t>
            </w:r>
          </w:p>
        </w:tc>
        <w:tc>
          <w:tcPr>
            <w:tcW w:w="4204" w:type="dxa"/>
            <w:tcBorders>
              <w:tl2br w:val="nil"/>
              <w:tr2bl w:val="nil"/>
            </w:tcBorders>
            <w:vAlign w:val="top"/>
          </w:tcPr>
          <w:p w14:paraId="3C1CC5ED">
            <w:pPr>
              <w:spacing w:before="0" w:after="0" w:line="240" w:lineRule="auto"/>
              <w:jc w:val="left"/>
              <w:rPr>
                <w:sz w:val="20"/>
                <w:szCs w:val="20"/>
              </w:rPr>
            </w:pPr>
            <w:r>
              <w:rPr>
                <w:rFonts w:ascii="Times New Roman" w:hAnsi="Times New Roman" w:eastAsia="Times New Roman"/>
                <w:b w:val="0"/>
                <w:sz w:val="16"/>
              </w:rPr>
              <w:t>Page 10, lines 19</w:t>
            </w:r>
            <w:r>
              <w:rPr>
                <w:rFonts w:hint="eastAsia" w:eastAsia="宋体"/>
                <w:b w:val="0"/>
                <w:sz w:val="16"/>
                <w:lang w:val="en-US" w:eastAsia="zh-CN"/>
              </w:rPr>
              <w:t>1</w:t>
            </w:r>
            <w:r>
              <w:rPr>
                <w:rFonts w:ascii="Times New Roman" w:hAnsi="Times New Roman" w:eastAsia="Times New Roman"/>
                <w:b w:val="0"/>
                <w:sz w:val="16"/>
              </w:rPr>
              <w:t>–19</w:t>
            </w:r>
            <w:r>
              <w:rPr>
                <w:rFonts w:hint="eastAsia" w:eastAsia="宋体"/>
                <w:b w:val="0"/>
                <w:sz w:val="16"/>
                <w:lang w:val="en-US" w:eastAsia="zh-CN"/>
              </w:rPr>
              <w:t>3</w:t>
            </w:r>
            <w:r>
              <w:rPr>
                <w:rFonts w:ascii="Times New Roman" w:hAnsi="Times New Roman" w:eastAsia="Times New Roman"/>
                <w:b w:val="0"/>
                <w:sz w:val="16"/>
              </w:rPr>
              <w:t>; Page 12, lines 21</w:t>
            </w:r>
            <w:r>
              <w:rPr>
                <w:rFonts w:hint="eastAsia" w:eastAsia="宋体"/>
                <w:b w:val="0"/>
                <w:sz w:val="16"/>
                <w:lang w:val="en-US" w:eastAsia="zh-CN"/>
              </w:rPr>
              <w:t>7</w:t>
            </w:r>
            <w:r>
              <w:rPr>
                <w:rFonts w:ascii="Times New Roman" w:hAnsi="Times New Roman" w:eastAsia="Times New Roman"/>
                <w:b w:val="0"/>
                <w:sz w:val="16"/>
              </w:rPr>
              <w:t>–225</w:t>
            </w:r>
          </w:p>
        </w:tc>
      </w:tr>
      <w:tr w14:paraId="2EB9E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47" w:type="dxa"/>
            <w:vMerge w:val="restart"/>
            <w:tcBorders>
              <w:tl2br w:val="nil"/>
              <w:tr2bl w:val="nil"/>
            </w:tcBorders>
            <w:shd w:val="clear" w:color="auto" w:fill="auto"/>
            <w:vAlign w:val="top"/>
          </w:tcPr>
          <w:p w14:paraId="3465FCC8">
            <w:pPr>
              <w:spacing w:before="0" w:after="0" w:line="240" w:lineRule="auto"/>
              <w:jc w:val="left"/>
              <w:rPr>
                <w:sz w:val="20"/>
                <w:szCs w:val="20"/>
              </w:rPr>
            </w:pPr>
            <w:r>
              <w:rPr>
                <w:rFonts w:ascii="Times New Roman" w:hAnsi="Times New Roman" w:eastAsia="Times New Roman"/>
                <w:b w:val="0"/>
                <w:sz w:val="17"/>
              </w:rPr>
              <w:t>Sample and data collection</w:t>
            </w:r>
          </w:p>
        </w:tc>
        <w:tc>
          <w:tcPr>
            <w:tcW w:w="4143" w:type="dxa"/>
            <w:tcBorders>
              <w:tl2br w:val="nil"/>
              <w:tr2bl w:val="nil"/>
            </w:tcBorders>
            <w:shd w:val="clear" w:color="auto" w:fill="auto"/>
            <w:vAlign w:val="top"/>
          </w:tcPr>
          <w:p w14:paraId="3EA15256">
            <w:pPr>
              <w:spacing w:before="0" w:after="0" w:line="240" w:lineRule="auto"/>
              <w:jc w:val="left"/>
              <w:rPr>
                <w:sz w:val="20"/>
                <w:szCs w:val="20"/>
              </w:rPr>
            </w:pPr>
            <w:r>
              <w:rPr>
                <w:rFonts w:ascii="Times New Roman" w:hAnsi="Times New Roman" w:eastAsia="Times New Roman"/>
                <w:b w:val="0"/>
                <w:sz w:val="17"/>
              </w:rPr>
              <w:t>15. Report respondent inclusion/exclusion criteria</w:t>
            </w:r>
          </w:p>
        </w:tc>
        <w:tc>
          <w:tcPr>
            <w:tcW w:w="4204" w:type="dxa"/>
            <w:tcBorders>
              <w:tl2br w:val="nil"/>
              <w:tr2bl w:val="nil"/>
            </w:tcBorders>
            <w:vAlign w:val="top"/>
          </w:tcPr>
          <w:p w14:paraId="586812E3">
            <w:pPr>
              <w:spacing w:before="0" w:after="0" w:line="240" w:lineRule="auto"/>
              <w:jc w:val="left"/>
              <w:rPr>
                <w:rFonts w:hint="eastAsia" w:eastAsia="宋体"/>
                <w:sz w:val="20"/>
                <w:szCs w:val="20"/>
                <w:lang w:eastAsia="zh-CN"/>
              </w:rPr>
            </w:pPr>
            <w:r>
              <w:rPr>
                <w:rFonts w:ascii="Times New Roman" w:hAnsi="Times New Roman" w:eastAsia="Times New Roman"/>
                <w:b w:val="0"/>
                <w:sz w:val="16"/>
              </w:rPr>
              <w:t>Pages 6–7, lines 12</w:t>
            </w:r>
            <w:r>
              <w:rPr>
                <w:rFonts w:hint="eastAsia" w:eastAsia="宋体"/>
                <w:b w:val="0"/>
                <w:sz w:val="16"/>
                <w:lang w:val="en-US" w:eastAsia="zh-CN"/>
              </w:rPr>
              <w:t>4</w:t>
            </w:r>
            <w:r>
              <w:rPr>
                <w:rFonts w:ascii="Times New Roman" w:hAnsi="Times New Roman" w:eastAsia="Times New Roman"/>
                <w:b w:val="0"/>
                <w:sz w:val="16"/>
              </w:rPr>
              <w:t>–13</w:t>
            </w:r>
            <w:r>
              <w:rPr>
                <w:rFonts w:hint="eastAsia" w:eastAsia="宋体"/>
                <w:b w:val="0"/>
                <w:sz w:val="16"/>
                <w:lang w:val="en-US" w:eastAsia="zh-CN"/>
              </w:rPr>
              <w:t>1</w:t>
            </w:r>
          </w:p>
        </w:tc>
      </w:tr>
      <w:tr w14:paraId="62168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47" w:type="dxa"/>
            <w:vMerge w:val="continue"/>
            <w:tcBorders>
              <w:tl2br w:val="nil"/>
              <w:tr2bl w:val="nil"/>
            </w:tcBorders>
            <w:shd w:val="clear" w:color="auto" w:fill="auto"/>
            <w:vAlign w:val="center"/>
          </w:tcPr>
          <w:p w14:paraId="54201C16">
            <w:pPr>
              <w:spacing w:after="0" w:line="240" w:lineRule="auto"/>
              <w:jc w:val="left"/>
              <w:rPr>
                <w:sz w:val="20"/>
                <w:szCs w:val="20"/>
              </w:rPr>
            </w:pPr>
          </w:p>
        </w:tc>
        <w:tc>
          <w:tcPr>
            <w:tcW w:w="4143" w:type="dxa"/>
            <w:tcBorders>
              <w:tl2br w:val="nil"/>
              <w:tr2bl w:val="nil"/>
            </w:tcBorders>
            <w:shd w:val="clear" w:color="auto" w:fill="auto"/>
            <w:vAlign w:val="top"/>
          </w:tcPr>
          <w:p w14:paraId="7AACE13A">
            <w:pPr>
              <w:spacing w:before="0" w:after="0" w:line="240" w:lineRule="auto"/>
              <w:jc w:val="left"/>
              <w:rPr>
                <w:sz w:val="20"/>
                <w:szCs w:val="20"/>
              </w:rPr>
            </w:pPr>
            <w:r>
              <w:rPr>
                <w:rFonts w:ascii="Times New Roman" w:hAnsi="Times New Roman" w:eastAsia="Times New Roman"/>
                <w:b w:val="0"/>
                <w:sz w:val="17"/>
              </w:rPr>
              <w:t>16. Describe how data were collected</w:t>
            </w:r>
          </w:p>
        </w:tc>
        <w:tc>
          <w:tcPr>
            <w:tcW w:w="4204" w:type="dxa"/>
            <w:tcBorders>
              <w:tl2br w:val="nil"/>
              <w:tr2bl w:val="nil"/>
            </w:tcBorders>
            <w:vAlign w:val="top"/>
          </w:tcPr>
          <w:p w14:paraId="571DCB00">
            <w:pPr>
              <w:spacing w:before="0" w:after="0" w:line="240" w:lineRule="auto"/>
              <w:jc w:val="left"/>
              <w:rPr>
                <w:rFonts w:hint="eastAsia" w:eastAsia="宋体"/>
                <w:sz w:val="20"/>
                <w:szCs w:val="20"/>
                <w:lang w:eastAsia="zh-CN"/>
              </w:rPr>
            </w:pPr>
            <w:r>
              <w:rPr>
                <w:rFonts w:ascii="Times New Roman" w:hAnsi="Times New Roman" w:eastAsia="Times New Roman"/>
                <w:b w:val="0"/>
                <w:sz w:val="16"/>
              </w:rPr>
              <w:t>Pages 12–13, lines 22</w:t>
            </w:r>
            <w:r>
              <w:rPr>
                <w:rFonts w:hint="eastAsia" w:eastAsia="宋体"/>
                <w:b w:val="0"/>
                <w:sz w:val="16"/>
                <w:lang w:val="en-US" w:eastAsia="zh-CN"/>
              </w:rPr>
              <w:t>6</w:t>
            </w:r>
            <w:r>
              <w:rPr>
                <w:rFonts w:ascii="Times New Roman" w:hAnsi="Times New Roman" w:eastAsia="Times New Roman"/>
                <w:b w:val="0"/>
                <w:sz w:val="16"/>
              </w:rPr>
              <w:t>–24</w:t>
            </w:r>
            <w:r>
              <w:rPr>
                <w:rFonts w:hint="eastAsia" w:eastAsia="宋体"/>
                <w:b w:val="0"/>
                <w:sz w:val="16"/>
                <w:lang w:val="en-US" w:eastAsia="zh-CN"/>
              </w:rPr>
              <w:t>0</w:t>
            </w:r>
          </w:p>
        </w:tc>
      </w:tr>
      <w:tr w14:paraId="309AA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47" w:type="dxa"/>
            <w:vMerge w:val="continue"/>
            <w:tcBorders>
              <w:tl2br w:val="nil"/>
              <w:tr2bl w:val="nil"/>
            </w:tcBorders>
            <w:shd w:val="clear" w:color="auto" w:fill="auto"/>
            <w:vAlign w:val="center"/>
          </w:tcPr>
          <w:p w14:paraId="0271CA7A">
            <w:pPr>
              <w:spacing w:after="0" w:line="240" w:lineRule="auto"/>
              <w:jc w:val="left"/>
              <w:rPr>
                <w:sz w:val="20"/>
                <w:szCs w:val="20"/>
              </w:rPr>
            </w:pPr>
          </w:p>
        </w:tc>
        <w:tc>
          <w:tcPr>
            <w:tcW w:w="4143" w:type="dxa"/>
            <w:tcBorders>
              <w:tl2br w:val="nil"/>
              <w:tr2bl w:val="nil"/>
            </w:tcBorders>
            <w:shd w:val="clear" w:color="auto" w:fill="auto"/>
            <w:vAlign w:val="top"/>
          </w:tcPr>
          <w:p w14:paraId="01EC5126">
            <w:pPr>
              <w:spacing w:before="0" w:after="0" w:line="240" w:lineRule="auto"/>
              <w:jc w:val="left"/>
              <w:rPr>
                <w:sz w:val="20"/>
                <w:szCs w:val="20"/>
              </w:rPr>
            </w:pPr>
            <w:r>
              <w:rPr>
                <w:rFonts w:ascii="Times New Roman" w:hAnsi="Times New Roman" w:eastAsia="Times New Roman"/>
                <w:b w:val="0"/>
                <w:sz w:val="17"/>
              </w:rPr>
              <w:t>17. Report the response rate or cooperation rate, if possible</w:t>
            </w:r>
          </w:p>
        </w:tc>
        <w:tc>
          <w:tcPr>
            <w:tcW w:w="4204" w:type="dxa"/>
            <w:tcBorders>
              <w:tl2br w:val="nil"/>
              <w:tr2bl w:val="nil"/>
            </w:tcBorders>
            <w:vAlign w:val="top"/>
          </w:tcPr>
          <w:p w14:paraId="2274D10D">
            <w:pPr>
              <w:spacing w:before="0" w:after="0" w:line="240" w:lineRule="auto"/>
              <w:jc w:val="left"/>
              <w:rPr>
                <w:rFonts w:hint="eastAsia" w:eastAsia="宋体"/>
                <w:sz w:val="20"/>
                <w:szCs w:val="20"/>
                <w:lang w:eastAsia="zh-CN"/>
              </w:rPr>
            </w:pPr>
            <w:r>
              <w:rPr>
                <w:rFonts w:ascii="Times New Roman" w:hAnsi="Times New Roman" w:eastAsia="Times New Roman"/>
                <w:b w:val="0"/>
                <w:sz w:val="16"/>
              </w:rPr>
              <w:t>Page 15, lines 29</w:t>
            </w:r>
            <w:r>
              <w:rPr>
                <w:rFonts w:hint="eastAsia" w:eastAsia="宋体"/>
                <w:b w:val="0"/>
                <w:sz w:val="16"/>
                <w:lang w:val="en-US" w:eastAsia="zh-CN"/>
              </w:rPr>
              <w:t>4</w:t>
            </w:r>
            <w:r>
              <w:rPr>
                <w:rFonts w:ascii="Times New Roman" w:hAnsi="Times New Roman" w:eastAsia="Times New Roman"/>
                <w:b w:val="0"/>
                <w:sz w:val="16"/>
              </w:rPr>
              <w:t>–29</w:t>
            </w:r>
            <w:r>
              <w:rPr>
                <w:rFonts w:hint="eastAsia" w:eastAsia="宋体"/>
                <w:b w:val="0"/>
                <w:sz w:val="16"/>
                <w:lang w:val="en-US" w:eastAsia="zh-CN"/>
              </w:rPr>
              <w:t>8</w:t>
            </w:r>
          </w:p>
        </w:tc>
      </w:tr>
      <w:tr w14:paraId="1FDBD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47" w:type="dxa"/>
            <w:vMerge w:val="continue"/>
            <w:tcBorders>
              <w:tl2br w:val="nil"/>
              <w:tr2bl w:val="nil"/>
            </w:tcBorders>
            <w:shd w:val="clear" w:color="auto" w:fill="auto"/>
            <w:vAlign w:val="center"/>
          </w:tcPr>
          <w:p w14:paraId="298300FB">
            <w:pPr>
              <w:spacing w:after="0" w:line="240" w:lineRule="auto"/>
              <w:jc w:val="left"/>
              <w:rPr>
                <w:sz w:val="20"/>
                <w:szCs w:val="20"/>
              </w:rPr>
            </w:pPr>
          </w:p>
        </w:tc>
        <w:tc>
          <w:tcPr>
            <w:tcW w:w="4143" w:type="dxa"/>
            <w:tcBorders>
              <w:tl2br w:val="nil"/>
              <w:tr2bl w:val="nil"/>
            </w:tcBorders>
            <w:shd w:val="clear" w:color="auto" w:fill="auto"/>
            <w:vAlign w:val="top"/>
          </w:tcPr>
          <w:p w14:paraId="7EB23610">
            <w:pPr>
              <w:spacing w:before="0" w:after="0" w:line="240" w:lineRule="auto"/>
              <w:jc w:val="left"/>
              <w:rPr>
                <w:sz w:val="20"/>
                <w:szCs w:val="20"/>
              </w:rPr>
            </w:pPr>
            <w:r>
              <w:rPr>
                <w:rFonts w:ascii="Times New Roman" w:hAnsi="Times New Roman" w:eastAsia="Times New Roman"/>
                <w:b w:val="0"/>
                <w:sz w:val="17"/>
              </w:rPr>
              <w:t>18. Report the final sample size and how the sample size was determined</w:t>
            </w:r>
          </w:p>
        </w:tc>
        <w:tc>
          <w:tcPr>
            <w:tcW w:w="4204" w:type="dxa"/>
            <w:tcBorders>
              <w:tl2br w:val="nil"/>
              <w:tr2bl w:val="nil"/>
            </w:tcBorders>
            <w:vAlign w:val="top"/>
          </w:tcPr>
          <w:p w14:paraId="4CF30589">
            <w:pPr>
              <w:spacing w:before="0" w:after="0" w:line="240" w:lineRule="auto"/>
              <w:jc w:val="left"/>
              <w:rPr>
                <w:rFonts w:hint="eastAsia" w:eastAsia="宋体"/>
                <w:sz w:val="20"/>
                <w:szCs w:val="20"/>
                <w:lang w:eastAsia="zh-CN"/>
              </w:rPr>
            </w:pPr>
            <w:r>
              <w:rPr>
                <w:rFonts w:ascii="Times New Roman" w:hAnsi="Times New Roman" w:eastAsia="Times New Roman"/>
                <w:b w:val="0"/>
                <w:sz w:val="16"/>
              </w:rPr>
              <w:t>Page 7, lines 13</w:t>
            </w:r>
            <w:r>
              <w:rPr>
                <w:rFonts w:hint="eastAsia" w:eastAsia="宋体"/>
                <w:b w:val="0"/>
                <w:sz w:val="16"/>
                <w:lang w:val="en-US" w:eastAsia="zh-CN"/>
              </w:rPr>
              <w:t>2</w:t>
            </w:r>
            <w:r>
              <w:rPr>
                <w:rFonts w:ascii="Times New Roman" w:hAnsi="Times New Roman" w:eastAsia="Times New Roman"/>
                <w:b w:val="0"/>
                <w:sz w:val="16"/>
              </w:rPr>
              <w:t>–1</w:t>
            </w:r>
            <w:r>
              <w:rPr>
                <w:rFonts w:hint="eastAsia" w:eastAsia="宋体"/>
                <w:b w:val="0"/>
                <w:sz w:val="16"/>
                <w:lang w:val="en-US" w:eastAsia="zh-CN"/>
              </w:rPr>
              <w:t>39</w:t>
            </w:r>
            <w:r>
              <w:rPr>
                <w:rFonts w:ascii="Times New Roman" w:hAnsi="Times New Roman" w:eastAsia="Times New Roman"/>
                <w:b w:val="0"/>
                <w:sz w:val="16"/>
              </w:rPr>
              <w:t>; Page 15, lines 2</w:t>
            </w:r>
            <w:r>
              <w:rPr>
                <w:rFonts w:hint="eastAsia" w:eastAsia="宋体"/>
                <w:b w:val="0"/>
                <w:sz w:val="16"/>
                <w:lang w:val="en-US" w:eastAsia="zh-CN"/>
              </w:rPr>
              <w:t>94</w:t>
            </w:r>
            <w:r>
              <w:rPr>
                <w:rFonts w:ascii="Times New Roman" w:hAnsi="Times New Roman" w:eastAsia="Times New Roman"/>
                <w:b w:val="0"/>
                <w:sz w:val="16"/>
              </w:rPr>
              <w:t>–29</w:t>
            </w:r>
            <w:r>
              <w:rPr>
                <w:rFonts w:hint="eastAsia" w:eastAsia="宋体"/>
                <w:b w:val="0"/>
                <w:sz w:val="16"/>
                <w:lang w:val="en-US" w:eastAsia="zh-CN"/>
              </w:rPr>
              <w:t>8</w:t>
            </w:r>
          </w:p>
        </w:tc>
      </w:tr>
      <w:tr w14:paraId="0B7C7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47" w:type="dxa"/>
            <w:vMerge w:val="continue"/>
            <w:tcBorders>
              <w:tl2br w:val="nil"/>
              <w:tr2bl w:val="nil"/>
            </w:tcBorders>
            <w:shd w:val="clear" w:color="auto" w:fill="auto"/>
            <w:vAlign w:val="center"/>
          </w:tcPr>
          <w:p w14:paraId="436E3E9E">
            <w:pPr>
              <w:spacing w:after="0" w:line="240" w:lineRule="auto"/>
              <w:jc w:val="left"/>
              <w:rPr>
                <w:sz w:val="20"/>
                <w:szCs w:val="20"/>
              </w:rPr>
            </w:pPr>
          </w:p>
        </w:tc>
        <w:tc>
          <w:tcPr>
            <w:tcW w:w="4143" w:type="dxa"/>
            <w:tcBorders>
              <w:tl2br w:val="nil"/>
              <w:tr2bl w:val="nil"/>
            </w:tcBorders>
            <w:shd w:val="clear" w:color="auto" w:fill="auto"/>
            <w:vAlign w:val="top"/>
          </w:tcPr>
          <w:p w14:paraId="1F167953">
            <w:pPr>
              <w:spacing w:before="0" w:after="0" w:line="240" w:lineRule="auto"/>
              <w:jc w:val="left"/>
              <w:rPr>
                <w:sz w:val="20"/>
                <w:szCs w:val="20"/>
              </w:rPr>
            </w:pPr>
            <w:r>
              <w:rPr>
                <w:rFonts w:ascii="Times New Roman" w:hAnsi="Times New Roman" w:eastAsia="Times New Roman"/>
                <w:b w:val="0"/>
                <w:sz w:val="17"/>
              </w:rPr>
              <w:t>19. Describe respondent characteristics and representativeness of target population</w:t>
            </w:r>
          </w:p>
        </w:tc>
        <w:tc>
          <w:tcPr>
            <w:tcW w:w="4204" w:type="dxa"/>
            <w:tcBorders>
              <w:tl2br w:val="nil"/>
              <w:tr2bl w:val="nil"/>
            </w:tcBorders>
            <w:vAlign w:val="top"/>
          </w:tcPr>
          <w:p w14:paraId="4D2D0C55">
            <w:pPr>
              <w:spacing w:before="0" w:after="0" w:line="240" w:lineRule="auto"/>
              <w:jc w:val="left"/>
              <w:rPr>
                <w:rFonts w:hint="default" w:eastAsia="宋体"/>
                <w:sz w:val="20"/>
                <w:szCs w:val="20"/>
                <w:lang w:val="en-US" w:eastAsia="zh-CN"/>
              </w:rPr>
            </w:pPr>
            <w:r>
              <w:rPr>
                <w:rFonts w:ascii="Times New Roman" w:hAnsi="Times New Roman" w:eastAsia="Times New Roman"/>
                <w:b w:val="0"/>
                <w:sz w:val="16"/>
              </w:rPr>
              <w:t>Page 6, lines 11</w:t>
            </w:r>
            <w:r>
              <w:rPr>
                <w:rFonts w:hint="eastAsia" w:eastAsia="宋体"/>
                <w:b w:val="0"/>
                <w:sz w:val="16"/>
                <w:lang w:val="en-US" w:eastAsia="zh-CN"/>
              </w:rPr>
              <w:t>8</w:t>
            </w:r>
            <w:r>
              <w:rPr>
                <w:rFonts w:ascii="Times New Roman" w:hAnsi="Times New Roman" w:eastAsia="Times New Roman"/>
                <w:b w:val="0"/>
                <w:sz w:val="16"/>
              </w:rPr>
              <w:t>–1</w:t>
            </w:r>
            <w:r>
              <w:rPr>
                <w:rFonts w:hint="eastAsia" w:eastAsia="宋体"/>
                <w:b w:val="0"/>
                <w:sz w:val="16"/>
                <w:lang w:val="en-US" w:eastAsia="zh-CN"/>
              </w:rPr>
              <w:t>31</w:t>
            </w:r>
            <w:r>
              <w:rPr>
                <w:rFonts w:ascii="Times New Roman" w:hAnsi="Times New Roman" w:eastAsia="Times New Roman"/>
                <w:b w:val="0"/>
                <w:sz w:val="16"/>
              </w:rPr>
              <w:t>; Pages 15–18, lines 29</w:t>
            </w:r>
            <w:r>
              <w:rPr>
                <w:rFonts w:hint="eastAsia" w:eastAsia="宋体"/>
                <w:b w:val="0"/>
                <w:sz w:val="16"/>
                <w:lang w:val="en-US" w:eastAsia="zh-CN"/>
              </w:rPr>
              <w:t>4</w:t>
            </w:r>
            <w:r>
              <w:rPr>
                <w:rFonts w:ascii="Times New Roman" w:hAnsi="Times New Roman" w:eastAsia="Times New Roman"/>
                <w:b w:val="0"/>
                <w:sz w:val="16"/>
              </w:rPr>
              <w:t>–3</w:t>
            </w:r>
            <w:r>
              <w:rPr>
                <w:rFonts w:hint="eastAsia" w:eastAsia="宋体"/>
                <w:b w:val="0"/>
                <w:sz w:val="16"/>
                <w:lang w:val="en-US" w:eastAsia="zh-CN"/>
              </w:rPr>
              <w:t>09</w:t>
            </w:r>
          </w:p>
        </w:tc>
      </w:tr>
      <w:tr w14:paraId="27A86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47" w:type="dxa"/>
            <w:vMerge w:val="restart"/>
            <w:tcBorders>
              <w:tl2br w:val="nil"/>
              <w:tr2bl w:val="nil"/>
            </w:tcBorders>
            <w:shd w:val="clear" w:color="auto" w:fill="auto"/>
            <w:vAlign w:val="top"/>
          </w:tcPr>
          <w:p w14:paraId="3395E671">
            <w:pPr>
              <w:spacing w:before="0" w:after="0" w:line="240" w:lineRule="auto"/>
              <w:jc w:val="left"/>
              <w:rPr>
                <w:sz w:val="20"/>
                <w:szCs w:val="20"/>
              </w:rPr>
            </w:pPr>
            <w:r>
              <w:rPr>
                <w:rFonts w:ascii="Times New Roman" w:hAnsi="Times New Roman" w:eastAsia="Times New Roman"/>
                <w:b w:val="0"/>
                <w:sz w:val="17"/>
              </w:rPr>
              <w:t>Econometric analysis</w:t>
            </w:r>
          </w:p>
        </w:tc>
        <w:tc>
          <w:tcPr>
            <w:tcW w:w="4143" w:type="dxa"/>
            <w:tcBorders>
              <w:tl2br w:val="nil"/>
              <w:tr2bl w:val="nil"/>
            </w:tcBorders>
            <w:shd w:val="clear" w:color="auto" w:fill="auto"/>
            <w:vAlign w:val="top"/>
          </w:tcPr>
          <w:p w14:paraId="700CC064">
            <w:pPr>
              <w:spacing w:before="0" w:after="0" w:line="240" w:lineRule="auto"/>
              <w:jc w:val="left"/>
              <w:rPr>
                <w:sz w:val="20"/>
                <w:szCs w:val="20"/>
              </w:rPr>
            </w:pPr>
            <w:r>
              <w:rPr>
                <w:rFonts w:ascii="Times New Roman" w:hAnsi="Times New Roman" w:eastAsia="Times New Roman"/>
                <w:b w:val="0"/>
                <w:sz w:val="17"/>
              </w:rPr>
              <w:t>20. Indicate coding of data including definitions</w:t>
            </w:r>
          </w:p>
        </w:tc>
        <w:tc>
          <w:tcPr>
            <w:tcW w:w="4204" w:type="dxa"/>
            <w:tcBorders>
              <w:tl2br w:val="nil"/>
              <w:tr2bl w:val="nil"/>
            </w:tcBorders>
            <w:vAlign w:val="top"/>
          </w:tcPr>
          <w:p w14:paraId="3E7111F5">
            <w:pPr>
              <w:spacing w:before="0" w:after="0" w:line="240" w:lineRule="auto"/>
              <w:jc w:val="left"/>
              <w:rPr>
                <w:rFonts w:hint="eastAsia" w:eastAsia="宋体"/>
                <w:sz w:val="20"/>
                <w:szCs w:val="20"/>
                <w:lang w:eastAsia="zh-CN"/>
              </w:rPr>
            </w:pPr>
            <w:r>
              <w:rPr>
                <w:rFonts w:ascii="Times New Roman" w:hAnsi="Times New Roman" w:eastAsia="Times New Roman"/>
                <w:b w:val="0"/>
                <w:sz w:val="16"/>
              </w:rPr>
              <w:t>Pages 13–14, lines 24</w:t>
            </w:r>
            <w:r>
              <w:rPr>
                <w:rFonts w:hint="eastAsia" w:eastAsia="宋体"/>
                <w:b w:val="0"/>
                <w:sz w:val="16"/>
                <w:lang w:val="en-US" w:eastAsia="zh-CN"/>
              </w:rPr>
              <w:t>6</w:t>
            </w:r>
            <w:r>
              <w:rPr>
                <w:rFonts w:ascii="Times New Roman" w:hAnsi="Times New Roman" w:eastAsia="Times New Roman"/>
                <w:b w:val="0"/>
                <w:sz w:val="16"/>
              </w:rPr>
              <w:t>–26</w:t>
            </w:r>
            <w:r>
              <w:rPr>
                <w:rFonts w:hint="eastAsia" w:eastAsia="宋体"/>
                <w:b w:val="0"/>
                <w:sz w:val="16"/>
                <w:lang w:val="en-US" w:eastAsia="zh-CN"/>
              </w:rPr>
              <w:t>3</w:t>
            </w:r>
            <w:r>
              <w:rPr>
                <w:rFonts w:ascii="Times New Roman" w:hAnsi="Times New Roman" w:eastAsia="Times New Roman"/>
                <w:b w:val="0"/>
                <w:sz w:val="16"/>
              </w:rPr>
              <w:t>; Pages 20–22, lines 34</w:t>
            </w:r>
            <w:r>
              <w:rPr>
                <w:rFonts w:hint="eastAsia" w:eastAsia="宋体"/>
                <w:b w:val="0"/>
                <w:sz w:val="16"/>
                <w:lang w:val="en-US" w:eastAsia="zh-CN"/>
              </w:rPr>
              <w:t>7</w:t>
            </w:r>
            <w:r>
              <w:rPr>
                <w:rFonts w:ascii="Times New Roman" w:hAnsi="Times New Roman" w:eastAsia="Times New Roman"/>
                <w:b w:val="0"/>
                <w:sz w:val="16"/>
              </w:rPr>
              <w:t>–35</w:t>
            </w:r>
            <w:r>
              <w:rPr>
                <w:rFonts w:hint="eastAsia" w:eastAsia="宋体"/>
                <w:b w:val="0"/>
                <w:sz w:val="16"/>
                <w:lang w:val="en-US" w:eastAsia="zh-CN"/>
              </w:rPr>
              <w:t>3</w:t>
            </w:r>
          </w:p>
        </w:tc>
      </w:tr>
      <w:tr w14:paraId="36FAF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47" w:type="dxa"/>
            <w:vMerge w:val="continue"/>
            <w:tcBorders>
              <w:tl2br w:val="nil"/>
              <w:tr2bl w:val="nil"/>
            </w:tcBorders>
            <w:shd w:val="clear" w:color="auto" w:fill="auto"/>
            <w:vAlign w:val="center"/>
          </w:tcPr>
          <w:p w14:paraId="3280D8B4">
            <w:pPr>
              <w:spacing w:after="0" w:line="240" w:lineRule="auto"/>
              <w:jc w:val="left"/>
              <w:rPr>
                <w:sz w:val="20"/>
                <w:szCs w:val="20"/>
              </w:rPr>
            </w:pPr>
          </w:p>
        </w:tc>
        <w:tc>
          <w:tcPr>
            <w:tcW w:w="4143" w:type="dxa"/>
            <w:tcBorders>
              <w:tl2br w:val="nil"/>
              <w:tr2bl w:val="nil"/>
            </w:tcBorders>
            <w:shd w:val="clear" w:color="auto" w:fill="auto"/>
            <w:vAlign w:val="top"/>
          </w:tcPr>
          <w:p w14:paraId="5781E0A7">
            <w:pPr>
              <w:spacing w:before="0" w:after="0" w:line="240" w:lineRule="auto"/>
              <w:jc w:val="left"/>
              <w:rPr>
                <w:sz w:val="20"/>
                <w:szCs w:val="20"/>
              </w:rPr>
            </w:pPr>
            <w:r>
              <w:rPr>
                <w:rFonts w:ascii="Times New Roman" w:hAnsi="Times New Roman" w:eastAsia="Times New Roman"/>
                <w:b w:val="0"/>
                <w:sz w:val="17"/>
              </w:rPr>
              <w:t>21. Report whether any respondents were removed and why</w:t>
            </w:r>
          </w:p>
        </w:tc>
        <w:tc>
          <w:tcPr>
            <w:tcW w:w="4204" w:type="dxa"/>
            <w:tcBorders>
              <w:tl2br w:val="nil"/>
              <w:tr2bl w:val="nil"/>
            </w:tcBorders>
            <w:vAlign w:val="top"/>
          </w:tcPr>
          <w:p w14:paraId="3C0A4F2C">
            <w:pPr>
              <w:spacing w:before="0" w:after="0" w:line="240" w:lineRule="auto"/>
              <w:jc w:val="left"/>
              <w:rPr>
                <w:rFonts w:hint="eastAsia" w:eastAsia="宋体"/>
                <w:sz w:val="20"/>
                <w:szCs w:val="20"/>
                <w:lang w:eastAsia="zh-CN"/>
              </w:rPr>
            </w:pPr>
            <w:r>
              <w:rPr>
                <w:rFonts w:ascii="Times New Roman" w:hAnsi="Times New Roman" w:eastAsia="Times New Roman"/>
                <w:b w:val="0"/>
                <w:sz w:val="16"/>
              </w:rPr>
              <w:t>Page 11, lines 20</w:t>
            </w:r>
            <w:r>
              <w:rPr>
                <w:rFonts w:hint="eastAsia" w:eastAsia="宋体"/>
                <w:b w:val="0"/>
                <w:sz w:val="16"/>
                <w:lang w:val="en-US" w:eastAsia="zh-CN"/>
              </w:rPr>
              <w:t>1</w:t>
            </w:r>
            <w:r>
              <w:rPr>
                <w:rFonts w:ascii="Times New Roman" w:hAnsi="Times New Roman" w:eastAsia="Times New Roman"/>
                <w:b w:val="0"/>
                <w:sz w:val="16"/>
              </w:rPr>
              <w:t>–20</w:t>
            </w:r>
            <w:r>
              <w:rPr>
                <w:rFonts w:hint="eastAsia" w:eastAsia="宋体"/>
                <w:b w:val="0"/>
                <w:sz w:val="16"/>
                <w:lang w:val="en-US" w:eastAsia="zh-CN"/>
              </w:rPr>
              <w:t>9</w:t>
            </w:r>
            <w:r>
              <w:rPr>
                <w:rFonts w:ascii="Times New Roman" w:hAnsi="Times New Roman" w:eastAsia="Times New Roman"/>
                <w:b w:val="0"/>
                <w:sz w:val="16"/>
              </w:rPr>
              <w:t>; Page 13, lines</w:t>
            </w:r>
            <w:r>
              <w:rPr>
                <w:rFonts w:ascii="Times New Roman" w:hAnsi="Times New Roman" w:eastAsia="Times New Roman"/>
                <w:b w:val="0"/>
                <w:bCs w:val="0"/>
                <w:sz w:val="16"/>
              </w:rPr>
              <w:t xml:space="preserve"> 23</w:t>
            </w:r>
            <w:r>
              <w:rPr>
                <w:rFonts w:hint="eastAsia" w:eastAsia="宋体"/>
                <w:b w:val="0"/>
                <w:bCs w:val="0"/>
                <w:sz w:val="16"/>
                <w:lang w:val="en-US" w:eastAsia="zh-CN"/>
              </w:rPr>
              <w:t>7</w:t>
            </w:r>
            <w:r>
              <w:rPr>
                <w:rFonts w:ascii="Times New Roman" w:hAnsi="Times New Roman" w:eastAsia="Times New Roman"/>
                <w:b w:val="0"/>
                <w:bCs w:val="0"/>
                <w:sz w:val="16"/>
              </w:rPr>
              <w:t>–24</w:t>
            </w:r>
            <w:r>
              <w:rPr>
                <w:rFonts w:hint="eastAsia" w:eastAsia="宋体"/>
                <w:b w:val="0"/>
                <w:bCs w:val="0"/>
                <w:sz w:val="16"/>
                <w:lang w:val="en-US" w:eastAsia="zh-CN"/>
              </w:rPr>
              <w:t>0</w:t>
            </w:r>
            <w:r>
              <w:rPr>
                <w:rFonts w:ascii="Times New Roman" w:hAnsi="Times New Roman" w:eastAsia="Times New Roman"/>
                <w:b w:val="0"/>
                <w:sz w:val="16"/>
              </w:rPr>
              <w:t>; Page 15, lines 29</w:t>
            </w:r>
            <w:r>
              <w:rPr>
                <w:rFonts w:hint="eastAsia" w:eastAsia="宋体"/>
                <w:b w:val="0"/>
                <w:sz w:val="16"/>
                <w:lang w:val="en-US" w:eastAsia="zh-CN"/>
              </w:rPr>
              <w:t>4</w:t>
            </w:r>
            <w:r>
              <w:rPr>
                <w:rFonts w:ascii="Times New Roman" w:hAnsi="Times New Roman" w:eastAsia="Times New Roman"/>
                <w:b w:val="0"/>
                <w:sz w:val="16"/>
              </w:rPr>
              <w:t>–29</w:t>
            </w:r>
            <w:r>
              <w:rPr>
                <w:rFonts w:hint="eastAsia" w:eastAsia="宋体"/>
                <w:b w:val="0"/>
                <w:sz w:val="16"/>
                <w:lang w:val="en-US" w:eastAsia="zh-CN"/>
              </w:rPr>
              <w:t>8</w:t>
            </w:r>
          </w:p>
        </w:tc>
      </w:tr>
      <w:tr w14:paraId="3A502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47" w:type="dxa"/>
            <w:vMerge w:val="continue"/>
            <w:tcBorders>
              <w:tl2br w:val="nil"/>
              <w:tr2bl w:val="nil"/>
            </w:tcBorders>
            <w:shd w:val="clear" w:color="auto" w:fill="auto"/>
            <w:vAlign w:val="center"/>
          </w:tcPr>
          <w:p w14:paraId="2B6B225F">
            <w:pPr>
              <w:spacing w:after="0" w:line="240" w:lineRule="auto"/>
              <w:jc w:val="left"/>
              <w:rPr>
                <w:sz w:val="20"/>
                <w:szCs w:val="20"/>
              </w:rPr>
            </w:pPr>
          </w:p>
        </w:tc>
        <w:tc>
          <w:tcPr>
            <w:tcW w:w="4143" w:type="dxa"/>
            <w:tcBorders>
              <w:tl2br w:val="nil"/>
              <w:tr2bl w:val="nil"/>
            </w:tcBorders>
            <w:shd w:val="clear" w:color="auto" w:fill="auto"/>
            <w:vAlign w:val="top"/>
          </w:tcPr>
          <w:p w14:paraId="2E733642">
            <w:pPr>
              <w:spacing w:before="0" w:after="0" w:line="240" w:lineRule="auto"/>
              <w:jc w:val="left"/>
              <w:rPr>
                <w:sz w:val="20"/>
                <w:szCs w:val="20"/>
              </w:rPr>
            </w:pPr>
            <w:r>
              <w:rPr>
                <w:rFonts w:ascii="Times New Roman" w:hAnsi="Times New Roman" w:eastAsia="Times New Roman"/>
                <w:b w:val="0"/>
                <w:sz w:val="17"/>
              </w:rPr>
              <w:t>22. Provide the rationale for model choice and assumptions</w:t>
            </w:r>
          </w:p>
        </w:tc>
        <w:tc>
          <w:tcPr>
            <w:tcW w:w="4204" w:type="dxa"/>
            <w:tcBorders>
              <w:tl2br w:val="nil"/>
              <w:tr2bl w:val="nil"/>
            </w:tcBorders>
            <w:vAlign w:val="top"/>
          </w:tcPr>
          <w:p w14:paraId="1835145B">
            <w:pPr>
              <w:spacing w:before="0" w:after="0" w:line="240" w:lineRule="auto"/>
              <w:jc w:val="left"/>
              <w:rPr>
                <w:sz w:val="20"/>
                <w:szCs w:val="20"/>
              </w:rPr>
            </w:pPr>
            <w:r>
              <w:rPr>
                <w:rFonts w:ascii="Times New Roman" w:hAnsi="Times New Roman" w:eastAsia="Times New Roman"/>
                <w:b w:val="0"/>
                <w:sz w:val="16"/>
              </w:rPr>
              <w:t>Pages 13–14, lines 25</w:t>
            </w:r>
            <w:r>
              <w:rPr>
                <w:rFonts w:hint="eastAsia" w:eastAsia="宋体"/>
                <w:b w:val="0"/>
                <w:sz w:val="16"/>
                <w:lang w:val="en-US" w:eastAsia="zh-CN"/>
              </w:rPr>
              <w:t>1</w:t>
            </w:r>
            <w:r>
              <w:rPr>
                <w:rFonts w:ascii="Times New Roman" w:hAnsi="Times New Roman" w:eastAsia="Times New Roman"/>
                <w:b w:val="0"/>
                <w:sz w:val="16"/>
              </w:rPr>
              <w:t>–271</w:t>
            </w:r>
          </w:p>
        </w:tc>
      </w:tr>
      <w:tr w14:paraId="374DB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47" w:type="dxa"/>
            <w:vMerge w:val="continue"/>
            <w:tcBorders>
              <w:tl2br w:val="nil"/>
              <w:tr2bl w:val="nil"/>
            </w:tcBorders>
            <w:shd w:val="clear" w:color="auto" w:fill="auto"/>
            <w:vAlign w:val="center"/>
          </w:tcPr>
          <w:p w14:paraId="13E014A3">
            <w:pPr>
              <w:spacing w:after="0" w:line="240" w:lineRule="auto"/>
              <w:jc w:val="left"/>
              <w:rPr>
                <w:sz w:val="20"/>
                <w:szCs w:val="20"/>
              </w:rPr>
            </w:pPr>
          </w:p>
        </w:tc>
        <w:tc>
          <w:tcPr>
            <w:tcW w:w="4143" w:type="dxa"/>
            <w:tcBorders>
              <w:tl2br w:val="nil"/>
              <w:tr2bl w:val="nil"/>
            </w:tcBorders>
            <w:shd w:val="clear" w:color="auto" w:fill="auto"/>
            <w:vAlign w:val="top"/>
          </w:tcPr>
          <w:p w14:paraId="6C2BDD71">
            <w:pPr>
              <w:spacing w:before="0" w:after="0" w:line="240" w:lineRule="auto"/>
              <w:jc w:val="left"/>
              <w:rPr>
                <w:sz w:val="20"/>
                <w:szCs w:val="20"/>
              </w:rPr>
            </w:pPr>
            <w:r>
              <w:rPr>
                <w:rFonts w:ascii="Times New Roman" w:hAnsi="Times New Roman" w:eastAsia="Times New Roman"/>
                <w:b w:val="0"/>
                <w:sz w:val="17"/>
              </w:rPr>
              <w:t>23. Report model specification</w:t>
            </w:r>
          </w:p>
        </w:tc>
        <w:tc>
          <w:tcPr>
            <w:tcW w:w="4204" w:type="dxa"/>
            <w:tcBorders>
              <w:tl2br w:val="nil"/>
              <w:tr2bl w:val="nil"/>
            </w:tcBorders>
            <w:vAlign w:val="top"/>
          </w:tcPr>
          <w:p w14:paraId="4E61B2D1">
            <w:pPr>
              <w:spacing w:before="0" w:after="0" w:line="240" w:lineRule="auto"/>
              <w:jc w:val="left"/>
              <w:rPr>
                <w:rFonts w:hint="eastAsia" w:eastAsia="宋体"/>
                <w:sz w:val="20"/>
                <w:szCs w:val="20"/>
                <w:lang w:eastAsia="zh-CN"/>
              </w:rPr>
            </w:pPr>
            <w:r>
              <w:rPr>
                <w:rFonts w:ascii="Times New Roman" w:hAnsi="Times New Roman" w:eastAsia="Times New Roman"/>
                <w:b w:val="0"/>
                <w:sz w:val="16"/>
              </w:rPr>
              <w:t>Pages 13–15, lines 24</w:t>
            </w:r>
            <w:r>
              <w:rPr>
                <w:rFonts w:hint="eastAsia" w:eastAsia="宋体"/>
                <w:b w:val="0"/>
                <w:sz w:val="16"/>
                <w:lang w:val="en-US" w:eastAsia="zh-CN"/>
              </w:rPr>
              <w:t>6</w:t>
            </w:r>
            <w:r>
              <w:rPr>
                <w:rFonts w:ascii="Times New Roman" w:hAnsi="Times New Roman" w:eastAsia="Times New Roman"/>
                <w:b w:val="0"/>
                <w:sz w:val="16"/>
              </w:rPr>
              <w:t>–29</w:t>
            </w:r>
            <w:r>
              <w:rPr>
                <w:rFonts w:hint="eastAsia" w:eastAsia="宋体"/>
                <w:b w:val="0"/>
                <w:sz w:val="16"/>
                <w:lang w:val="en-US" w:eastAsia="zh-CN"/>
              </w:rPr>
              <w:t>1</w:t>
            </w:r>
          </w:p>
        </w:tc>
      </w:tr>
      <w:tr w14:paraId="01304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47" w:type="dxa"/>
            <w:vMerge w:val="restart"/>
            <w:tcBorders>
              <w:tl2br w:val="nil"/>
              <w:tr2bl w:val="nil"/>
            </w:tcBorders>
            <w:shd w:val="clear" w:color="auto" w:fill="auto"/>
            <w:vAlign w:val="top"/>
          </w:tcPr>
          <w:p w14:paraId="09B543C0">
            <w:pPr>
              <w:spacing w:before="0" w:after="0" w:line="240" w:lineRule="auto"/>
              <w:jc w:val="left"/>
              <w:rPr>
                <w:sz w:val="20"/>
                <w:szCs w:val="20"/>
              </w:rPr>
            </w:pPr>
            <w:r>
              <w:rPr>
                <w:rFonts w:ascii="Times New Roman" w:hAnsi="Times New Roman" w:eastAsia="Times New Roman"/>
                <w:b w:val="0"/>
                <w:sz w:val="17"/>
              </w:rPr>
              <w:t>Reporting of results</w:t>
            </w:r>
          </w:p>
        </w:tc>
        <w:tc>
          <w:tcPr>
            <w:tcW w:w="4143" w:type="dxa"/>
            <w:tcBorders>
              <w:tl2br w:val="nil"/>
              <w:tr2bl w:val="nil"/>
            </w:tcBorders>
            <w:shd w:val="clear" w:color="auto" w:fill="auto"/>
            <w:vAlign w:val="top"/>
          </w:tcPr>
          <w:p w14:paraId="616C6807">
            <w:pPr>
              <w:spacing w:before="0" w:after="0" w:line="240" w:lineRule="auto"/>
              <w:jc w:val="left"/>
              <w:rPr>
                <w:sz w:val="20"/>
                <w:szCs w:val="20"/>
              </w:rPr>
            </w:pPr>
            <w:r>
              <w:rPr>
                <w:rFonts w:ascii="Times New Roman" w:hAnsi="Times New Roman" w:eastAsia="Times New Roman"/>
                <w:b w:val="0"/>
                <w:sz w:val="17"/>
              </w:rPr>
              <w:t>24. Report the model performance/goodness of fit</w:t>
            </w:r>
          </w:p>
        </w:tc>
        <w:tc>
          <w:tcPr>
            <w:tcW w:w="4204" w:type="dxa"/>
            <w:tcBorders>
              <w:tl2br w:val="nil"/>
              <w:tr2bl w:val="nil"/>
            </w:tcBorders>
            <w:vAlign w:val="top"/>
          </w:tcPr>
          <w:p w14:paraId="582D1D86">
            <w:pPr>
              <w:spacing w:before="0" w:after="0" w:line="240" w:lineRule="auto"/>
              <w:jc w:val="left"/>
              <w:rPr>
                <w:rFonts w:hint="eastAsia" w:eastAsia="宋体"/>
                <w:sz w:val="20"/>
                <w:szCs w:val="20"/>
                <w:lang w:eastAsia="zh-CN"/>
              </w:rPr>
            </w:pPr>
            <w:r>
              <w:rPr>
                <w:rFonts w:ascii="Times New Roman" w:hAnsi="Times New Roman" w:eastAsia="Times New Roman"/>
                <w:b w:val="0"/>
                <w:sz w:val="16"/>
              </w:rPr>
              <w:t>Page 18, lines 31</w:t>
            </w:r>
            <w:r>
              <w:rPr>
                <w:rFonts w:hint="eastAsia" w:eastAsia="宋体"/>
                <w:b w:val="0"/>
                <w:sz w:val="16"/>
                <w:lang w:val="en-US" w:eastAsia="zh-CN"/>
              </w:rPr>
              <w:t>2</w:t>
            </w:r>
            <w:r>
              <w:rPr>
                <w:rFonts w:ascii="Times New Roman" w:hAnsi="Times New Roman" w:eastAsia="Times New Roman"/>
                <w:b w:val="0"/>
                <w:sz w:val="16"/>
              </w:rPr>
              <w:t>–31</w:t>
            </w:r>
            <w:r>
              <w:rPr>
                <w:rFonts w:hint="eastAsia" w:eastAsia="宋体"/>
                <w:b w:val="0"/>
                <w:sz w:val="16"/>
                <w:lang w:val="en-US" w:eastAsia="zh-CN"/>
              </w:rPr>
              <w:t>6</w:t>
            </w:r>
            <w:r>
              <w:rPr>
                <w:rFonts w:ascii="Times New Roman" w:hAnsi="Times New Roman" w:eastAsia="Times New Roman"/>
                <w:b w:val="0"/>
                <w:sz w:val="16"/>
              </w:rPr>
              <w:t>; Pages 20–22, lines 34</w:t>
            </w:r>
            <w:r>
              <w:rPr>
                <w:rFonts w:hint="eastAsia" w:eastAsia="宋体"/>
                <w:b w:val="0"/>
                <w:sz w:val="16"/>
                <w:lang w:val="en-US" w:eastAsia="zh-CN"/>
              </w:rPr>
              <w:t>7</w:t>
            </w:r>
            <w:r>
              <w:rPr>
                <w:rFonts w:ascii="Times New Roman" w:hAnsi="Times New Roman" w:eastAsia="Times New Roman"/>
                <w:b w:val="0"/>
                <w:sz w:val="16"/>
              </w:rPr>
              <w:t>–35</w:t>
            </w:r>
            <w:r>
              <w:rPr>
                <w:rFonts w:hint="eastAsia" w:eastAsia="宋体"/>
                <w:b w:val="0"/>
                <w:sz w:val="16"/>
                <w:lang w:val="en-US" w:eastAsia="zh-CN"/>
              </w:rPr>
              <w:t>3</w:t>
            </w:r>
          </w:p>
        </w:tc>
      </w:tr>
      <w:tr w14:paraId="45AA7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47" w:type="dxa"/>
            <w:vMerge w:val="continue"/>
            <w:tcBorders>
              <w:tl2br w:val="nil"/>
              <w:tr2bl w:val="nil"/>
            </w:tcBorders>
            <w:shd w:val="clear" w:color="auto" w:fill="auto"/>
            <w:vAlign w:val="center"/>
          </w:tcPr>
          <w:p w14:paraId="2896B470">
            <w:pPr>
              <w:spacing w:after="0" w:line="240" w:lineRule="auto"/>
              <w:jc w:val="left"/>
              <w:rPr>
                <w:sz w:val="20"/>
                <w:szCs w:val="20"/>
              </w:rPr>
            </w:pPr>
          </w:p>
        </w:tc>
        <w:tc>
          <w:tcPr>
            <w:tcW w:w="4143" w:type="dxa"/>
            <w:tcBorders>
              <w:tl2br w:val="nil"/>
              <w:tr2bl w:val="nil"/>
            </w:tcBorders>
            <w:shd w:val="clear" w:color="auto" w:fill="auto"/>
            <w:vAlign w:val="top"/>
          </w:tcPr>
          <w:p w14:paraId="54261B64">
            <w:pPr>
              <w:spacing w:before="0" w:after="0" w:line="240" w:lineRule="auto"/>
              <w:jc w:val="left"/>
              <w:rPr>
                <w:sz w:val="20"/>
                <w:szCs w:val="20"/>
              </w:rPr>
            </w:pPr>
            <w:r>
              <w:rPr>
                <w:rFonts w:ascii="Times New Roman" w:hAnsi="Times New Roman" w:eastAsia="Times New Roman"/>
                <w:b w:val="0"/>
                <w:sz w:val="17"/>
              </w:rPr>
              <w:t>25. Describe methods used for analysis of model results</w:t>
            </w:r>
          </w:p>
        </w:tc>
        <w:tc>
          <w:tcPr>
            <w:tcW w:w="4204" w:type="dxa"/>
            <w:tcBorders>
              <w:tl2br w:val="nil"/>
              <w:tr2bl w:val="nil"/>
            </w:tcBorders>
            <w:vAlign w:val="top"/>
          </w:tcPr>
          <w:p w14:paraId="2BDAB201">
            <w:pPr>
              <w:spacing w:before="0" w:after="0" w:line="240" w:lineRule="auto"/>
              <w:jc w:val="left"/>
              <w:rPr>
                <w:rFonts w:hint="eastAsia" w:eastAsia="宋体"/>
                <w:sz w:val="20"/>
                <w:szCs w:val="20"/>
                <w:lang w:eastAsia="zh-CN"/>
              </w:rPr>
            </w:pPr>
            <w:r>
              <w:rPr>
                <w:rFonts w:ascii="Times New Roman" w:hAnsi="Times New Roman" w:eastAsia="Times New Roman"/>
                <w:b w:val="0"/>
                <w:sz w:val="16"/>
              </w:rPr>
              <w:t>Pages 14–15, lines 2</w:t>
            </w:r>
            <w:r>
              <w:rPr>
                <w:rFonts w:hint="eastAsia" w:eastAsia="宋体"/>
                <w:b w:val="0"/>
                <w:sz w:val="16"/>
                <w:lang w:val="en-US" w:eastAsia="zh-CN"/>
              </w:rPr>
              <w:t>46</w:t>
            </w:r>
            <w:r>
              <w:rPr>
                <w:rFonts w:ascii="Times New Roman" w:hAnsi="Times New Roman" w:eastAsia="Times New Roman"/>
                <w:b w:val="0"/>
                <w:sz w:val="16"/>
              </w:rPr>
              <w:t>–29</w:t>
            </w:r>
            <w:r>
              <w:rPr>
                <w:rFonts w:hint="eastAsia" w:eastAsia="宋体"/>
                <w:b w:val="0"/>
                <w:sz w:val="16"/>
                <w:lang w:val="en-US" w:eastAsia="zh-CN"/>
              </w:rPr>
              <w:t>1</w:t>
            </w:r>
          </w:p>
        </w:tc>
      </w:tr>
      <w:tr w14:paraId="6FE06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47" w:type="dxa"/>
            <w:vMerge w:val="continue"/>
            <w:tcBorders>
              <w:tl2br w:val="nil"/>
              <w:tr2bl w:val="nil"/>
            </w:tcBorders>
            <w:shd w:val="clear" w:color="auto" w:fill="auto"/>
            <w:vAlign w:val="center"/>
          </w:tcPr>
          <w:p w14:paraId="7423EA9C">
            <w:pPr>
              <w:spacing w:after="0" w:line="240" w:lineRule="auto"/>
              <w:jc w:val="left"/>
              <w:rPr>
                <w:sz w:val="20"/>
                <w:szCs w:val="20"/>
              </w:rPr>
            </w:pPr>
          </w:p>
        </w:tc>
        <w:tc>
          <w:tcPr>
            <w:tcW w:w="4143" w:type="dxa"/>
            <w:tcBorders>
              <w:tl2br w:val="nil"/>
              <w:tr2bl w:val="nil"/>
            </w:tcBorders>
            <w:shd w:val="clear" w:color="auto" w:fill="auto"/>
            <w:vAlign w:val="top"/>
          </w:tcPr>
          <w:p w14:paraId="42C8C32E">
            <w:pPr>
              <w:spacing w:before="0" w:after="0" w:line="240" w:lineRule="auto"/>
              <w:jc w:val="left"/>
              <w:rPr>
                <w:sz w:val="20"/>
                <w:szCs w:val="20"/>
              </w:rPr>
            </w:pPr>
            <w:r>
              <w:rPr>
                <w:rFonts w:ascii="Times New Roman" w:hAnsi="Times New Roman" w:eastAsia="Times New Roman"/>
                <w:b w:val="0"/>
                <w:sz w:val="17"/>
              </w:rPr>
              <w:t>26. Report measures of precision and how these were derived</w:t>
            </w:r>
          </w:p>
        </w:tc>
        <w:tc>
          <w:tcPr>
            <w:tcW w:w="4204" w:type="dxa"/>
            <w:tcBorders>
              <w:tl2br w:val="nil"/>
              <w:tr2bl w:val="nil"/>
            </w:tcBorders>
            <w:vAlign w:val="top"/>
          </w:tcPr>
          <w:p w14:paraId="359B58D1">
            <w:pPr>
              <w:spacing w:before="0" w:after="0" w:line="240" w:lineRule="auto"/>
              <w:jc w:val="left"/>
              <w:rPr>
                <w:rFonts w:hint="eastAsia" w:eastAsia="宋体"/>
                <w:sz w:val="20"/>
                <w:szCs w:val="20"/>
                <w:lang w:eastAsia="zh-CN"/>
              </w:rPr>
            </w:pPr>
            <w:r>
              <w:rPr>
                <w:rFonts w:ascii="Times New Roman" w:hAnsi="Times New Roman" w:eastAsia="Times New Roman"/>
                <w:sz w:val="16"/>
              </w:rPr>
              <w:t>Pages 13–14, lines 25</w:t>
            </w:r>
            <w:r>
              <w:rPr>
                <w:rFonts w:hint="eastAsia" w:eastAsia="宋体"/>
                <w:sz w:val="16"/>
                <w:lang w:val="en-US" w:eastAsia="zh-CN"/>
              </w:rPr>
              <w:t>3</w:t>
            </w:r>
            <w:r>
              <w:rPr>
                <w:rFonts w:ascii="Times New Roman" w:hAnsi="Times New Roman" w:eastAsia="Times New Roman"/>
                <w:sz w:val="16"/>
              </w:rPr>
              <w:t>–27</w:t>
            </w:r>
            <w:r>
              <w:rPr>
                <w:rFonts w:hint="eastAsia" w:eastAsia="宋体"/>
                <w:sz w:val="16"/>
                <w:lang w:val="en-US" w:eastAsia="zh-CN"/>
              </w:rPr>
              <w:t>5</w:t>
            </w:r>
            <w:r>
              <w:rPr>
                <w:rFonts w:ascii="Times New Roman" w:hAnsi="Times New Roman" w:eastAsia="Times New Roman"/>
                <w:sz w:val="16"/>
              </w:rPr>
              <w:t>; Pages 20–23, lines 34</w:t>
            </w:r>
            <w:r>
              <w:rPr>
                <w:rFonts w:hint="eastAsia" w:eastAsia="宋体"/>
                <w:sz w:val="16"/>
                <w:lang w:val="en-US" w:eastAsia="zh-CN"/>
              </w:rPr>
              <w:t>7</w:t>
            </w:r>
            <w:r>
              <w:rPr>
                <w:rFonts w:ascii="Times New Roman" w:hAnsi="Times New Roman" w:eastAsia="Times New Roman"/>
                <w:sz w:val="16"/>
              </w:rPr>
              <w:t>–37</w:t>
            </w:r>
            <w:r>
              <w:rPr>
                <w:rFonts w:hint="eastAsia" w:eastAsia="宋体"/>
                <w:sz w:val="16"/>
                <w:lang w:val="en-US" w:eastAsia="zh-CN"/>
              </w:rPr>
              <w:t>2</w:t>
            </w:r>
          </w:p>
        </w:tc>
      </w:tr>
    </w:tbl>
    <w:p w14:paraId="35645D8A">
      <w:pPr>
        <w:jc w:val="both"/>
        <w:rPr>
          <w:sz w:val="20"/>
          <w:szCs w:val="20"/>
        </w:rPr>
      </w:pPr>
      <w:bookmarkStart w:id="0" w:name="_GoBack"/>
      <w:bookmarkEnd w:id="0"/>
    </w:p>
    <w:p w14:paraId="76E4F631">
      <w:pPr>
        <w:rPr>
          <w:sz w:val="20"/>
          <w:szCs w:val="20"/>
        </w:rPr>
      </w:pPr>
      <w:r>
        <w:br w:type="page"/>
      </w:r>
      <w:r>
        <w:rPr>
          <w:rFonts w:hint="eastAsia" w:eastAsia="宋体"/>
          <w:lang w:val="en-US" w:eastAsia="zh-CN"/>
        </w:rPr>
        <w:t xml:space="preserve">Supplementary </w:t>
      </w:r>
      <w:r>
        <w:rPr>
          <w:sz w:val="20"/>
          <w:szCs w:val="20"/>
        </w:rPr>
        <w:t>Table S2. Literature search strategy used for attribute development</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2"/>
        <w:gridCol w:w="8914"/>
      </w:tblGrid>
      <w:tr w14:paraId="377C5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71" w:type="pct"/>
            <w:shd w:val="clear" w:color="auto" w:fill="D9EAF7"/>
            <w:vAlign w:val="center"/>
          </w:tcPr>
          <w:p w14:paraId="39D37602">
            <w:pPr>
              <w:rPr>
                <w:rFonts w:hint="default" w:ascii="Times New Roman" w:hAnsi="Times New Roman" w:cs="Times New Roman"/>
                <w:b/>
                <w:bCs/>
                <w:sz w:val="20"/>
                <w:szCs w:val="20"/>
              </w:rPr>
            </w:pPr>
            <w:r>
              <w:rPr>
                <w:rFonts w:hint="default" w:ascii="Times New Roman" w:hAnsi="Times New Roman" w:cs="Times New Roman"/>
                <w:b/>
                <w:bCs/>
                <w:sz w:val="20"/>
                <w:szCs w:val="20"/>
              </w:rPr>
              <w:t>Databases</w:t>
            </w:r>
          </w:p>
        </w:tc>
        <w:tc>
          <w:tcPr>
            <w:tcW w:w="4328" w:type="pct"/>
            <w:shd w:val="clear" w:color="auto" w:fill="D9EAF7"/>
            <w:vAlign w:val="center"/>
          </w:tcPr>
          <w:p w14:paraId="45849F58">
            <w:pPr>
              <w:rPr>
                <w:rFonts w:hint="default" w:ascii="Times New Roman" w:hAnsi="Times New Roman" w:eastAsia="宋体" w:cs="Times New Roman"/>
                <w:b/>
                <w:bCs/>
                <w:sz w:val="20"/>
                <w:szCs w:val="20"/>
                <w:lang w:val="en-US" w:eastAsia="zh-CN"/>
              </w:rPr>
            </w:pPr>
            <w:r>
              <w:rPr>
                <w:rFonts w:hint="default" w:ascii="Times New Roman" w:hAnsi="Times New Roman" w:eastAsia="宋体" w:cs="Times New Roman"/>
                <w:b/>
                <w:bCs/>
                <w:sz w:val="20"/>
                <w:szCs w:val="20"/>
                <w:lang w:val="en-US" w:eastAsia="zh-CN"/>
              </w:rPr>
              <w:t>Search Strategy</w:t>
            </w:r>
          </w:p>
        </w:tc>
      </w:tr>
      <w:tr w14:paraId="01B76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pct"/>
            <w:vAlign w:val="center"/>
          </w:tcPr>
          <w:p w14:paraId="1079AEC0">
            <w:pPr>
              <w:rPr>
                <w:rFonts w:hint="default" w:ascii="Times New Roman" w:hAnsi="Times New Roman" w:cs="Times New Roman"/>
                <w:sz w:val="20"/>
                <w:szCs w:val="20"/>
              </w:rPr>
            </w:pPr>
            <w:r>
              <w:rPr>
                <w:rFonts w:hint="default" w:ascii="Times New Roman" w:hAnsi="Times New Roman" w:cs="Times New Roman"/>
                <w:sz w:val="20"/>
                <w:szCs w:val="20"/>
              </w:rPr>
              <w:t>PubMed</w:t>
            </w:r>
          </w:p>
        </w:tc>
        <w:tc>
          <w:tcPr>
            <w:tcW w:w="4328" w:type="pct"/>
            <w:vAlign w:val="center"/>
          </w:tcPr>
          <w:p w14:paraId="73815E22">
            <w:pPr>
              <w:rPr>
                <w:rFonts w:hint="default" w:ascii="Times New Roman" w:hAnsi="Times New Roman" w:cs="Times New Roman"/>
                <w:sz w:val="20"/>
                <w:szCs w:val="20"/>
              </w:rPr>
            </w:pPr>
            <w:r>
              <w:rPr>
                <w:rFonts w:hint="default" w:ascii="Times New Roman" w:hAnsi="Times New Roman" w:cs="Times New Roman"/>
                <w:sz w:val="20"/>
                <w:szCs w:val="20"/>
              </w:rPr>
              <w:t>(obesity[MeSH Terms] OR obes*[tiab] OR "bariatric surgery"[MeSH Terms]</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"bariatric surg*"[tiab] OR "metabolic surg*"[tiab]</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"difficult intravenous access"[tiab] OR DIVA[tiab])</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AND</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("Catheterization, Peripheral"[MeSH Terms]</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"peripheral intravenous catheter*"[tiab]</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"peripheral venous catheter*"[tiab]</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PIVC[tiab]</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"short peripheral catheter*"[tiab]</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"long peripheral catheter*"[tiab] OR "extended dwell catheter*"[tiab]</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"midline catheter*"[tiab]</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"vascular access device*"[tiab])</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AND</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(preference*[tiab] OR experience*[tiab] OR satisfaction[tiab]</w:t>
            </w:r>
            <w:r>
              <w:rPr>
                <w:rFonts w:hint="eastAsia" w:eastAsia="宋体" w:cs="Times New Roman"/>
                <w:sz w:val="20"/>
                <w:szCs w:val="20"/>
                <w:lang w:val="en-US" w:eastAsia="zh-CN"/>
              </w:rPr>
              <w:t xml:space="preserve"> </w:t>
            </w:r>
            <w:r>
              <w:rPr>
                <w:rFonts w:hint="default" w:ascii="Times New Roman" w:hAnsi="Times New Roman" w:cs="Times New Roman"/>
                <w:sz w:val="20"/>
                <w:szCs w:val="20"/>
              </w:rPr>
              <w:t>OR comfort[tiab] OR pain[tiab]</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"blood sampling"[tiab] OR "blood draw*"[tiab]</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"dwell time"[tiab]</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complication*[tiab] OR thrombosis[tiab] OR infection[tiab]</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maintenance[tiab] OR cost[tiab]</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"discrete choice</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experiment*"[tiab]</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"choice experiment*"[tiab]</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"conjoint analysis"[tiab])</w:t>
            </w:r>
          </w:p>
        </w:tc>
      </w:tr>
      <w:tr w14:paraId="0D72B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pct"/>
            <w:vAlign w:val="center"/>
          </w:tcPr>
          <w:p w14:paraId="28563852">
            <w:pPr>
              <w:rPr>
                <w:rFonts w:hint="default" w:ascii="Times New Roman" w:hAnsi="Times New Roman" w:cs="Times New Roman"/>
                <w:sz w:val="20"/>
                <w:szCs w:val="20"/>
              </w:rPr>
            </w:pPr>
            <w:r>
              <w:rPr>
                <w:rFonts w:hint="default" w:ascii="Times New Roman" w:hAnsi="Times New Roman" w:cs="Times New Roman"/>
                <w:sz w:val="20"/>
                <w:szCs w:val="20"/>
              </w:rPr>
              <w:t>Web of Science</w:t>
            </w:r>
          </w:p>
        </w:tc>
        <w:tc>
          <w:tcPr>
            <w:tcW w:w="4328" w:type="pct"/>
            <w:vAlign w:val="center"/>
          </w:tcPr>
          <w:p w14:paraId="05E8E6C2">
            <w:pPr>
              <w:rPr>
                <w:rFonts w:hint="default" w:ascii="Times New Roman" w:hAnsi="Times New Roman" w:cs="Times New Roman"/>
                <w:sz w:val="20"/>
                <w:szCs w:val="20"/>
              </w:rPr>
            </w:pPr>
            <w:r>
              <w:rPr>
                <w:rFonts w:hint="default" w:ascii="Times New Roman" w:hAnsi="Times New Roman" w:cs="Times New Roman"/>
                <w:sz w:val="20"/>
                <w:szCs w:val="20"/>
              </w:rPr>
              <w:t>TS=(obes* OR "bariatric surgery" OR "metabolic surgery"</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"difficult intravenous access" OR DIVA)</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AND</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("peripheral intravenous catheter*" OR "peripheral venous catheter*"</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PIVC OR "short peripheral catheter*" OR "long peripheral catheter*"</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"extended dwell catheter*" OR "midline catheter*"</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"vascular access device*")</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AND</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(preference* OR experience* OR satisfaction OR comfort OR pain</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"blood sampling" OR "blood draw*" OR "dwell time"</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complication* OR thrombosis OR infection OR maintenance OR cost</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"discrete choice experiment*" OR "choice experiment*"</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"conjoint analysis")</w:t>
            </w:r>
          </w:p>
        </w:tc>
      </w:tr>
      <w:tr w14:paraId="3B490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pct"/>
            <w:vAlign w:val="center"/>
          </w:tcPr>
          <w:p w14:paraId="59A4E641">
            <w:pPr>
              <w:rPr>
                <w:rFonts w:hint="default" w:ascii="Times New Roman" w:hAnsi="Times New Roman" w:cs="Times New Roman"/>
                <w:sz w:val="20"/>
                <w:szCs w:val="20"/>
              </w:rPr>
            </w:pPr>
            <w:r>
              <w:rPr>
                <w:rFonts w:hint="default" w:ascii="Times New Roman" w:hAnsi="Times New Roman" w:cs="Times New Roman"/>
                <w:sz w:val="20"/>
                <w:szCs w:val="20"/>
              </w:rPr>
              <w:t>Embase</w:t>
            </w:r>
          </w:p>
        </w:tc>
        <w:tc>
          <w:tcPr>
            <w:tcW w:w="4328" w:type="pct"/>
            <w:vAlign w:val="center"/>
          </w:tcPr>
          <w:p w14:paraId="302C1DF5">
            <w:pPr>
              <w:rPr>
                <w:rFonts w:hint="default" w:ascii="Times New Roman" w:hAnsi="Times New Roman" w:cs="Times New Roman"/>
                <w:sz w:val="20"/>
                <w:szCs w:val="20"/>
              </w:rPr>
            </w:pPr>
            <w:r>
              <w:rPr>
                <w:rFonts w:hint="default" w:ascii="Times New Roman" w:hAnsi="Times New Roman" w:cs="Times New Roman"/>
                <w:sz w:val="20"/>
                <w:szCs w:val="20"/>
              </w:rPr>
              <w:t>('obesity'/exp OR obes*:ti,ab</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'bariatric surgery'/exp</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'bariatric surg*':ti,ab</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'metabolic surg*':ti,ab</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'difficult intravenous access':ti,ab</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diva:ti,ab)</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AND</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('peripheral venous catheter'/exp</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'vascular access device'/exp</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'peripheral intravenous catheter*':ti,ab</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'peripheral venous catheter*':ti,ab</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pivc:ti,ab</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'short peripheral catheter*':ti,ab</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'long peripheral catheter*':ti,ab</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'extended dwell catheter*':ti,ab</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'midline catheter*':ti,ab)</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AND</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(preference*:ti,ab OR experience*:ti,ab OR satisfaction:ti,ab</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comfort:ti,ab OR pain:ti,ab</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'blood sampling':ti,ab OR 'blood draw*':ti,ab</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'dwell time':ti,ab</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complication*:ti,ab OR thrombosis:ti,ab OR infection:ti,ab</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maintenance:ti,ab OR cost:ti,ab</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'discrete choice experiment*':ti,ab</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'choice experiment*':ti,ab</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'conjoint analysis':ti,ab)</w:t>
            </w:r>
          </w:p>
        </w:tc>
      </w:tr>
      <w:tr w14:paraId="2AA25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pct"/>
            <w:vAlign w:val="center"/>
          </w:tcPr>
          <w:p w14:paraId="275D1F9F">
            <w:pPr>
              <w:rPr>
                <w:rFonts w:hint="default" w:ascii="Times New Roman" w:hAnsi="Times New Roman" w:cs="Times New Roman"/>
                <w:sz w:val="20"/>
                <w:szCs w:val="20"/>
              </w:rPr>
            </w:pPr>
            <w:r>
              <w:rPr>
                <w:rFonts w:hint="default" w:ascii="Times New Roman" w:hAnsi="Times New Roman" w:cs="Times New Roman"/>
                <w:sz w:val="20"/>
                <w:szCs w:val="20"/>
              </w:rPr>
              <w:t>CINAHL</w:t>
            </w:r>
          </w:p>
        </w:tc>
        <w:tc>
          <w:tcPr>
            <w:tcW w:w="4328" w:type="pct"/>
            <w:vAlign w:val="center"/>
          </w:tcPr>
          <w:p w14:paraId="76214697">
            <w:pPr>
              <w:rPr>
                <w:rFonts w:hint="default" w:ascii="Times New Roman" w:hAnsi="Times New Roman" w:cs="Times New Roman"/>
                <w:sz w:val="20"/>
                <w:szCs w:val="20"/>
              </w:rPr>
            </w:pPr>
            <w:r>
              <w:rPr>
                <w:rFonts w:hint="default" w:ascii="Times New Roman" w:hAnsi="Times New Roman" w:cs="Times New Roman"/>
                <w:sz w:val="20"/>
                <w:szCs w:val="20"/>
              </w:rPr>
              <w:t>(MH "Obesity"</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MH "Bariatric Surgery"</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TX obes*</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TX "bariatric surg*"</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TX "metabolic surg*"</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TX "difficult intravenous access"</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TX DIVA)</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AND</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(MH "Catheters, Indwelling"</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TX "peripheral intravenous catheter*"</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TX "peripheral venous catheter*"</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TX PIVC</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TX "short peripheral catheter*"</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TX "long peripheral catheter*"</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TX "extended dwell catheter*"</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TX "midline catheter*"</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TX "vascular access device*")</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AND</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(TX preference*</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TX experience*</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TX satisfaction</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TX comfort</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TX pain</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TX "blood sampling"</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TX "blood draw*"</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TX "dwell time"</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TX complication*</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TX thrombosis</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TX infection</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TX maintenance</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TX cost</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TX "discrete choice experiment*"</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TX "choice experiment*"</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TX "conjoint analysis")</w:t>
            </w:r>
          </w:p>
        </w:tc>
      </w:tr>
      <w:tr w14:paraId="0C18D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pct"/>
            <w:vAlign w:val="center"/>
          </w:tcPr>
          <w:p w14:paraId="564CCEC6">
            <w:pPr>
              <w:rPr>
                <w:rFonts w:hint="default" w:ascii="Times New Roman" w:hAnsi="Times New Roman" w:eastAsia="宋体" w:cs="Times New Roman"/>
                <w:sz w:val="20"/>
                <w:szCs w:val="20"/>
                <w:lang w:val="en-US" w:eastAsia="zh-CN"/>
              </w:rPr>
            </w:pPr>
            <w:r>
              <w:rPr>
                <w:rFonts w:hint="default" w:ascii="Times New Roman" w:hAnsi="Times New Roman" w:eastAsia="宋体" w:cs="Times New Roman"/>
                <w:sz w:val="20"/>
                <w:szCs w:val="20"/>
                <w:lang w:val="en-US" w:eastAsia="zh-CN"/>
              </w:rPr>
              <w:t>CNKI</w:t>
            </w:r>
          </w:p>
        </w:tc>
        <w:tc>
          <w:tcPr>
            <w:tcW w:w="4328" w:type="pct"/>
            <w:vAlign w:val="center"/>
          </w:tcPr>
          <w:p w14:paraId="167EE988">
            <w:pPr>
              <w:rPr>
                <w:rFonts w:hint="default" w:ascii="Times New Roman" w:hAnsi="Times New Roman" w:cs="Times New Roman"/>
                <w:sz w:val="20"/>
                <w:szCs w:val="20"/>
              </w:rPr>
            </w:pPr>
            <w:r>
              <w:rPr>
                <w:rFonts w:hint="default" w:ascii="Times New Roman" w:hAnsi="Times New Roman" w:eastAsia="宋体" w:cs="Times New Roman"/>
                <w:sz w:val="20"/>
                <w:szCs w:val="20"/>
                <w:lang w:val="en-US" w:eastAsia="zh-CN"/>
              </w:rPr>
              <w:t>(</w:t>
            </w:r>
            <w:r>
              <w:rPr>
                <w:rFonts w:hint="default" w:ascii="Times New Roman" w:hAnsi="Times New Roman" w:cs="Times New Roman"/>
                <w:sz w:val="20"/>
                <w:szCs w:val="20"/>
              </w:rPr>
              <w:t>肥胖 OR 减重手术 OR 代谢手术 OR 困难静脉通路 OR 困难静脉穿刺</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AND</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(外周静脉导管 OR 留置针 OR 外周静脉通路</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短外周导管 OR 长外周导管 OR 中长导管 OR 中等长度</w:t>
            </w:r>
            <w:r>
              <w:rPr>
                <w:rFonts w:hint="default" w:ascii="Times New Roman" w:hAnsi="Times New Roman" w:eastAsia="宋体" w:cs="Times New Roman"/>
                <w:sz w:val="20"/>
                <w:szCs w:val="20"/>
                <w:lang w:val="en-US" w:eastAsia="zh-CN"/>
              </w:rPr>
              <w:t>静脉</w:t>
            </w:r>
            <w:r>
              <w:rPr>
                <w:rFonts w:hint="default" w:ascii="Times New Roman" w:hAnsi="Times New Roman" w:cs="Times New Roman"/>
                <w:sz w:val="20"/>
                <w:szCs w:val="20"/>
              </w:rPr>
              <w:t>导管 OR 血管通路装置)</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AND</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(患者偏好 OR 患者体验 OR 满意度 OR 舒适度 OR 疼痛</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血液采集 OR 采血 OR 留置时间 OR 并发症</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血栓 OR 感染 OR 维护 OR 费用 OR 成本</w:t>
            </w:r>
            <w:r>
              <w:rPr>
                <w:rFonts w:hint="default" w:ascii="Times New Roman" w:hAnsi="Times New Roman" w:eastAsia="宋体" w:cs="Times New Roman"/>
                <w:sz w:val="20"/>
                <w:szCs w:val="20"/>
                <w:lang w:val="en-US" w:eastAsia="zh-CN"/>
              </w:rPr>
              <w:t xml:space="preserve"> </w:t>
            </w:r>
            <w:r>
              <w:rPr>
                <w:rFonts w:hint="default" w:ascii="Times New Roman" w:hAnsi="Times New Roman" w:cs="Times New Roman"/>
                <w:sz w:val="20"/>
                <w:szCs w:val="20"/>
              </w:rPr>
              <w:t>OR 离散选择实验 OR 联合分析)</w:t>
            </w:r>
          </w:p>
        </w:tc>
      </w:tr>
    </w:tbl>
    <w:p w14:paraId="332429F8">
      <w:pPr>
        <w:numPr>
          <w:ilvl w:val="0"/>
          <w:numId w:val="0"/>
        </w:numPr>
        <w:ind w:left="360" w:leftChars="0" w:hanging="360" w:firstLineChars="0"/>
        <w:rPr>
          <w:rFonts w:hint="eastAsia" w:eastAsia="宋体" w:cstheme="minorBidi"/>
          <w:sz w:val="21"/>
          <w:szCs w:val="22"/>
          <w:lang w:val="en-US" w:eastAsia="zh-CN" w:bidi="ar-SA"/>
        </w:rPr>
      </w:pPr>
    </w:p>
    <w:p w14:paraId="2EC93CC1">
      <w:pPr>
        <w:numPr>
          <w:ilvl w:val="0"/>
          <w:numId w:val="0"/>
        </w:numPr>
        <w:ind w:left="360" w:leftChars="0" w:hanging="360" w:firstLineChars="0"/>
        <w:rPr>
          <w:rFonts w:hint="default" w:eastAsia="宋体" w:cstheme="minorBidi"/>
          <w:sz w:val="21"/>
          <w:szCs w:val="22"/>
          <w:lang w:val="en-US" w:eastAsia="zh-CN" w:bidi="ar-SA"/>
        </w:rPr>
      </w:pPr>
      <w:r>
        <w:rPr>
          <w:rFonts w:hint="eastAsia" w:eastAsia="宋体" w:cstheme="minorBidi"/>
          <w:sz w:val="21"/>
          <w:szCs w:val="22"/>
          <w:lang w:val="en-US" w:eastAsia="zh-CN" w:bidi="ar-SA"/>
        </w:rPr>
        <w:t>Literature for attributes:</w:t>
      </w:r>
    </w:p>
    <w:p w14:paraId="6367DA2B">
      <w:pPr>
        <w:numPr>
          <w:ilvl w:val="0"/>
          <w:numId w:val="7"/>
        </w:numPr>
        <w:ind w:left="360" w:leftChars="0" w:hanging="360" w:firstLineChars="0"/>
        <w:rPr>
          <w:rFonts w:hint="eastAsia"/>
        </w:rPr>
      </w:pPr>
      <w:r>
        <w:rPr>
          <w:rFonts w:hint="eastAsia"/>
        </w:rPr>
        <w:t xml:space="preserve">Chopra V, Flanders SA, Saint S, Woller SC, O'Grady NP, Safdar N, et al. The Michigan Appropriateness Guide for Intravenous Catheters (MAGIC): results from a multispecialty panel using the RAND/UCLA appropriateness method. Ann Intern Med. 2015;163(Suppl 6):S1–S40. </w:t>
      </w:r>
      <w:r>
        <w:rPr>
          <w:rFonts w:hint="eastAsia"/>
        </w:rPr>
        <w:fldChar w:fldCharType="begin"/>
      </w:r>
      <w:r>
        <w:rPr>
          <w:rFonts w:hint="eastAsia"/>
        </w:rPr>
        <w:instrText xml:space="preserve"> HYPERLINK "https://doi.org/10.7326/M15-0744." </w:instrText>
      </w:r>
      <w:r>
        <w:rPr>
          <w:rFonts w:hint="eastAsia"/>
        </w:rPr>
        <w:fldChar w:fldCharType="separate"/>
      </w:r>
      <w:r>
        <w:rPr>
          <w:rStyle w:val="136"/>
          <w:rFonts w:hint="eastAsia"/>
        </w:rPr>
        <w:t>https://doi.org/10.7326/M15-0744.</w:t>
      </w:r>
      <w:r>
        <w:rPr>
          <w:rFonts w:hint="eastAsia"/>
        </w:rPr>
        <w:fldChar w:fldCharType="end"/>
      </w:r>
    </w:p>
    <w:p w14:paraId="3DB04E12">
      <w:pPr>
        <w:ind w:left="360" w:hanging="360"/>
        <w:rPr>
          <w:rFonts w:hint="eastAsia"/>
        </w:rPr>
      </w:pPr>
      <w:r>
        <w:rPr>
          <w:rFonts w:hint="eastAsia" w:eastAsia="宋体"/>
          <w:lang w:val="en-US" w:eastAsia="zh-CN"/>
        </w:rPr>
        <w:t>2</w:t>
      </w:r>
      <w:r>
        <w:t xml:space="preserve">. </w:t>
      </w:r>
      <w:r>
        <w:rPr>
          <w:rFonts w:hint="eastAsia"/>
        </w:rPr>
        <w:t>Moureau N, Chopra V. Indications for peripheral, midline and central catheters: Summary of the MAGIC recommendations. Br J Nurs. 2016;25:S15–</w:t>
      </w:r>
      <w:r>
        <w:rPr>
          <w:rFonts w:hint="eastAsia" w:eastAsia="宋体"/>
          <w:lang w:val="en-US" w:eastAsia="zh-CN"/>
        </w:rPr>
        <w:t>S</w:t>
      </w:r>
      <w:r>
        <w:rPr>
          <w:rFonts w:hint="eastAsia"/>
        </w:rPr>
        <w:t xml:space="preserve">24. </w:t>
      </w:r>
      <w:r>
        <w:rPr>
          <w:rFonts w:hint="eastAsia"/>
        </w:rPr>
        <w:fldChar w:fldCharType="begin"/>
      </w:r>
      <w:r>
        <w:rPr>
          <w:rFonts w:hint="eastAsia"/>
        </w:rPr>
        <w:instrText xml:space="preserve"> HYPERLINK "https://doi.org/10.12968/bjon.2016.25.8.S15." </w:instrText>
      </w:r>
      <w:r>
        <w:rPr>
          <w:rFonts w:hint="eastAsia"/>
        </w:rPr>
        <w:fldChar w:fldCharType="separate"/>
      </w:r>
      <w:r>
        <w:rPr>
          <w:rStyle w:val="136"/>
          <w:rFonts w:hint="eastAsia"/>
        </w:rPr>
        <w:t>https://doi.org/10.12968/bjon.2016.25.8.S15.</w:t>
      </w:r>
      <w:r>
        <w:rPr>
          <w:rFonts w:hint="eastAsia"/>
        </w:rPr>
        <w:fldChar w:fldCharType="end"/>
      </w:r>
    </w:p>
    <w:p w14:paraId="3CA7E1F9">
      <w:pPr>
        <w:ind w:left="360" w:hanging="360"/>
        <w:rPr>
          <w:rFonts w:hint="eastAsia"/>
        </w:rPr>
      </w:pPr>
      <w:r>
        <w:rPr>
          <w:rFonts w:hint="eastAsia" w:eastAsia="宋体"/>
          <w:lang w:val="en-US" w:eastAsia="zh-CN"/>
        </w:rPr>
        <w:t>3</w:t>
      </w:r>
      <w:r>
        <w:t>. Nickel B, Gorski L, Kleidon T, Kyes A, DeVries M, Keogh S, et al. Infusion therapy standards of practice</w:t>
      </w:r>
      <w:r>
        <w:rPr>
          <w:rFonts w:hint="eastAsia"/>
        </w:rPr>
        <w:t>, 9th edition</w:t>
      </w:r>
      <w:r>
        <w:t>. J Infus Nurs. 2024;47(1S Suppl 1):S1-S285.</w:t>
      </w:r>
      <w:r>
        <w:rPr>
          <w:rFonts w:hint="eastAsia" w:eastAsia="宋体"/>
          <w:lang w:val="en-US" w:eastAsia="zh-CN"/>
        </w:rPr>
        <w:t xml:space="preserve"> </w:t>
      </w:r>
      <w:r>
        <w:rPr>
          <w:rFonts w:hint="eastAsia"/>
        </w:rPr>
        <w:fldChar w:fldCharType="begin"/>
      </w:r>
      <w:r>
        <w:rPr>
          <w:rFonts w:hint="eastAsia"/>
        </w:rPr>
        <w:instrText xml:space="preserve"> HYPERLINK "https://doi.org/10.1097/NAN.0000000000000532." </w:instrText>
      </w:r>
      <w:r>
        <w:rPr>
          <w:rFonts w:hint="eastAsia"/>
        </w:rPr>
        <w:fldChar w:fldCharType="separate"/>
      </w:r>
      <w:r>
        <w:rPr>
          <w:rStyle w:val="136"/>
          <w:rFonts w:hint="eastAsia"/>
        </w:rPr>
        <w:t>https://doi.org/10.1097/NAN.0000000000000532.</w:t>
      </w:r>
      <w:r>
        <w:rPr>
          <w:rFonts w:hint="eastAsia"/>
        </w:rPr>
        <w:fldChar w:fldCharType="end"/>
      </w:r>
    </w:p>
    <w:p w14:paraId="3B12AB6D">
      <w:pPr>
        <w:ind w:left="360" w:hanging="360"/>
      </w:pPr>
      <w:r>
        <w:rPr>
          <w:rFonts w:hint="eastAsia" w:eastAsia="宋体"/>
          <w:lang w:val="en-US" w:eastAsia="zh-CN"/>
        </w:rPr>
        <w:t>4</w:t>
      </w:r>
      <w:r>
        <w:t>. Canadian Agency for Drugs and Technologies in Health. Midline catheters for administering intravenous infusion therapy. Ottawa: CADTH; 202</w:t>
      </w:r>
      <w:r>
        <w:rPr>
          <w:rFonts w:hint="eastAsia" w:eastAsia="宋体"/>
          <w:lang w:val="en-US" w:eastAsia="zh-CN"/>
        </w:rPr>
        <w:t>5</w:t>
      </w:r>
      <w:r>
        <w:t>.</w:t>
      </w:r>
    </w:p>
    <w:p w14:paraId="13ADF56D">
      <w:pPr>
        <w:ind w:left="360" w:hanging="360"/>
      </w:pPr>
      <w:r>
        <w:rPr>
          <w:rFonts w:hint="eastAsia" w:eastAsia="宋体"/>
          <w:lang w:val="en-US" w:eastAsia="zh-CN"/>
        </w:rPr>
        <w:t>5</w:t>
      </w:r>
      <w:r>
        <w:t xml:space="preserve">. Helm RE, Klausner JD, Klemperer JD, Flint LM, Huang E. Accepted but unacceptable: peripheral IV catheter failure. J Infus Nurs. 2015;38(3):189-203. </w:t>
      </w:r>
      <w:r>
        <w:rPr>
          <w:rStyle w:val="136"/>
          <w:rFonts w:hint="eastAsia"/>
        </w:rPr>
        <w:fldChar w:fldCharType="begin"/>
      </w:r>
      <w:r>
        <w:rPr>
          <w:rStyle w:val="136"/>
          <w:rFonts w:hint="eastAsia"/>
        </w:rPr>
        <w:instrText xml:space="preserve"> HYPERLINK "https://doi.org/10.1097/NAN.0000000000000100." </w:instrText>
      </w:r>
      <w:r>
        <w:rPr>
          <w:rStyle w:val="136"/>
          <w:rFonts w:hint="eastAsia"/>
        </w:rPr>
        <w:fldChar w:fldCharType="separate"/>
      </w:r>
      <w:r>
        <w:rPr>
          <w:rStyle w:val="136"/>
          <w:rFonts w:hint="eastAsia"/>
        </w:rPr>
        <w:t>https://doi.org/</w:t>
      </w:r>
      <w:r>
        <w:rPr>
          <w:rStyle w:val="136"/>
        </w:rPr>
        <w:t>10.1097/NAN.0000000000000100.</w:t>
      </w:r>
      <w:r>
        <w:rPr>
          <w:rStyle w:val="136"/>
          <w:rFonts w:hint="eastAsia"/>
        </w:rPr>
        <w:fldChar w:fldCharType="end"/>
      </w:r>
    </w:p>
    <w:p w14:paraId="5123E5BE">
      <w:pPr>
        <w:ind w:left="360" w:hanging="360"/>
      </w:pPr>
      <w:r>
        <w:rPr>
          <w:rFonts w:hint="eastAsia" w:eastAsia="宋体"/>
          <w:lang w:val="en-US" w:eastAsia="zh-CN"/>
        </w:rPr>
        <w:t>6</w:t>
      </w:r>
      <w:r>
        <w:t xml:space="preserve">. Helm RE, Klausner JD, Klemperer JD, Flint LM, Huang E. Accepted but unacceptable: peripheral IV catheter failure. J Infus Nurs. 2019;42(3):151-164. </w:t>
      </w:r>
      <w:r>
        <w:rPr>
          <w:rStyle w:val="136"/>
          <w:rFonts w:hint="eastAsia"/>
        </w:rPr>
        <w:fldChar w:fldCharType="begin"/>
      </w:r>
      <w:r>
        <w:rPr>
          <w:rStyle w:val="136"/>
          <w:rFonts w:hint="eastAsia"/>
        </w:rPr>
        <w:instrText xml:space="preserve"> HYPERLINK "https://doi.org/10.1097/NAN.0000000000000326." </w:instrText>
      </w:r>
      <w:r>
        <w:rPr>
          <w:rStyle w:val="136"/>
          <w:rFonts w:hint="eastAsia"/>
        </w:rPr>
        <w:fldChar w:fldCharType="separate"/>
      </w:r>
      <w:r>
        <w:rPr>
          <w:rStyle w:val="136"/>
          <w:rFonts w:hint="eastAsia"/>
        </w:rPr>
        <w:t>https://doi.org/</w:t>
      </w:r>
      <w:r>
        <w:rPr>
          <w:rStyle w:val="136"/>
        </w:rPr>
        <w:t>10.1097/NAN.0000000000000326.</w:t>
      </w:r>
      <w:r>
        <w:rPr>
          <w:rStyle w:val="136"/>
          <w:rFonts w:hint="eastAsia"/>
        </w:rPr>
        <w:fldChar w:fldCharType="end"/>
      </w:r>
    </w:p>
    <w:p w14:paraId="23C6611C">
      <w:pPr>
        <w:ind w:left="360" w:hanging="360"/>
      </w:pPr>
      <w:r>
        <w:rPr>
          <w:rFonts w:hint="eastAsia" w:eastAsia="宋体"/>
          <w:lang w:val="en-US" w:eastAsia="zh-CN"/>
        </w:rPr>
        <w:t>7</w:t>
      </w:r>
      <w:r>
        <w:t xml:space="preserve">. Rickard CM, Webster J, Wallis MC, Marsh N, McGrail MR, French V, et al. Routine versus clinically indicated replacement of peripheral intravenous catheters: a randomised controlled equivalence trial. Lancet. 2012;380(9847):1066-1074. </w:t>
      </w:r>
      <w:r>
        <w:rPr>
          <w:rStyle w:val="136"/>
          <w:rFonts w:hint="eastAsia"/>
        </w:rPr>
        <w:fldChar w:fldCharType="begin"/>
      </w:r>
      <w:r>
        <w:rPr>
          <w:rStyle w:val="136"/>
          <w:rFonts w:hint="eastAsia"/>
        </w:rPr>
        <w:instrText xml:space="preserve"> HYPERLINK "https://doi.org/10.1016/S0140-6736(12)61082-4." </w:instrText>
      </w:r>
      <w:r>
        <w:rPr>
          <w:rStyle w:val="136"/>
          <w:rFonts w:hint="eastAsia"/>
        </w:rPr>
        <w:fldChar w:fldCharType="separate"/>
      </w:r>
      <w:r>
        <w:rPr>
          <w:rStyle w:val="136"/>
          <w:rFonts w:hint="eastAsia"/>
        </w:rPr>
        <w:t>https://doi.org/</w:t>
      </w:r>
      <w:r>
        <w:rPr>
          <w:rStyle w:val="136"/>
        </w:rPr>
        <w:t>10.1016/S0140-6736(12)61082-4.</w:t>
      </w:r>
      <w:r>
        <w:rPr>
          <w:rStyle w:val="136"/>
          <w:rFonts w:hint="eastAsia"/>
        </w:rPr>
        <w:fldChar w:fldCharType="end"/>
      </w:r>
    </w:p>
    <w:p w14:paraId="45DCAC0B">
      <w:pPr>
        <w:ind w:left="360" w:hanging="360"/>
        <w:rPr>
          <w:rFonts w:hint="eastAsia" w:eastAsia="宋体"/>
          <w:lang w:val="en-US" w:eastAsia="zh-CN"/>
        </w:rPr>
      </w:pPr>
      <w:r>
        <w:rPr>
          <w:rFonts w:hint="eastAsia" w:eastAsia="宋体"/>
          <w:lang w:val="en-US" w:eastAsia="zh-CN"/>
        </w:rPr>
        <w:t>8</w:t>
      </w:r>
      <w:r>
        <w:t xml:space="preserve">. Buetti N, Abbas M, Pittet D, de Kraker MEA, Teixeira D, Chraiti MN, et al. Comparison of routine replacement with clinically indicated replacement of peripheral intravenous catheters. JAMA Intern Med. 2021;181(11):1471-1478. </w:t>
      </w:r>
      <w:r>
        <w:rPr>
          <w:rStyle w:val="136"/>
          <w:rFonts w:hint="eastAsia" w:eastAsia="宋体"/>
          <w:lang w:val="en-US" w:eastAsia="zh-CN"/>
        </w:rPr>
        <w:t>https://doi.org/10.1001/jamainternmed.2021.5345.</w:t>
      </w:r>
    </w:p>
    <w:p w14:paraId="6A4E3FC2">
      <w:pPr>
        <w:ind w:left="360" w:hanging="360"/>
        <w:rPr>
          <w:rFonts w:hint="eastAsia"/>
        </w:rPr>
      </w:pPr>
      <w:r>
        <w:rPr>
          <w:rFonts w:hint="eastAsia"/>
        </w:rPr>
        <w:t>9.</w:t>
      </w:r>
      <w:r>
        <w:rPr>
          <w:rFonts w:hint="eastAsia"/>
        </w:rPr>
        <w:tab/>
      </w:r>
      <w:r>
        <w:rPr>
          <w:rFonts w:hint="eastAsia"/>
        </w:rPr>
        <w:t xml:space="preserve">Zhao L, Jin X, Li X, Liu C, Wang J, Cao X, et al. Differences in catheter-related complications to insertion site selection for long peripheral intravenous catheters in antimicrobial therapy: a randomized controlled trial. BMC Nurs. 2025;24(1):131. </w:t>
      </w:r>
      <w:r>
        <w:rPr>
          <w:rFonts w:hint="eastAsia"/>
        </w:rPr>
        <w:fldChar w:fldCharType="begin"/>
      </w:r>
      <w:r>
        <w:rPr>
          <w:rFonts w:hint="eastAsia"/>
        </w:rPr>
        <w:instrText xml:space="preserve"> HYPERLINK "https://doi.org/10.1186/s12912-025-02749-y." </w:instrText>
      </w:r>
      <w:r>
        <w:rPr>
          <w:rFonts w:hint="eastAsia"/>
        </w:rPr>
        <w:fldChar w:fldCharType="separate"/>
      </w:r>
      <w:r>
        <w:rPr>
          <w:rStyle w:val="136"/>
          <w:rFonts w:hint="eastAsia"/>
        </w:rPr>
        <w:t>https://doi.org/10.1186/s12912-025-02749-y.</w:t>
      </w:r>
      <w:r>
        <w:rPr>
          <w:rFonts w:hint="eastAsia"/>
        </w:rPr>
        <w:fldChar w:fldCharType="end"/>
      </w:r>
    </w:p>
    <w:p w14:paraId="0B72921F">
      <w:pPr>
        <w:ind w:left="360" w:hanging="360"/>
        <w:rPr>
          <w:rFonts w:hint="eastAsia"/>
        </w:rPr>
      </w:pPr>
      <w:r>
        <w:rPr>
          <w:rFonts w:hint="eastAsia" w:eastAsia="宋体"/>
          <w:lang w:val="en-US" w:eastAsia="zh-CN"/>
        </w:rPr>
        <w:t>10</w:t>
      </w:r>
      <w:r>
        <w:rPr>
          <w:rFonts w:hint="eastAsia"/>
        </w:rPr>
        <w:t>.</w:t>
      </w:r>
      <w:r>
        <w:rPr>
          <w:rFonts w:hint="eastAsia"/>
        </w:rPr>
        <w:tab/>
      </w:r>
      <w:r>
        <w:rPr>
          <w:rFonts w:hint="eastAsia"/>
        </w:rPr>
        <w:t xml:space="preserve">Zhao L, Yang X, Liu C, Yu W, Cao X, Li X, et al. Comparative safety and efficacy of midline catheters versus long peripheral catheters in patients undergoing bariatric surgery: a randomised controlled trial. Sci Rep. 2025;15(1):30534. </w:t>
      </w:r>
      <w:r>
        <w:rPr>
          <w:rFonts w:hint="eastAsia"/>
        </w:rPr>
        <w:fldChar w:fldCharType="begin"/>
      </w:r>
      <w:r>
        <w:rPr>
          <w:rFonts w:hint="eastAsia"/>
        </w:rPr>
        <w:instrText xml:space="preserve"> HYPERLINK "https://doi.org/10.1038/s41598-025-12551-0." </w:instrText>
      </w:r>
      <w:r>
        <w:rPr>
          <w:rFonts w:hint="eastAsia"/>
        </w:rPr>
        <w:fldChar w:fldCharType="separate"/>
      </w:r>
      <w:r>
        <w:rPr>
          <w:rStyle w:val="136"/>
          <w:rFonts w:hint="eastAsia"/>
        </w:rPr>
        <w:t>https://doi.org/10.1038/s41598-025-12551-0.</w:t>
      </w:r>
      <w:r>
        <w:rPr>
          <w:rFonts w:hint="eastAsia"/>
        </w:rPr>
        <w:fldChar w:fldCharType="end"/>
      </w:r>
    </w:p>
    <w:p w14:paraId="377D2698">
      <w:pPr>
        <w:ind w:left="360" w:hanging="360"/>
        <w:rPr>
          <w:rFonts w:hint="eastAsia" w:eastAsia="宋体"/>
          <w:lang w:val="en-US" w:eastAsia="zh-CN"/>
        </w:rPr>
      </w:pPr>
      <w:r>
        <w:t>1</w:t>
      </w:r>
      <w:r>
        <w:rPr>
          <w:rFonts w:hint="eastAsia" w:eastAsia="宋体"/>
          <w:lang w:val="en-US" w:eastAsia="zh-CN"/>
        </w:rPr>
        <w:t>1</w:t>
      </w:r>
      <w:r>
        <w:t xml:space="preserve">. Bahl A, Johnson S, Alsbrooks K, Mares A, Gala S, Hoerauf K. Defining difficult intravenous access (DIVA): a systematic review. J Vasc Access. 2023;24(5):904-910. </w:t>
      </w:r>
      <w:r>
        <w:rPr>
          <w:rStyle w:val="136"/>
          <w:rFonts w:hint="eastAsia"/>
        </w:rPr>
        <w:fldChar w:fldCharType="begin"/>
      </w:r>
      <w:r>
        <w:rPr>
          <w:rStyle w:val="136"/>
          <w:rFonts w:hint="eastAsia"/>
        </w:rPr>
        <w:instrText xml:space="preserve"> HYPERLINK "https://doi.org/10.1177/11297298211059648." </w:instrText>
      </w:r>
      <w:r>
        <w:rPr>
          <w:rStyle w:val="136"/>
          <w:rFonts w:hint="eastAsia"/>
        </w:rPr>
        <w:fldChar w:fldCharType="separate"/>
      </w:r>
      <w:r>
        <w:rPr>
          <w:rStyle w:val="136"/>
          <w:rFonts w:hint="eastAsia"/>
        </w:rPr>
        <w:t>https://doi.org/</w:t>
      </w:r>
      <w:r>
        <w:rPr>
          <w:rStyle w:val="136"/>
        </w:rPr>
        <w:t>10.1177/11297298211059648.</w:t>
      </w:r>
      <w:r>
        <w:rPr>
          <w:rStyle w:val="136"/>
          <w:rFonts w:hint="eastAsia"/>
        </w:rPr>
        <w:fldChar w:fldCharType="end"/>
      </w:r>
      <w:r>
        <w:rPr>
          <w:rFonts w:hint="eastAsia" w:eastAsia="宋体"/>
          <w:lang w:val="en-US" w:eastAsia="zh-CN"/>
        </w:rPr>
        <w:t xml:space="preserve"> </w:t>
      </w:r>
    </w:p>
    <w:p w14:paraId="79DEAFC0">
      <w:pPr>
        <w:ind w:left="360" w:hanging="360"/>
        <w:rPr>
          <w:rFonts w:hint="default" w:eastAsia="宋体"/>
          <w:lang w:val="en-US" w:eastAsia="zh-CN"/>
        </w:rPr>
      </w:pPr>
      <w:r>
        <w:t>1</w:t>
      </w:r>
      <w:r>
        <w:rPr>
          <w:rFonts w:hint="eastAsia" w:eastAsia="宋体"/>
          <w:lang w:val="en-US" w:eastAsia="zh-CN"/>
        </w:rPr>
        <w:t>2</w:t>
      </w:r>
      <w:r>
        <w:t xml:space="preserve">. </w:t>
      </w:r>
      <w:r>
        <w:rPr>
          <w:rFonts w:hint="eastAsia" w:eastAsia="宋体"/>
          <w:lang w:val="en-US" w:eastAsia="zh-CN"/>
        </w:rPr>
        <w:t xml:space="preserve">Paterson RS, Schults JA, Slaughter E, Cooke M, Ullman A, Kleidon TM, et al. Review article: Peripheral intravenous catheter insertion in adult patients with difficult intravenous access: a systematic review of assessment instruments, clinical practice guidelines and escalation pathways. Emerg Med Australas. 2022;34:862-870. </w:t>
      </w:r>
      <w:r>
        <w:rPr>
          <w:rFonts w:hint="eastAsia" w:eastAsia="宋体"/>
          <w:lang w:val="en-US" w:eastAsia="zh-CN"/>
        </w:rPr>
        <w:fldChar w:fldCharType="begin"/>
      </w:r>
      <w:r>
        <w:rPr>
          <w:rFonts w:hint="eastAsia" w:eastAsia="宋体"/>
          <w:lang w:val="en-US" w:eastAsia="zh-CN"/>
        </w:rPr>
        <w:instrText xml:space="preserve"> HYPERLINK "https://doi.org/10.1111/1742-6723.14069." </w:instrText>
      </w:r>
      <w:r>
        <w:rPr>
          <w:rFonts w:hint="eastAsia" w:eastAsia="宋体"/>
          <w:lang w:val="en-US" w:eastAsia="zh-CN"/>
        </w:rPr>
        <w:fldChar w:fldCharType="separate"/>
      </w:r>
      <w:r>
        <w:rPr>
          <w:rStyle w:val="136"/>
          <w:rFonts w:hint="eastAsia" w:eastAsia="宋体"/>
          <w:lang w:val="en-US" w:eastAsia="zh-CN"/>
        </w:rPr>
        <w:t>https://doi.org/10.1111/1742-6723.14069.</w:t>
      </w:r>
      <w:r>
        <w:rPr>
          <w:rFonts w:hint="eastAsia" w:eastAsia="宋体"/>
          <w:lang w:val="en-US" w:eastAsia="zh-CN"/>
        </w:rPr>
        <w:fldChar w:fldCharType="end"/>
      </w:r>
    </w:p>
    <w:p w14:paraId="60871962">
      <w:pPr>
        <w:ind w:left="360" w:hanging="360"/>
        <w:rPr>
          <w:rFonts w:hint="eastAsia" w:eastAsia="宋体"/>
          <w:lang w:val="en-US" w:eastAsia="zh-CN"/>
        </w:rPr>
      </w:pPr>
      <w:r>
        <w:t>1</w:t>
      </w:r>
      <w:r>
        <w:rPr>
          <w:rFonts w:hint="eastAsia" w:eastAsia="宋体"/>
          <w:lang w:val="en-US" w:eastAsia="zh-CN"/>
        </w:rPr>
        <w:t>3</w:t>
      </w:r>
      <w:r>
        <w:t xml:space="preserve">. Fabiani A, Aversana N, Santoro M, Sanson G. Complications associated to midline- and long peripheral catheters in adults: systematic review of literature and proposal for a standardized model for data collection. Thromb Res. 2024;236:117-126. </w:t>
      </w:r>
      <w:r>
        <w:rPr>
          <w:rStyle w:val="136"/>
          <w:rFonts w:hint="eastAsia"/>
        </w:rPr>
        <w:fldChar w:fldCharType="begin"/>
      </w:r>
      <w:r>
        <w:rPr>
          <w:rStyle w:val="136"/>
          <w:rFonts w:hint="eastAsia"/>
        </w:rPr>
        <w:instrText xml:space="preserve"> HYPERLINK "https://doi.org/10.1016/j.thromres.2024.02.022." </w:instrText>
      </w:r>
      <w:r>
        <w:rPr>
          <w:rStyle w:val="136"/>
          <w:rFonts w:hint="eastAsia"/>
        </w:rPr>
        <w:fldChar w:fldCharType="separate"/>
      </w:r>
      <w:r>
        <w:rPr>
          <w:rStyle w:val="136"/>
          <w:rFonts w:hint="eastAsia"/>
        </w:rPr>
        <w:t>https://doi.org/</w:t>
      </w:r>
      <w:r>
        <w:rPr>
          <w:rStyle w:val="136"/>
        </w:rPr>
        <w:t>10.1016/j.thromres.2024.02.022.</w:t>
      </w:r>
      <w:r>
        <w:rPr>
          <w:rStyle w:val="136"/>
          <w:rFonts w:hint="eastAsia"/>
        </w:rPr>
        <w:fldChar w:fldCharType="end"/>
      </w:r>
    </w:p>
    <w:p w14:paraId="2CA4BC99">
      <w:pPr>
        <w:ind w:left="360" w:hanging="360"/>
        <w:rPr>
          <w:rFonts w:hint="default" w:eastAsia="宋体"/>
          <w:lang w:val="en-US" w:eastAsia="zh-CN"/>
        </w:rPr>
      </w:pPr>
      <w:r>
        <w:t>1</w:t>
      </w:r>
      <w:r>
        <w:rPr>
          <w:rFonts w:hint="eastAsia" w:eastAsia="宋体"/>
          <w:lang w:val="en-US" w:eastAsia="zh-CN"/>
        </w:rPr>
        <w:t>4</w:t>
      </w:r>
      <w:r>
        <w:t xml:space="preserve">. </w:t>
      </w:r>
      <w:r>
        <w:rPr>
          <w:rFonts w:hint="eastAsia" w:eastAsia="宋体"/>
          <w:lang w:val="en-US" w:eastAsia="zh-CN"/>
        </w:rPr>
        <w:t xml:space="preserve">Fabiani A, Aversana N, Santoro M, Calandrino D, Liotta P, Sanson G. The longer the catheter, the lower the risk of complications: Results of the HERITAGE study comparing long peripheral and midline catheters. Am J Infect Control. 2024;52:1289-1295. </w:t>
      </w:r>
      <w:r>
        <w:rPr>
          <w:rFonts w:hint="eastAsia" w:eastAsia="宋体"/>
          <w:lang w:val="en-US" w:eastAsia="zh-CN"/>
        </w:rPr>
        <w:fldChar w:fldCharType="begin"/>
      </w:r>
      <w:r>
        <w:rPr>
          <w:rFonts w:hint="eastAsia" w:eastAsia="宋体"/>
          <w:lang w:val="en-US" w:eastAsia="zh-CN"/>
        </w:rPr>
        <w:instrText xml:space="preserve"> HYPERLINK "https://doi.org/10.1016/j.ajic.2024.06.019." </w:instrText>
      </w:r>
      <w:r>
        <w:rPr>
          <w:rFonts w:hint="eastAsia" w:eastAsia="宋体"/>
          <w:lang w:val="en-US" w:eastAsia="zh-CN"/>
        </w:rPr>
        <w:fldChar w:fldCharType="separate"/>
      </w:r>
      <w:r>
        <w:rPr>
          <w:rStyle w:val="136"/>
          <w:rFonts w:hint="eastAsia" w:eastAsia="宋体"/>
          <w:lang w:val="en-US" w:eastAsia="zh-CN"/>
        </w:rPr>
        <w:t>https://doi.org/10.1016/j.ajic.2024.06.019.</w:t>
      </w:r>
      <w:r>
        <w:rPr>
          <w:rFonts w:hint="eastAsia" w:eastAsia="宋体"/>
          <w:lang w:val="en-US" w:eastAsia="zh-CN"/>
        </w:rPr>
        <w:fldChar w:fldCharType="end"/>
      </w:r>
      <w:r>
        <w:rPr>
          <w:rFonts w:hint="eastAsia" w:eastAsia="宋体"/>
          <w:lang w:val="en-US" w:eastAsia="zh-CN"/>
        </w:rPr>
        <w:t xml:space="preserve"> </w:t>
      </w:r>
    </w:p>
    <w:p w14:paraId="5B896DE2">
      <w:pPr>
        <w:ind w:left="360" w:hanging="360"/>
        <w:rPr>
          <w:rStyle w:val="136"/>
          <w:rFonts w:hint="default" w:eastAsia="宋体"/>
          <w:lang w:val="en-US" w:eastAsia="zh-CN"/>
        </w:rPr>
      </w:pPr>
      <w:r>
        <w:t>1</w:t>
      </w:r>
      <w:r>
        <w:rPr>
          <w:rFonts w:hint="eastAsia" w:eastAsia="宋体"/>
          <w:lang w:val="en-US" w:eastAsia="zh-CN"/>
        </w:rPr>
        <w:t>5</w:t>
      </w:r>
      <w:r>
        <w:t xml:space="preserve">. </w:t>
      </w:r>
      <w:r>
        <w:rPr>
          <w:rFonts w:hint="eastAsia" w:eastAsia="宋体"/>
          <w:lang w:val="en-US" w:eastAsia="zh-CN"/>
        </w:rPr>
        <w:t xml:space="preserve">Meto E, Cabout E, Rosay H, Espinasse F, Lot A-S, Hajjam ME, et al. Cost comparison of four venous catheters: Short peripheral catheter, long peripheral line, midline, and PICC for peripheral infusion. J Vasc Access. 2025;26:966-974. </w:t>
      </w:r>
      <w:r>
        <w:rPr>
          <w:rFonts w:hint="eastAsia" w:eastAsia="宋体"/>
          <w:lang w:val="en-US" w:eastAsia="zh-CN"/>
        </w:rPr>
        <w:fldChar w:fldCharType="begin"/>
      </w:r>
      <w:r>
        <w:rPr>
          <w:rFonts w:hint="eastAsia" w:eastAsia="宋体"/>
          <w:lang w:val="en-US" w:eastAsia="zh-CN"/>
        </w:rPr>
        <w:instrText xml:space="preserve"> HYPERLINK "https://doi.org/10.1177/11297298241258257." </w:instrText>
      </w:r>
      <w:r>
        <w:rPr>
          <w:rFonts w:hint="eastAsia" w:eastAsia="宋体"/>
          <w:lang w:val="en-US" w:eastAsia="zh-CN"/>
        </w:rPr>
        <w:fldChar w:fldCharType="separate"/>
      </w:r>
      <w:r>
        <w:rPr>
          <w:rStyle w:val="136"/>
          <w:rFonts w:hint="eastAsia" w:eastAsia="宋体"/>
          <w:lang w:val="en-US" w:eastAsia="zh-CN"/>
        </w:rPr>
        <w:t>https://doi.org/10.1177/11297298241258257.</w:t>
      </w:r>
      <w:r>
        <w:rPr>
          <w:rFonts w:hint="eastAsia" w:eastAsia="宋体"/>
          <w:lang w:val="en-US" w:eastAsia="zh-CN"/>
        </w:rPr>
        <w:fldChar w:fldCharType="end"/>
      </w:r>
      <w:r>
        <w:rPr>
          <w:rFonts w:hint="eastAsia" w:eastAsia="宋体"/>
          <w:lang w:val="en-US" w:eastAsia="zh-CN"/>
        </w:rPr>
        <w:t xml:space="preserve"> </w:t>
      </w:r>
    </w:p>
    <w:p w14:paraId="5014B064">
      <w:pPr>
        <w:ind w:left="360" w:hanging="360"/>
        <w:rPr>
          <w:rFonts w:hint="eastAsia" w:eastAsia="宋体"/>
          <w:lang w:val="en-US" w:eastAsia="zh-CN"/>
        </w:rPr>
      </w:pPr>
      <w:r>
        <w:t>1</w:t>
      </w:r>
      <w:r>
        <w:rPr>
          <w:rFonts w:hint="eastAsia" w:eastAsia="宋体"/>
          <w:lang w:val="en-US" w:eastAsia="zh-CN"/>
        </w:rPr>
        <w:t>6</w:t>
      </w:r>
      <w:r>
        <w:t xml:space="preserve">. Cooke M, Ullman AJ, Ray-Barruel G, Wallis M, Corley A, Rickard CM. Not “just” an intravenous line: consumer perspectives on peripheral intravenous cannulation (PIVC). An international cross-sectional survey of 25 countries. PLoS One. 2018;13(2):e0193436. </w:t>
      </w:r>
      <w:r>
        <w:rPr>
          <w:rStyle w:val="136"/>
          <w:rFonts w:hint="eastAsia" w:eastAsia="宋体"/>
          <w:lang w:val="en-US" w:eastAsia="zh-CN"/>
        </w:rPr>
        <w:fldChar w:fldCharType="begin"/>
      </w:r>
      <w:r>
        <w:rPr>
          <w:rStyle w:val="136"/>
          <w:rFonts w:hint="eastAsia" w:eastAsia="宋体"/>
          <w:lang w:val="en-US" w:eastAsia="zh-CN"/>
        </w:rPr>
        <w:instrText xml:space="preserve"> HYPERLINK "https://doi.org/10.1371/journal.pone.0193436." </w:instrText>
      </w:r>
      <w:r>
        <w:rPr>
          <w:rStyle w:val="136"/>
          <w:rFonts w:hint="eastAsia" w:eastAsia="宋体"/>
          <w:lang w:val="en-US" w:eastAsia="zh-CN"/>
        </w:rPr>
        <w:fldChar w:fldCharType="separate"/>
      </w:r>
      <w:r>
        <w:rPr>
          <w:rStyle w:val="136"/>
          <w:rFonts w:hint="eastAsia" w:eastAsia="宋体"/>
          <w:lang w:val="en-US" w:eastAsia="zh-CN"/>
        </w:rPr>
        <w:t>https://doi.org/</w:t>
      </w:r>
      <w:r>
        <w:rPr>
          <w:rStyle w:val="136"/>
        </w:rPr>
        <w:t>10.1371/journal.pone.0193436.</w:t>
      </w:r>
      <w:r>
        <w:rPr>
          <w:rStyle w:val="136"/>
          <w:rFonts w:hint="eastAsia" w:eastAsia="宋体"/>
          <w:lang w:val="en-US" w:eastAsia="zh-CN"/>
        </w:rPr>
        <w:fldChar w:fldCharType="end"/>
      </w:r>
    </w:p>
    <w:p w14:paraId="4250A55A">
      <w:pPr>
        <w:ind w:left="360" w:hanging="360"/>
        <w:rPr>
          <w:rFonts w:hint="eastAsia" w:eastAsia="宋体"/>
          <w:lang w:val="en-US" w:eastAsia="zh-CN"/>
        </w:rPr>
      </w:pPr>
      <w:r>
        <w:t>1</w:t>
      </w:r>
      <w:r>
        <w:rPr>
          <w:rFonts w:hint="eastAsia" w:eastAsia="宋体"/>
          <w:lang w:val="en-US" w:eastAsia="zh-CN"/>
        </w:rPr>
        <w:t>7</w:t>
      </w:r>
      <w:r>
        <w:t xml:space="preserve">. Larsen E, Keogh S, Marsh N, Rickard C. Experiences of peripheral IV insertion in hospital: a qualitative study. Br J Nurs. 2017;26(19):S18-S25. </w:t>
      </w:r>
      <w:r>
        <w:rPr>
          <w:rStyle w:val="136"/>
          <w:rFonts w:hint="eastAsia" w:eastAsia="宋体"/>
          <w:lang w:val="en-US" w:eastAsia="zh-CN"/>
        </w:rPr>
        <w:fldChar w:fldCharType="begin"/>
      </w:r>
      <w:r>
        <w:rPr>
          <w:rStyle w:val="136"/>
          <w:rFonts w:hint="eastAsia" w:eastAsia="宋体"/>
          <w:lang w:val="en-US" w:eastAsia="zh-CN"/>
        </w:rPr>
        <w:instrText xml:space="preserve"> HYPERLINK "https://doi.org/10.12968/bjon.2017.26.19.S18." </w:instrText>
      </w:r>
      <w:r>
        <w:rPr>
          <w:rStyle w:val="136"/>
          <w:rFonts w:hint="eastAsia" w:eastAsia="宋体"/>
          <w:lang w:val="en-US" w:eastAsia="zh-CN"/>
        </w:rPr>
        <w:fldChar w:fldCharType="separate"/>
      </w:r>
      <w:r>
        <w:rPr>
          <w:rStyle w:val="136"/>
          <w:rFonts w:hint="eastAsia" w:eastAsia="宋体"/>
          <w:lang w:val="en-US" w:eastAsia="zh-CN"/>
        </w:rPr>
        <w:t>https://doi.org/</w:t>
      </w:r>
      <w:r>
        <w:rPr>
          <w:rStyle w:val="136"/>
        </w:rPr>
        <w:t>10.12968/bjon.2017.26.19.S18.</w:t>
      </w:r>
      <w:r>
        <w:rPr>
          <w:rStyle w:val="136"/>
          <w:rFonts w:hint="eastAsia" w:eastAsia="宋体"/>
          <w:lang w:val="en-US" w:eastAsia="zh-CN"/>
        </w:rPr>
        <w:fldChar w:fldCharType="end"/>
      </w:r>
    </w:p>
    <w:p w14:paraId="6F298750">
      <w:pPr>
        <w:ind w:left="360" w:hanging="360"/>
        <w:rPr>
          <w:rFonts w:hint="eastAsia" w:eastAsia="宋体"/>
          <w:lang w:val="en-US" w:eastAsia="zh-CN"/>
        </w:rPr>
      </w:pPr>
      <w:r>
        <w:rPr>
          <w:rFonts w:hint="eastAsia" w:eastAsia="宋体"/>
          <w:lang w:val="en-US" w:eastAsia="zh-CN"/>
        </w:rPr>
        <w:t>18</w:t>
      </w:r>
      <w:r>
        <w:t>. Plohal A. A qualitative study of adult hospitalized patients with difficult venous access experiencing short peripheral catheter insertion in a hospital setting. J Infus Nurs. 2021;44(1):26-33.</w:t>
      </w:r>
      <w:r>
        <w:rPr>
          <w:rFonts w:hint="eastAsia" w:eastAsia="宋体"/>
          <w:lang w:val="en-US" w:eastAsia="zh-CN"/>
        </w:rPr>
        <w:t xml:space="preserve"> </w:t>
      </w:r>
      <w:r>
        <w:rPr>
          <w:rFonts w:hint="eastAsia"/>
        </w:rPr>
        <w:fldChar w:fldCharType="begin"/>
      </w:r>
      <w:r>
        <w:rPr>
          <w:rFonts w:hint="eastAsia"/>
        </w:rPr>
        <w:instrText xml:space="preserve"> HYPERLINK "https://doi.org/10.1097/nan.0000000000000408." </w:instrText>
      </w:r>
      <w:r>
        <w:rPr>
          <w:rFonts w:hint="eastAsia"/>
        </w:rPr>
        <w:fldChar w:fldCharType="separate"/>
      </w:r>
      <w:r>
        <w:rPr>
          <w:rStyle w:val="136"/>
          <w:rFonts w:hint="eastAsia"/>
        </w:rPr>
        <w:t>https://doi.org/10.1097/nan.0000000000000408.</w:t>
      </w:r>
      <w:r>
        <w:rPr>
          <w:rFonts w:hint="eastAsia"/>
        </w:rPr>
        <w:fldChar w:fldCharType="end"/>
      </w:r>
      <w:r>
        <w:rPr>
          <w:rFonts w:hint="eastAsia" w:eastAsia="宋体"/>
          <w:lang w:val="en-US" w:eastAsia="zh-CN"/>
        </w:rPr>
        <w:t xml:space="preserve"> </w:t>
      </w:r>
    </w:p>
    <w:p w14:paraId="798B485F">
      <w:pPr>
        <w:ind w:left="360" w:hanging="360"/>
        <w:rPr>
          <w:rFonts w:hint="eastAsia" w:eastAsia="宋体"/>
          <w:lang w:val="en-US" w:eastAsia="zh-CN"/>
        </w:rPr>
      </w:pPr>
      <w:r>
        <w:rPr>
          <w:rFonts w:hint="eastAsia" w:eastAsia="宋体"/>
          <w:lang w:val="en-US" w:eastAsia="zh-CN"/>
        </w:rPr>
        <w:t>19</w:t>
      </w:r>
      <w:r>
        <w:t xml:space="preserve">. </w:t>
      </w:r>
      <w:r>
        <w:rPr>
          <w:rFonts w:hint="eastAsia"/>
        </w:rPr>
        <w:t xml:space="preserve">Omkar Prasad R, Chew T, Giri JR, Hoerauf K. Patient experience with vascular access management informs satisfaction with overall hospitalization experience. J Infus Nurs. </w:t>
      </w:r>
      <w:r>
        <w:t>2022;45(2):95-103</w:t>
      </w:r>
      <w:r>
        <w:rPr>
          <w:rFonts w:hint="eastAsia"/>
        </w:rPr>
        <w:t xml:space="preserve">. </w:t>
      </w:r>
      <w:r>
        <w:rPr>
          <w:rFonts w:hint="eastAsia"/>
        </w:rPr>
        <w:fldChar w:fldCharType="begin"/>
      </w:r>
      <w:r>
        <w:rPr>
          <w:rFonts w:hint="eastAsia"/>
        </w:rPr>
        <w:instrText xml:space="preserve"> HYPERLINK "https://doi.org/10.1097/nan.0000000000000460." </w:instrText>
      </w:r>
      <w:r>
        <w:rPr>
          <w:rFonts w:hint="eastAsia"/>
        </w:rPr>
        <w:fldChar w:fldCharType="separate"/>
      </w:r>
      <w:r>
        <w:rPr>
          <w:rStyle w:val="136"/>
          <w:rFonts w:hint="eastAsia"/>
        </w:rPr>
        <w:t>https://doi.org/10.1097/nan.0000000000000460.</w:t>
      </w:r>
      <w:r>
        <w:rPr>
          <w:rFonts w:hint="eastAsia"/>
        </w:rPr>
        <w:fldChar w:fldCharType="end"/>
      </w:r>
      <w:r>
        <w:rPr>
          <w:rFonts w:hint="eastAsia" w:eastAsia="宋体"/>
          <w:lang w:val="en-US" w:eastAsia="zh-CN"/>
        </w:rPr>
        <w:t xml:space="preserve"> </w:t>
      </w:r>
    </w:p>
    <w:p w14:paraId="07E1DDAE">
      <w:pPr>
        <w:ind w:left="360" w:hanging="360"/>
        <w:rPr>
          <w:rFonts w:hint="eastAsia" w:eastAsia="宋体"/>
          <w:lang w:val="en-US" w:eastAsia="zh-CN"/>
        </w:rPr>
      </w:pPr>
      <w:r>
        <w:t>2</w:t>
      </w:r>
      <w:r>
        <w:rPr>
          <w:rFonts w:hint="eastAsia" w:eastAsia="宋体"/>
          <w:lang w:val="en-US" w:eastAsia="zh-CN"/>
        </w:rPr>
        <w:t>0</w:t>
      </w:r>
      <w:r>
        <w:t xml:space="preserve">. </w:t>
      </w:r>
      <w:r>
        <w:rPr>
          <w:rFonts w:hint="eastAsia"/>
        </w:rPr>
        <w:t xml:space="preserve">Marsh N, Larsen EN, Takashima M, Kleidon T, Keogh S, Ullman AJ, et al. Peripheral intravenous catheter failure: A secondary analysis of risks from 11,830 catheters. International Journal of Nursing Studies. 2021;124:104095. </w:t>
      </w:r>
      <w:r>
        <w:rPr>
          <w:rFonts w:hint="eastAsia"/>
        </w:rPr>
        <w:fldChar w:fldCharType="begin"/>
      </w:r>
      <w:r>
        <w:rPr>
          <w:rFonts w:hint="eastAsia"/>
        </w:rPr>
        <w:instrText xml:space="preserve"> HYPERLINK "https://doi.org/10.1016/j.ijnurstu.2021.104095." </w:instrText>
      </w:r>
      <w:r>
        <w:rPr>
          <w:rFonts w:hint="eastAsia"/>
        </w:rPr>
        <w:fldChar w:fldCharType="separate"/>
      </w:r>
      <w:r>
        <w:rPr>
          <w:rStyle w:val="136"/>
          <w:rFonts w:hint="eastAsia"/>
        </w:rPr>
        <w:t>https://doi.org/10.1016/j.ijnurstu.2021.104095.</w:t>
      </w:r>
      <w:r>
        <w:rPr>
          <w:rFonts w:hint="eastAsia"/>
        </w:rPr>
        <w:fldChar w:fldCharType="end"/>
      </w:r>
      <w:r>
        <w:rPr>
          <w:rFonts w:hint="eastAsia" w:eastAsia="宋体"/>
          <w:lang w:val="en-US" w:eastAsia="zh-CN"/>
        </w:rPr>
        <w:t xml:space="preserve"> </w:t>
      </w:r>
    </w:p>
    <w:p w14:paraId="493472E1">
      <w:pPr>
        <w:ind w:left="360" w:hanging="360"/>
        <w:rPr>
          <w:rFonts w:hint="eastAsia" w:eastAsia="宋体"/>
          <w:lang w:val="en-US" w:eastAsia="zh-CN"/>
        </w:rPr>
      </w:pPr>
      <w:r>
        <w:t>2</w:t>
      </w:r>
      <w:r>
        <w:rPr>
          <w:rFonts w:hint="eastAsia" w:eastAsia="宋体"/>
          <w:lang w:val="en-US" w:eastAsia="zh-CN"/>
        </w:rPr>
        <w:t>1</w:t>
      </w:r>
      <w:r>
        <w:t>. Mermel LA. Short-term peripheral venous catheter-related bloodstream infections: a systematic review. Clin Infect Dis. 2017;65(10):1757-1762.</w:t>
      </w:r>
      <w:r>
        <w:rPr>
          <w:rFonts w:hint="eastAsia" w:eastAsia="宋体"/>
          <w:lang w:val="en-US" w:eastAsia="zh-CN"/>
        </w:rPr>
        <w:t xml:space="preserve"> </w:t>
      </w:r>
      <w:r>
        <w:rPr>
          <w:rFonts w:hint="eastAsia"/>
        </w:rPr>
        <w:fldChar w:fldCharType="begin"/>
      </w:r>
      <w:r>
        <w:rPr>
          <w:rFonts w:hint="eastAsia"/>
        </w:rPr>
        <w:instrText xml:space="preserve"> HYPERLINK "https://doi.org/10.1093/cid/cix562." </w:instrText>
      </w:r>
      <w:r>
        <w:rPr>
          <w:rFonts w:hint="eastAsia"/>
        </w:rPr>
        <w:fldChar w:fldCharType="separate"/>
      </w:r>
      <w:r>
        <w:rPr>
          <w:rStyle w:val="136"/>
          <w:rFonts w:hint="eastAsia"/>
        </w:rPr>
        <w:t>https://doi.org/10.1093/cid/cix562.</w:t>
      </w:r>
      <w:r>
        <w:rPr>
          <w:rFonts w:hint="eastAsia"/>
        </w:rPr>
        <w:fldChar w:fldCharType="end"/>
      </w:r>
      <w:r>
        <w:rPr>
          <w:rFonts w:hint="eastAsia" w:eastAsia="宋体"/>
          <w:lang w:val="en-US" w:eastAsia="zh-CN"/>
        </w:rPr>
        <w:t xml:space="preserve"> </w:t>
      </w:r>
    </w:p>
    <w:p w14:paraId="68C24188">
      <w:pPr>
        <w:ind w:left="360" w:hanging="360"/>
        <w:rPr>
          <w:rFonts w:hint="eastAsia" w:eastAsia="宋体"/>
          <w:lang w:val="en-US" w:eastAsia="zh-CN"/>
        </w:rPr>
      </w:pPr>
      <w:r>
        <w:t>2</w:t>
      </w:r>
      <w:r>
        <w:rPr>
          <w:rFonts w:hint="eastAsia" w:eastAsia="宋体"/>
          <w:lang w:val="en-US" w:eastAsia="zh-CN"/>
        </w:rPr>
        <w:t>2</w:t>
      </w:r>
      <w:r>
        <w:t xml:space="preserve">. </w:t>
      </w:r>
      <w:r>
        <w:rPr>
          <w:rFonts w:hint="eastAsia"/>
        </w:rPr>
        <w:t xml:space="preserve">Chen CY, Chen WC, Chen JY, Lai CC, Wei YF. Comparison of clinically indicated replacement and routine replacement of peripheral intravenous catheters: A systematic review and meta-analysis of randomized controlled trials. Front Med. </w:t>
      </w:r>
      <w:r>
        <w:t>2022;9:964096</w:t>
      </w:r>
      <w:r>
        <w:rPr>
          <w:rFonts w:hint="eastAsia"/>
        </w:rPr>
        <w:t xml:space="preserve">. </w:t>
      </w:r>
      <w:r>
        <w:rPr>
          <w:rFonts w:hint="eastAsia"/>
        </w:rPr>
        <w:fldChar w:fldCharType="begin"/>
      </w:r>
      <w:r>
        <w:rPr>
          <w:rFonts w:hint="eastAsia"/>
        </w:rPr>
        <w:instrText xml:space="preserve"> HYPERLINK "https://doi.org/10.3389/fmed.2022.964096." </w:instrText>
      </w:r>
      <w:r>
        <w:rPr>
          <w:rFonts w:hint="eastAsia"/>
        </w:rPr>
        <w:fldChar w:fldCharType="separate"/>
      </w:r>
      <w:r>
        <w:rPr>
          <w:rStyle w:val="136"/>
          <w:rFonts w:hint="eastAsia"/>
        </w:rPr>
        <w:t>https://doi.org/10.3389/fmed.2022.964096.</w:t>
      </w:r>
      <w:r>
        <w:rPr>
          <w:rFonts w:hint="eastAsia"/>
        </w:rPr>
        <w:fldChar w:fldCharType="end"/>
      </w:r>
      <w:r>
        <w:rPr>
          <w:rFonts w:hint="eastAsia" w:eastAsia="宋体"/>
          <w:lang w:val="en-US" w:eastAsia="zh-CN"/>
        </w:rPr>
        <w:t xml:space="preserve"> </w:t>
      </w:r>
    </w:p>
    <w:p w14:paraId="15E10A41">
      <w:pPr>
        <w:ind w:left="360" w:hanging="360"/>
        <w:rPr>
          <w:rFonts w:hint="eastAsia" w:eastAsia="宋体"/>
          <w:lang w:val="en-US" w:eastAsia="zh-CN"/>
        </w:rPr>
      </w:pPr>
      <w:r>
        <w:t>2</w:t>
      </w:r>
      <w:r>
        <w:rPr>
          <w:rFonts w:hint="eastAsia" w:eastAsia="宋体"/>
          <w:lang w:val="en-US" w:eastAsia="zh-CN"/>
        </w:rPr>
        <w:t>3</w:t>
      </w:r>
      <w:r>
        <w:t xml:space="preserve">. Psaila J, Parsons TF, Hahn SA, Fichera L. Prospective study evaluating whether standard peripheral intravenous catheters can be used for blood collection throughout hospital stay. J Infus Nurs. 2023;46(1):43-47. </w:t>
      </w:r>
      <w:r>
        <w:rPr>
          <w:rStyle w:val="136"/>
          <w:rFonts w:hint="eastAsia"/>
        </w:rPr>
        <w:fldChar w:fldCharType="begin"/>
      </w:r>
      <w:r>
        <w:rPr>
          <w:rStyle w:val="136"/>
          <w:rFonts w:hint="eastAsia"/>
        </w:rPr>
        <w:instrText xml:space="preserve"> HYPERLINK "https://doi.org/10.1097/NAN.0000000000000493." </w:instrText>
      </w:r>
      <w:r>
        <w:rPr>
          <w:rStyle w:val="136"/>
          <w:rFonts w:hint="eastAsia"/>
        </w:rPr>
        <w:fldChar w:fldCharType="separate"/>
      </w:r>
      <w:r>
        <w:rPr>
          <w:rStyle w:val="136"/>
          <w:rFonts w:hint="eastAsia"/>
        </w:rPr>
        <w:t>https://doi.org/</w:t>
      </w:r>
      <w:r>
        <w:rPr>
          <w:rStyle w:val="136"/>
        </w:rPr>
        <w:t>10.1097/NAN.0000000000000493.</w:t>
      </w:r>
      <w:r>
        <w:rPr>
          <w:rStyle w:val="136"/>
          <w:rFonts w:hint="eastAsia"/>
        </w:rPr>
        <w:fldChar w:fldCharType="end"/>
      </w:r>
      <w:r>
        <w:rPr>
          <w:rFonts w:hint="eastAsia" w:eastAsia="宋体"/>
          <w:lang w:val="en-US" w:eastAsia="zh-CN"/>
        </w:rPr>
        <w:t xml:space="preserve"> </w:t>
      </w:r>
    </w:p>
    <w:p w14:paraId="6C7756CF">
      <w:pPr>
        <w:ind w:left="360" w:hanging="360"/>
        <w:rPr>
          <w:rFonts w:hint="eastAsia" w:eastAsia="宋体"/>
          <w:lang w:val="en-US" w:eastAsia="zh-CN"/>
        </w:rPr>
      </w:pPr>
      <w:r>
        <w:t>2</w:t>
      </w:r>
      <w:r>
        <w:rPr>
          <w:rFonts w:hint="eastAsia" w:eastAsia="宋体"/>
          <w:lang w:val="en-US" w:eastAsia="zh-CN"/>
        </w:rPr>
        <w:t>4</w:t>
      </w:r>
      <w:r>
        <w:t xml:space="preserve">. </w:t>
      </w:r>
      <w:r>
        <w:rPr>
          <w:rFonts w:hint="eastAsia"/>
        </w:rPr>
        <w:t>Davies H, Jacob A, Aboo L, Coventry L, Jacob E. Drawing blood from a peripheral intravenous cannula and its effect on cannula dwell time, phlebitis, and bloodstream infection: A randomised controlled study. Collegian. 2024;31:181</w:t>
      </w:r>
      <w:r>
        <w:rPr>
          <w:rFonts w:hint="eastAsia" w:eastAsia="宋体"/>
          <w:lang w:val="en-US" w:eastAsia="zh-CN"/>
        </w:rPr>
        <w:t>-18</w:t>
      </w:r>
      <w:r>
        <w:rPr>
          <w:rFonts w:hint="eastAsia"/>
        </w:rPr>
        <w:t xml:space="preserve">7. </w:t>
      </w:r>
      <w:r>
        <w:rPr>
          <w:rFonts w:hint="eastAsia"/>
        </w:rPr>
        <w:fldChar w:fldCharType="begin"/>
      </w:r>
      <w:r>
        <w:rPr>
          <w:rFonts w:hint="eastAsia"/>
        </w:rPr>
        <w:instrText xml:space="preserve"> HYPERLINK "https://doi.org/10.1016/j.colegn.2024.04.001." </w:instrText>
      </w:r>
      <w:r>
        <w:rPr>
          <w:rFonts w:hint="eastAsia"/>
        </w:rPr>
        <w:fldChar w:fldCharType="separate"/>
      </w:r>
      <w:r>
        <w:rPr>
          <w:rStyle w:val="136"/>
          <w:rFonts w:hint="eastAsia"/>
        </w:rPr>
        <w:t>https://doi.org/10.1016/j.colegn.2024.04.001.</w:t>
      </w:r>
      <w:r>
        <w:rPr>
          <w:rFonts w:hint="eastAsia"/>
        </w:rPr>
        <w:fldChar w:fldCharType="end"/>
      </w:r>
      <w:r>
        <w:rPr>
          <w:rFonts w:hint="eastAsia" w:eastAsia="宋体"/>
          <w:lang w:val="en-US" w:eastAsia="zh-CN"/>
        </w:rPr>
        <w:t xml:space="preserve"> </w:t>
      </w:r>
    </w:p>
    <w:p w14:paraId="1A39342A">
      <w:pPr>
        <w:ind w:left="360" w:hanging="360"/>
        <w:rPr>
          <w:rFonts w:hint="eastAsia" w:eastAsia="宋体"/>
          <w:lang w:val="en-US" w:eastAsia="zh-CN"/>
        </w:rPr>
      </w:pPr>
      <w:r>
        <w:t>2</w:t>
      </w:r>
      <w:r>
        <w:rPr>
          <w:rFonts w:hint="eastAsia" w:eastAsia="宋体"/>
          <w:lang w:val="en-US" w:eastAsia="zh-CN"/>
        </w:rPr>
        <w:t>5</w:t>
      </w:r>
      <w:r>
        <w:t xml:space="preserve">. </w:t>
      </w:r>
      <w:r>
        <w:rPr>
          <w:rFonts w:hint="eastAsia"/>
        </w:rPr>
        <w:t>Karabey T, Karagözoğlu Ş. The effect of new device on pain and comfort levels in individuals undergoing peripheral intravenous cannula insertion. J Vasc Access. 2024;25:432</w:t>
      </w:r>
      <w:r>
        <w:rPr>
          <w:rFonts w:hint="eastAsia" w:eastAsia="宋体"/>
          <w:lang w:val="en-US" w:eastAsia="zh-CN"/>
        </w:rPr>
        <w:t>-43</w:t>
      </w:r>
      <w:r>
        <w:rPr>
          <w:rFonts w:hint="eastAsia"/>
        </w:rPr>
        <w:t xml:space="preserve">8. </w:t>
      </w:r>
      <w:r>
        <w:rPr>
          <w:rFonts w:hint="eastAsia"/>
        </w:rPr>
        <w:fldChar w:fldCharType="begin"/>
      </w:r>
      <w:r>
        <w:rPr>
          <w:rFonts w:hint="eastAsia"/>
        </w:rPr>
        <w:instrText xml:space="preserve"> HYPERLINK "https://doi.org/10.1177/11297298221113685." </w:instrText>
      </w:r>
      <w:r>
        <w:rPr>
          <w:rFonts w:hint="eastAsia"/>
        </w:rPr>
        <w:fldChar w:fldCharType="separate"/>
      </w:r>
      <w:r>
        <w:rPr>
          <w:rStyle w:val="136"/>
          <w:rFonts w:hint="eastAsia"/>
        </w:rPr>
        <w:t>https://doi.org/10.1177/11297298221113685.</w:t>
      </w:r>
      <w:r>
        <w:rPr>
          <w:rFonts w:hint="eastAsia"/>
        </w:rPr>
        <w:fldChar w:fldCharType="end"/>
      </w:r>
      <w:r>
        <w:rPr>
          <w:rFonts w:hint="eastAsia" w:eastAsia="宋体"/>
          <w:lang w:val="en-US" w:eastAsia="zh-CN"/>
        </w:rPr>
        <w:t xml:space="preserve"> </w:t>
      </w:r>
    </w:p>
    <w:p w14:paraId="54E3061D">
      <w:pPr>
        <w:ind w:left="360" w:hanging="360"/>
      </w:pPr>
      <w:r>
        <w:t>2</w:t>
      </w:r>
      <w:r>
        <w:rPr>
          <w:rFonts w:hint="eastAsia" w:eastAsia="宋体"/>
          <w:lang w:val="en-US" w:eastAsia="zh-CN"/>
        </w:rPr>
        <w:t>6</w:t>
      </w:r>
      <w:r>
        <w:t xml:space="preserve">. </w:t>
      </w:r>
      <w:r>
        <w:rPr>
          <w:rFonts w:hint="eastAsia"/>
        </w:rPr>
        <w:t>Fusco N, Bernard F, Roelants F, Watremez C, Musellec H, Laviolle B, et al. Hypnosis and communication reduce pain and anxiety in peripheral intravenous cannulation: Effect of language and confusion on pain during peripheral intravenous catheterization (KTHYPE), a multicentre randomised trial. Br J Anaesth. 2020;124:292</w:t>
      </w:r>
      <w:r>
        <w:rPr>
          <w:rFonts w:hint="eastAsia" w:eastAsia="宋体"/>
          <w:lang w:val="en-US" w:eastAsia="zh-CN"/>
        </w:rPr>
        <w:t>-29</w:t>
      </w:r>
      <w:r>
        <w:rPr>
          <w:rFonts w:hint="eastAsia"/>
        </w:rPr>
        <w:t xml:space="preserve">8. </w:t>
      </w:r>
      <w:r>
        <w:rPr>
          <w:rFonts w:hint="eastAsia"/>
        </w:rPr>
        <w:fldChar w:fldCharType="begin"/>
      </w:r>
      <w:r>
        <w:rPr>
          <w:rFonts w:hint="eastAsia"/>
        </w:rPr>
        <w:instrText xml:space="preserve"> HYPERLINK "https://doi.org/10.1016/j.bja.2019.11.020." </w:instrText>
      </w:r>
      <w:r>
        <w:rPr>
          <w:rFonts w:hint="eastAsia"/>
        </w:rPr>
        <w:fldChar w:fldCharType="separate"/>
      </w:r>
      <w:r>
        <w:rPr>
          <w:rStyle w:val="136"/>
          <w:rFonts w:hint="eastAsia"/>
        </w:rPr>
        <w:t>https://doi.org/10.1016/j.bja.2019.11.020.</w:t>
      </w:r>
      <w:r>
        <w:rPr>
          <w:rFonts w:hint="eastAsia"/>
        </w:rPr>
        <w:fldChar w:fldCharType="end"/>
      </w:r>
      <w:r>
        <w:rPr>
          <w:rFonts w:hint="eastAsia" w:eastAsia="宋体"/>
          <w:lang w:val="en-US" w:eastAsia="zh-CN"/>
        </w:rPr>
        <w:t xml:space="preserve"> </w:t>
      </w:r>
      <w:r>
        <w:t>Table S3. Experimental design details</w:t>
      </w:r>
    </w:p>
    <w:p w14:paraId="4F70E810">
      <w:r>
        <w:br w:type="page"/>
      </w:r>
    </w:p>
    <w:p w14:paraId="6F112800">
      <w:pPr>
        <w:pStyle w:val="145"/>
        <w:ind w:left="0" w:leftChars="0" w:firstLine="0" w:firstLineChars="0"/>
      </w:pPr>
      <w:r>
        <w:rPr>
          <w:rFonts w:hint="eastAsia" w:eastAsia="宋体"/>
          <w:lang w:val="en-US" w:eastAsia="zh-CN"/>
        </w:rPr>
        <w:t xml:space="preserve">Supplementary </w:t>
      </w:r>
      <w:r>
        <w:rPr>
          <w:sz w:val="20"/>
          <w:szCs w:val="20"/>
        </w:rPr>
        <w:t>Table S</w:t>
      </w:r>
      <w:r>
        <w:rPr>
          <w:rFonts w:hint="eastAsia" w:eastAsia="宋体"/>
          <w:sz w:val="20"/>
          <w:szCs w:val="20"/>
          <w:lang w:val="en-US" w:eastAsia="zh-CN"/>
        </w:rPr>
        <w:t>3</w:t>
      </w:r>
      <w:r>
        <w:rPr>
          <w:sz w:val="20"/>
          <w:szCs w:val="20"/>
        </w:rPr>
        <w:t>.</w:t>
      </w:r>
      <w:r>
        <w:rPr>
          <w:rFonts w:hint="default" w:ascii="Times New Roman" w:hAnsi="Times New Roman" w:cs="Times New Roman"/>
          <w:color w:val="000000" w:themeColor="text1"/>
          <w:szCs w:val="22"/>
          <w14:textFill>
            <w14:solidFill>
              <w14:schemeClr w14:val="tx1"/>
            </w14:solidFill>
          </w14:textFill>
        </w:rPr>
        <w:t xml:space="preserve"> mWTP for the attribute</w:t>
      </w:r>
      <w:r>
        <w:rPr>
          <w:rFonts w:hint="eastAsia" w:ascii="Times New Roman" w:hAnsi="Times New Roman" w:cs="Times New Roman"/>
          <w:color w:val="000000" w:themeColor="text1"/>
          <w:szCs w:val="22"/>
          <w:lang w:val="en-US" w:eastAsia="zh-CN"/>
          <w14:textFill>
            <w14:solidFill>
              <w14:schemeClr w14:val="tx1"/>
            </w14:solidFill>
          </w14:textFill>
        </w:rPr>
        <w:t xml:space="preserve"> levels</w:t>
      </w:r>
      <w:r>
        <w:rPr>
          <w:rFonts w:hint="default" w:ascii="Times New Roman" w:hAnsi="Times New Roman" w:cs="Times New Roman"/>
          <w:color w:val="000000" w:themeColor="text1"/>
          <w:szCs w:val="22"/>
          <w14:textFill>
            <w14:solidFill>
              <w14:schemeClr w14:val="tx1"/>
            </w14:solidFill>
          </w14:textFill>
        </w:rPr>
        <w:t>.</w:t>
      </w:r>
    </w:p>
    <w:tbl>
      <w:tblPr>
        <w:tblStyle w:val="32"/>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98"/>
        <w:gridCol w:w="2331"/>
        <w:gridCol w:w="2331"/>
        <w:gridCol w:w="2332"/>
      </w:tblGrid>
      <w:tr w14:paraId="64859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250" w:type="pct"/>
            <w:tcBorders>
              <w:top w:val="single" w:color="auto" w:sz="4" w:space="0"/>
              <w:left w:val="nil"/>
              <w:bottom w:val="single" w:color="auto" w:sz="4" w:space="0"/>
              <w:right w:val="nil"/>
            </w:tcBorders>
            <w:shd w:val="clear" w:color="auto" w:fill="auto"/>
            <w:noWrap/>
            <w:vAlign w:val="center"/>
          </w:tcPr>
          <w:p w14:paraId="61E8B3CB">
            <w:pPr>
              <w:keepNext w:val="0"/>
              <w:keepLines w:val="0"/>
              <w:widowControl/>
              <w:suppressLineNumbers w:val="0"/>
              <w:jc w:val="both"/>
              <w:textAlignment w:val="bottom"/>
              <w:rPr>
                <w:rFonts w:hint="default" w:ascii="Times New Roman" w:hAnsi="Times New Roman"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Attribute</w:t>
            </w:r>
          </w:p>
        </w:tc>
        <w:tc>
          <w:tcPr>
            <w:tcW w:w="1250" w:type="pct"/>
            <w:tcBorders>
              <w:top w:val="single" w:color="auto" w:sz="4" w:space="0"/>
              <w:left w:val="nil"/>
              <w:bottom w:val="single" w:color="auto" w:sz="4" w:space="0"/>
              <w:right w:val="nil"/>
            </w:tcBorders>
            <w:shd w:val="clear" w:color="auto" w:fill="auto"/>
            <w:noWrap/>
            <w:vAlign w:val="center"/>
          </w:tcPr>
          <w:p w14:paraId="3AFE8385">
            <w:pPr>
              <w:keepNext w:val="0"/>
              <w:keepLines w:val="0"/>
              <w:widowControl/>
              <w:suppressLineNumbers w:val="0"/>
              <w:jc w:val="both"/>
              <w:textAlignment w:val="bottom"/>
              <w:rPr>
                <w:rFonts w:hint="default" w:ascii="Times New Roman" w:hAnsi="Times New Roman" w:cs="Times New Roman"/>
                <w:i w:val="0"/>
                <w:iCs w:val="0"/>
                <w:color w:val="auto"/>
                <w:sz w:val="20"/>
                <w:szCs w:val="20"/>
                <w:u w:val="none"/>
              </w:rPr>
            </w:pPr>
            <w:r>
              <w:rPr>
                <w:rFonts w:hint="eastAsia" w:eastAsia="宋体" w:cs="Times New Roman"/>
                <w:color w:val="auto"/>
                <w:sz w:val="20"/>
                <w:szCs w:val="20"/>
                <w:lang w:val="en-US" w:eastAsia="zh-CN"/>
              </w:rPr>
              <w:t xml:space="preserve">mWTP </w:t>
            </w:r>
            <w:r>
              <w:rPr>
                <w:rFonts w:hint="default" w:ascii="Times New Roman" w:hAnsi="Times New Roman" w:eastAsia="宋体" w:cs="Times New Roman"/>
                <w:color w:val="auto"/>
                <w:sz w:val="20"/>
                <w:szCs w:val="20"/>
              </w:rPr>
              <w:t>(¥)</w:t>
            </w:r>
          </w:p>
        </w:tc>
        <w:tc>
          <w:tcPr>
            <w:tcW w:w="1250" w:type="pct"/>
            <w:tcBorders>
              <w:top w:val="single" w:color="auto" w:sz="4" w:space="0"/>
              <w:left w:val="nil"/>
              <w:bottom w:val="single" w:color="auto" w:sz="4" w:space="0"/>
              <w:right w:val="nil"/>
            </w:tcBorders>
            <w:shd w:val="clear" w:color="auto" w:fill="auto"/>
            <w:noWrap/>
            <w:vAlign w:val="center"/>
          </w:tcPr>
          <w:p w14:paraId="3109AD07">
            <w:pPr>
              <w:keepNext w:val="0"/>
              <w:keepLines w:val="0"/>
              <w:widowControl/>
              <w:suppressLineNumbers w:val="0"/>
              <w:jc w:val="both"/>
              <w:textAlignment w:val="bottom"/>
              <w:rPr>
                <w:rFonts w:hint="default" w:ascii="Times New Roman" w:hAnsi="Times New Roman" w:eastAsia="宋体" w:cs="Times New Roman"/>
                <w:i w:val="0"/>
                <w:iCs w:val="0"/>
                <w:color w:val="auto"/>
                <w:sz w:val="20"/>
                <w:szCs w:val="20"/>
                <w:u w:val="none"/>
                <w:lang w:val="en-US" w:eastAsia="zh-CN"/>
              </w:rPr>
            </w:pPr>
            <w:r>
              <w:rPr>
                <w:rFonts w:hint="default" w:ascii="Times New Roman" w:hAnsi="Times New Roman" w:eastAsia="宋体" w:cs="Times New Roman"/>
                <w:i w:val="0"/>
                <w:iCs w:val="0"/>
                <w:color w:val="auto"/>
                <w:sz w:val="20"/>
                <w:szCs w:val="20"/>
                <w:u w:val="none"/>
                <w:lang w:val="en-US" w:eastAsia="zh-CN"/>
              </w:rPr>
              <w:t>Lower 95% CI</w:t>
            </w:r>
          </w:p>
        </w:tc>
        <w:tc>
          <w:tcPr>
            <w:tcW w:w="1250" w:type="pct"/>
            <w:tcBorders>
              <w:top w:val="single" w:color="auto" w:sz="4" w:space="0"/>
              <w:left w:val="nil"/>
              <w:bottom w:val="single" w:color="auto" w:sz="4" w:space="0"/>
              <w:right w:val="nil"/>
            </w:tcBorders>
            <w:shd w:val="clear" w:color="auto" w:fill="auto"/>
            <w:noWrap/>
            <w:vAlign w:val="center"/>
          </w:tcPr>
          <w:p w14:paraId="15BB7B9F">
            <w:pPr>
              <w:keepNext w:val="0"/>
              <w:keepLines w:val="0"/>
              <w:widowControl/>
              <w:suppressLineNumbers w:val="0"/>
              <w:jc w:val="both"/>
              <w:textAlignment w:val="bottom"/>
              <w:rPr>
                <w:rFonts w:hint="default" w:ascii="Times New Roman" w:hAnsi="Times New Roman" w:eastAsia="宋体" w:cs="Times New Roman"/>
                <w:i w:val="0"/>
                <w:iCs w:val="0"/>
                <w:color w:val="auto"/>
                <w:sz w:val="20"/>
                <w:szCs w:val="20"/>
                <w:u w:val="none"/>
                <w:lang w:val="en-US" w:eastAsia="zh-CN"/>
              </w:rPr>
            </w:pPr>
            <w:r>
              <w:rPr>
                <w:rFonts w:hint="default" w:ascii="Times New Roman" w:hAnsi="Times New Roman" w:eastAsia="宋体" w:cs="Times New Roman"/>
                <w:i w:val="0"/>
                <w:iCs w:val="0"/>
                <w:color w:val="auto"/>
                <w:sz w:val="20"/>
                <w:szCs w:val="20"/>
                <w:u w:val="none"/>
                <w:lang w:val="en-US" w:eastAsia="zh-CN"/>
              </w:rPr>
              <w:t>Upper 95%CI</w:t>
            </w:r>
          </w:p>
        </w:tc>
      </w:tr>
      <w:tr w14:paraId="183D2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250" w:type="pct"/>
            <w:tcBorders>
              <w:top w:val="single" w:color="auto" w:sz="4" w:space="0"/>
              <w:left w:val="nil"/>
              <w:bottom w:val="nil"/>
              <w:right w:val="nil"/>
            </w:tcBorders>
            <w:shd w:val="clear" w:color="auto" w:fill="auto"/>
            <w:noWrap/>
            <w:vAlign w:val="center"/>
          </w:tcPr>
          <w:p w14:paraId="41AAB277">
            <w:pPr>
              <w:keepNext w:val="0"/>
              <w:keepLines w:val="0"/>
              <w:widowControl/>
              <w:suppressLineNumbers w:val="0"/>
              <w:jc w:val="both"/>
              <w:textAlignment w:val="bottom"/>
              <w:rPr>
                <w:rFonts w:hint="default" w:ascii="Times New Roman" w:hAnsi="Times New Roman"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Dwell time</w:t>
            </w:r>
            <w:r>
              <w:rPr>
                <w:rFonts w:hint="eastAsia" w:eastAsia="宋体" w:cs="Times New Roman"/>
                <w:i w:val="0"/>
                <w:iCs w:val="0"/>
                <w:color w:val="auto"/>
                <w:kern w:val="0"/>
                <w:sz w:val="20"/>
                <w:szCs w:val="20"/>
                <w:u w:val="none"/>
                <w:lang w:val="en-US" w:eastAsia="zh-CN" w:bidi="ar"/>
              </w:rPr>
              <w:t xml:space="preserve"> (1 week </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 xml:space="preserve"> </w:t>
            </w:r>
            <w:r>
              <w:rPr>
                <w:rFonts w:hint="default" w:ascii="Times New Roman" w:hAnsi="Times New Roman" w:eastAsia="宋体" w:cs="Times New Roman"/>
                <w:i w:val="0"/>
                <w:iCs w:val="0"/>
                <w:color w:val="auto"/>
                <w:kern w:val="0"/>
                <w:sz w:val="20"/>
                <w:szCs w:val="20"/>
                <w:u w:val="none"/>
                <w:lang w:val="en-US" w:eastAsia="zh-CN" w:bidi="ar"/>
              </w:rPr>
              <w:t>2 weeks</w:t>
            </w:r>
            <w:r>
              <w:rPr>
                <w:rFonts w:hint="eastAsia" w:eastAsia="宋体" w:cs="Times New Roman"/>
                <w:i w:val="0"/>
                <w:iCs w:val="0"/>
                <w:color w:val="auto"/>
                <w:kern w:val="0"/>
                <w:sz w:val="20"/>
                <w:szCs w:val="20"/>
                <w:u w:val="none"/>
                <w:lang w:val="en-US" w:eastAsia="zh-CN" w:bidi="ar"/>
              </w:rPr>
              <w:t>)</w:t>
            </w:r>
          </w:p>
        </w:tc>
        <w:tc>
          <w:tcPr>
            <w:tcW w:w="1250" w:type="pct"/>
            <w:tcBorders>
              <w:top w:val="single" w:color="auto" w:sz="4" w:space="0"/>
              <w:left w:val="nil"/>
              <w:bottom w:val="nil"/>
              <w:right w:val="nil"/>
            </w:tcBorders>
            <w:shd w:val="clear" w:color="auto" w:fill="auto"/>
            <w:noWrap/>
            <w:vAlign w:val="center"/>
          </w:tcPr>
          <w:p w14:paraId="3E0FAEB1">
            <w:pPr>
              <w:keepNext w:val="0"/>
              <w:keepLines w:val="0"/>
              <w:widowControl/>
              <w:suppressLineNumbers w:val="0"/>
              <w:jc w:val="both"/>
              <w:textAlignment w:val="bottom"/>
              <w:rPr>
                <w:rFonts w:hint="default" w:ascii="Times New Roman" w:hAnsi="Times New Roman"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132.17</w:t>
            </w:r>
          </w:p>
        </w:tc>
        <w:tc>
          <w:tcPr>
            <w:tcW w:w="1250" w:type="pct"/>
            <w:tcBorders>
              <w:top w:val="single" w:color="auto" w:sz="4" w:space="0"/>
              <w:left w:val="nil"/>
              <w:bottom w:val="nil"/>
              <w:right w:val="nil"/>
            </w:tcBorders>
            <w:shd w:val="clear" w:color="auto" w:fill="auto"/>
            <w:noWrap/>
            <w:vAlign w:val="center"/>
          </w:tcPr>
          <w:p w14:paraId="2363F072">
            <w:pPr>
              <w:keepNext w:val="0"/>
              <w:keepLines w:val="0"/>
              <w:widowControl/>
              <w:suppressLineNumbers w:val="0"/>
              <w:jc w:val="both"/>
              <w:textAlignment w:val="bottom"/>
              <w:rPr>
                <w:rFonts w:hint="default" w:ascii="Times New Roman" w:hAnsi="Times New Roman" w:cs="Times New Roman"/>
                <w:i w:val="0"/>
                <w:iCs w:val="0"/>
                <w:color w:val="auto"/>
                <w:sz w:val="20"/>
                <w:szCs w:val="20"/>
                <w:u w:val="none"/>
                <w:lang w:val="en-US"/>
              </w:rPr>
            </w:pPr>
            <w:r>
              <w:rPr>
                <w:rFonts w:hint="default" w:ascii="Times New Roman" w:hAnsi="Times New Roman" w:eastAsia="宋体" w:cs="Times New Roman"/>
                <w:i w:val="0"/>
                <w:iCs w:val="0"/>
                <w:color w:val="auto"/>
                <w:kern w:val="0"/>
                <w:sz w:val="20"/>
                <w:szCs w:val="20"/>
                <w:u w:val="none"/>
                <w:lang w:val="en-US" w:eastAsia="zh-CN" w:bidi="ar"/>
              </w:rPr>
              <w:t>-103.67</w:t>
            </w:r>
          </w:p>
        </w:tc>
        <w:tc>
          <w:tcPr>
            <w:tcW w:w="1250" w:type="pct"/>
            <w:tcBorders>
              <w:top w:val="single" w:color="auto" w:sz="4" w:space="0"/>
              <w:left w:val="nil"/>
              <w:bottom w:val="nil"/>
              <w:right w:val="nil"/>
            </w:tcBorders>
            <w:shd w:val="clear" w:color="auto" w:fill="auto"/>
            <w:noWrap/>
            <w:vAlign w:val="center"/>
          </w:tcPr>
          <w:p w14:paraId="2459710E">
            <w:pPr>
              <w:keepNext w:val="0"/>
              <w:keepLines w:val="0"/>
              <w:widowControl/>
              <w:suppressLineNumbers w:val="0"/>
              <w:jc w:val="both"/>
              <w:textAlignment w:val="bottom"/>
              <w:rPr>
                <w:rFonts w:hint="default" w:ascii="Times New Roman" w:hAnsi="Times New Roman"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368.01</w:t>
            </w:r>
          </w:p>
        </w:tc>
      </w:tr>
      <w:tr w14:paraId="21BAB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250" w:type="pct"/>
            <w:tcBorders>
              <w:top w:val="nil"/>
              <w:left w:val="nil"/>
              <w:bottom w:val="nil"/>
              <w:right w:val="nil"/>
            </w:tcBorders>
            <w:shd w:val="clear" w:color="auto" w:fill="auto"/>
            <w:noWrap/>
            <w:vAlign w:val="center"/>
          </w:tcPr>
          <w:p w14:paraId="18F0F2FE">
            <w:pPr>
              <w:keepNext w:val="0"/>
              <w:keepLines w:val="0"/>
              <w:widowControl/>
              <w:suppressLineNumbers w:val="0"/>
              <w:jc w:val="both"/>
              <w:textAlignment w:val="bottom"/>
              <w:rPr>
                <w:rFonts w:hint="default" w:ascii="Times New Roman" w:hAnsi="Times New Roman"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Dwell time</w:t>
            </w:r>
            <w:r>
              <w:rPr>
                <w:rFonts w:hint="eastAsia" w:eastAsia="宋体" w:cs="Times New Roman"/>
                <w:i w:val="0"/>
                <w:iCs w:val="0"/>
                <w:color w:val="auto"/>
                <w:kern w:val="0"/>
                <w:sz w:val="20"/>
                <w:szCs w:val="20"/>
                <w:u w:val="none"/>
                <w:lang w:val="en-US" w:eastAsia="zh-CN" w:bidi="ar"/>
              </w:rPr>
              <w:t xml:space="preserve"> (1 week </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 xml:space="preserve"> </w:t>
            </w:r>
            <w:r>
              <w:rPr>
                <w:rFonts w:hint="default" w:ascii="Times New Roman" w:hAnsi="Times New Roman" w:eastAsia="宋体" w:cs="Times New Roman"/>
                <w:i w:val="0"/>
                <w:iCs w:val="0"/>
                <w:color w:val="auto"/>
                <w:kern w:val="0"/>
                <w:sz w:val="20"/>
                <w:szCs w:val="20"/>
                <w:u w:val="none"/>
                <w:lang w:val="en-US" w:eastAsia="zh-CN" w:bidi="ar"/>
              </w:rPr>
              <w:t>4 weeks</w:t>
            </w:r>
            <w:r>
              <w:rPr>
                <w:rFonts w:hint="eastAsia" w:eastAsia="宋体" w:cs="Times New Roman"/>
                <w:i w:val="0"/>
                <w:iCs w:val="0"/>
                <w:color w:val="auto"/>
                <w:kern w:val="0"/>
                <w:sz w:val="20"/>
                <w:szCs w:val="20"/>
                <w:u w:val="none"/>
                <w:lang w:val="en-US" w:eastAsia="zh-CN" w:bidi="ar"/>
              </w:rPr>
              <w:t>)</w:t>
            </w:r>
          </w:p>
        </w:tc>
        <w:tc>
          <w:tcPr>
            <w:tcW w:w="1250" w:type="pct"/>
            <w:tcBorders>
              <w:top w:val="nil"/>
              <w:left w:val="nil"/>
              <w:bottom w:val="nil"/>
              <w:right w:val="nil"/>
            </w:tcBorders>
            <w:shd w:val="clear" w:color="auto" w:fill="auto"/>
            <w:noWrap/>
            <w:vAlign w:val="center"/>
          </w:tcPr>
          <w:p w14:paraId="0A659710">
            <w:pPr>
              <w:keepNext w:val="0"/>
              <w:keepLines w:val="0"/>
              <w:widowControl/>
              <w:suppressLineNumbers w:val="0"/>
              <w:jc w:val="both"/>
              <w:textAlignment w:val="bottom"/>
              <w:rPr>
                <w:rFonts w:hint="default" w:ascii="Times New Roman" w:hAnsi="Times New Roman"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182.72</w:t>
            </w:r>
          </w:p>
        </w:tc>
        <w:tc>
          <w:tcPr>
            <w:tcW w:w="1250" w:type="pct"/>
            <w:tcBorders>
              <w:top w:val="nil"/>
              <w:left w:val="nil"/>
              <w:bottom w:val="nil"/>
              <w:right w:val="nil"/>
            </w:tcBorders>
            <w:shd w:val="clear" w:color="auto" w:fill="auto"/>
            <w:noWrap/>
            <w:vAlign w:val="center"/>
          </w:tcPr>
          <w:p w14:paraId="0F5B0333">
            <w:pPr>
              <w:keepNext w:val="0"/>
              <w:keepLines w:val="0"/>
              <w:widowControl/>
              <w:suppressLineNumbers w:val="0"/>
              <w:jc w:val="both"/>
              <w:textAlignment w:val="bottom"/>
              <w:rPr>
                <w:rFonts w:hint="default" w:ascii="Times New Roman" w:hAnsi="Times New Roman"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-41.44</w:t>
            </w:r>
          </w:p>
        </w:tc>
        <w:tc>
          <w:tcPr>
            <w:tcW w:w="1250" w:type="pct"/>
            <w:tcBorders>
              <w:top w:val="nil"/>
              <w:left w:val="nil"/>
              <w:bottom w:val="nil"/>
              <w:right w:val="nil"/>
            </w:tcBorders>
            <w:shd w:val="clear" w:color="auto" w:fill="auto"/>
            <w:noWrap/>
            <w:vAlign w:val="center"/>
          </w:tcPr>
          <w:p w14:paraId="436450CA">
            <w:pPr>
              <w:keepNext w:val="0"/>
              <w:keepLines w:val="0"/>
              <w:widowControl/>
              <w:suppressLineNumbers w:val="0"/>
              <w:jc w:val="both"/>
              <w:textAlignment w:val="bottom"/>
              <w:rPr>
                <w:rFonts w:hint="default" w:ascii="Times New Roman" w:hAnsi="Times New Roman"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406.88</w:t>
            </w:r>
          </w:p>
        </w:tc>
      </w:tr>
      <w:tr w14:paraId="7AAC2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250" w:type="pct"/>
            <w:tcBorders>
              <w:top w:val="nil"/>
              <w:left w:val="nil"/>
              <w:bottom w:val="nil"/>
              <w:right w:val="nil"/>
            </w:tcBorders>
            <w:shd w:val="clear" w:color="auto" w:fill="auto"/>
            <w:noWrap/>
            <w:vAlign w:val="center"/>
          </w:tcPr>
          <w:p w14:paraId="19D37D44">
            <w:pPr>
              <w:keepNext w:val="0"/>
              <w:keepLines w:val="0"/>
              <w:widowControl/>
              <w:suppressLineNumbers w:val="0"/>
              <w:jc w:val="both"/>
              <w:textAlignment w:val="bottom"/>
              <w:rPr>
                <w:rFonts w:hint="default" w:ascii="Times New Roman" w:hAnsi="Times New Roman" w:cs="Times New Roman"/>
                <w:i w:val="0"/>
                <w:iCs w:val="0"/>
                <w:color w:val="auto"/>
                <w:sz w:val="20"/>
                <w:szCs w:val="20"/>
                <w:u w:val="none"/>
                <w:lang w:val="en-US"/>
              </w:rPr>
            </w:pPr>
            <w:r>
              <w:rPr>
                <w:rFonts w:hint="default" w:ascii="Times New Roman" w:hAnsi="Times New Roman" w:eastAsia="宋体" w:cs="Times New Roman"/>
                <w:i w:val="0"/>
                <w:iCs w:val="0"/>
                <w:color w:val="auto"/>
                <w:kern w:val="0"/>
                <w:sz w:val="20"/>
                <w:szCs w:val="20"/>
                <w:u w:val="none"/>
                <w:lang w:val="en-US" w:eastAsia="zh-CN" w:bidi="ar"/>
              </w:rPr>
              <w:t xml:space="preserve">Insertion site </w:t>
            </w:r>
            <w:r>
              <w:rPr>
                <w:rFonts w:hint="eastAsia" w:eastAsia="宋体" w:cs="Times New Roman"/>
                <w:i w:val="0"/>
                <w:iCs w:val="0"/>
                <w:color w:val="auto"/>
                <w:kern w:val="0"/>
                <w:sz w:val="20"/>
                <w:szCs w:val="20"/>
                <w:u w:val="none"/>
                <w:lang w:val="en-US" w:eastAsia="zh-CN" w:bidi="ar"/>
              </w:rPr>
              <w:t xml:space="preserve">(forearm </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 xml:space="preserve"> </w:t>
            </w:r>
            <w:r>
              <w:rPr>
                <w:rFonts w:hint="default" w:ascii="Times New Roman" w:hAnsi="Times New Roman" w:eastAsia="宋体" w:cs="Times New Roman"/>
                <w:i w:val="0"/>
                <w:iCs w:val="0"/>
                <w:color w:val="auto"/>
                <w:kern w:val="0"/>
                <w:sz w:val="20"/>
                <w:szCs w:val="20"/>
                <w:u w:val="none"/>
                <w:lang w:val="en-US" w:eastAsia="zh-CN" w:bidi="ar"/>
              </w:rPr>
              <w:t>upper arm</w:t>
            </w:r>
            <w:r>
              <w:rPr>
                <w:rFonts w:hint="eastAsia" w:eastAsia="宋体" w:cs="Times New Roman"/>
                <w:i w:val="0"/>
                <w:iCs w:val="0"/>
                <w:color w:val="auto"/>
                <w:kern w:val="0"/>
                <w:sz w:val="20"/>
                <w:szCs w:val="20"/>
                <w:u w:val="none"/>
                <w:lang w:val="en-US" w:eastAsia="zh-CN" w:bidi="ar"/>
              </w:rPr>
              <w:t>)</w:t>
            </w:r>
          </w:p>
        </w:tc>
        <w:tc>
          <w:tcPr>
            <w:tcW w:w="1250" w:type="pct"/>
            <w:tcBorders>
              <w:top w:val="nil"/>
              <w:left w:val="nil"/>
              <w:bottom w:val="nil"/>
              <w:right w:val="nil"/>
            </w:tcBorders>
            <w:shd w:val="clear" w:color="auto" w:fill="auto"/>
            <w:noWrap/>
            <w:vAlign w:val="center"/>
          </w:tcPr>
          <w:p w14:paraId="0E6D8F16">
            <w:pPr>
              <w:keepNext w:val="0"/>
              <w:keepLines w:val="0"/>
              <w:widowControl/>
              <w:suppressLineNumbers w:val="0"/>
              <w:jc w:val="both"/>
              <w:textAlignment w:val="bottom"/>
              <w:rPr>
                <w:rFonts w:hint="default" w:ascii="Times New Roman" w:hAnsi="Times New Roman"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140.84</w:t>
            </w:r>
          </w:p>
        </w:tc>
        <w:tc>
          <w:tcPr>
            <w:tcW w:w="1250" w:type="pct"/>
            <w:tcBorders>
              <w:top w:val="nil"/>
              <w:left w:val="nil"/>
              <w:bottom w:val="nil"/>
              <w:right w:val="nil"/>
            </w:tcBorders>
            <w:shd w:val="clear" w:color="auto" w:fill="auto"/>
            <w:noWrap/>
            <w:vAlign w:val="center"/>
          </w:tcPr>
          <w:p w14:paraId="5C1C8611">
            <w:pPr>
              <w:keepNext w:val="0"/>
              <w:keepLines w:val="0"/>
              <w:widowControl/>
              <w:suppressLineNumbers w:val="0"/>
              <w:jc w:val="both"/>
              <w:textAlignment w:val="bottom"/>
              <w:rPr>
                <w:rFonts w:hint="default" w:ascii="Times New Roman" w:hAnsi="Times New Roman"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-26.76</w:t>
            </w:r>
          </w:p>
        </w:tc>
        <w:tc>
          <w:tcPr>
            <w:tcW w:w="1250" w:type="pct"/>
            <w:tcBorders>
              <w:top w:val="nil"/>
              <w:left w:val="nil"/>
              <w:bottom w:val="nil"/>
              <w:right w:val="nil"/>
            </w:tcBorders>
            <w:shd w:val="clear" w:color="auto" w:fill="auto"/>
            <w:noWrap/>
            <w:vAlign w:val="center"/>
          </w:tcPr>
          <w:p w14:paraId="3B69063D">
            <w:pPr>
              <w:keepNext w:val="0"/>
              <w:keepLines w:val="0"/>
              <w:widowControl/>
              <w:suppressLineNumbers w:val="0"/>
              <w:jc w:val="both"/>
              <w:textAlignment w:val="bottom"/>
              <w:rPr>
                <w:rFonts w:hint="default" w:ascii="Times New Roman" w:hAnsi="Times New Roman"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308.43</w:t>
            </w:r>
          </w:p>
        </w:tc>
      </w:tr>
      <w:tr w14:paraId="2578C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250" w:type="pct"/>
            <w:tcBorders>
              <w:top w:val="nil"/>
              <w:left w:val="nil"/>
              <w:bottom w:val="nil"/>
              <w:right w:val="nil"/>
            </w:tcBorders>
            <w:shd w:val="clear" w:color="auto" w:fill="auto"/>
            <w:noWrap/>
            <w:vAlign w:val="center"/>
          </w:tcPr>
          <w:p w14:paraId="3ACAD006">
            <w:pPr>
              <w:keepNext w:val="0"/>
              <w:keepLines w:val="0"/>
              <w:widowControl/>
              <w:suppressLineNumbers w:val="0"/>
              <w:jc w:val="both"/>
              <w:textAlignment w:val="bottom"/>
              <w:rPr>
                <w:rFonts w:hint="default" w:ascii="Times New Roman" w:hAnsi="Times New Roman"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Blood sampling </w:t>
            </w:r>
            <w:r>
              <w:rPr>
                <w:rFonts w:hint="eastAsia" w:eastAsia="宋体" w:cs="Times New Roman"/>
                <w:i w:val="0"/>
                <w:iCs w:val="0"/>
                <w:color w:val="auto"/>
                <w:kern w:val="0"/>
                <w:sz w:val="20"/>
                <w:szCs w:val="20"/>
                <w:u w:val="none"/>
                <w:lang w:val="en-US" w:eastAsia="zh-CN" w:bidi="ar"/>
              </w:rPr>
              <w:t xml:space="preserve">(no </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 xml:space="preserve"> </w:t>
            </w:r>
            <w:r>
              <w:rPr>
                <w:rFonts w:hint="default" w:ascii="Times New Roman" w:hAnsi="Times New Roman" w:eastAsia="宋体" w:cs="Times New Roman"/>
                <w:i w:val="0"/>
                <w:iCs w:val="0"/>
                <w:color w:val="auto"/>
                <w:kern w:val="0"/>
                <w:sz w:val="20"/>
                <w:szCs w:val="20"/>
                <w:u w:val="none"/>
                <w:lang w:val="en-US" w:eastAsia="zh-CN" w:bidi="ar"/>
              </w:rPr>
              <w:t>yes</w:t>
            </w:r>
            <w:r>
              <w:rPr>
                <w:rFonts w:hint="eastAsia" w:eastAsia="宋体" w:cs="Times New Roman"/>
                <w:i w:val="0"/>
                <w:iCs w:val="0"/>
                <w:color w:val="auto"/>
                <w:kern w:val="0"/>
                <w:sz w:val="20"/>
                <w:szCs w:val="20"/>
                <w:u w:val="none"/>
                <w:lang w:val="en-US" w:eastAsia="zh-CN" w:bidi="ar"/>
              </w:rPr>
              <w:t>)</w:t>
            </w:r>
          </w:p>
        </w:tc>
        <w:tc>
          <w:tcPr>
            <w:tcW w:w="1250" w:type="pct"/>
            <w:tcBorders>
              <w:top w:val="nil"/>
              <w:left w:val="nil"/>
              <w:bottom w:val="nil"/>
              <w:right w:val="nil"/>
            </w:tcBorders>
            <w:shd w:val="clear" w:color="auto" w:fill="auto"/>
            <w:noWrap/>
            <w:vAlign w:val="center"/>
          </w:tcPr>
          <w:p w14:paraId="16DD54C8">
            <w:pPr>
              <w:keepNext w:val="0"/>
              <w:keepLines w:val="0"/>
              <w:widowControl/>
              <w:suppressLineNumbers w:val="0"/>
              <w:jc w:val="both"/>
              <w:textAlignment w:val="bottom"/>
              <w:rPr>
                <w:rFonts w:hint="default" w:ascii="Times New Roman" w:hAnsi="Times New Roman"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1112.27</w:t>
            </w:r>
          </w:p>
        </w:tc>
        <w:tc>
          <w:tcPr>
            <w:tcW w:w="1250" w:type="pct"/>
            <w:tcBorders>
              <w:top w:val="nil"/>
              <w:left w:val="nil"/>
              <w:bottom w:val="nil"/>
              <w:right w:val="nil"/>
            </w:tcBorders>
            <w:shd w:val="clear" w:color="auto" w:fill="auto"/>
            <w:noWrap/>
            <w:vAlign w:val="center"/>
          </w:tcPr>
          <w:p w14:paraId="651831E5">
            <w:pPr>
              <w:keepNext w:val="0"/>
              <w:keepLines w:val="0"/>
              <w:widowControl/>
              <w:suppressLineNumbers w:val="0"/>
              <w:jc w:val="both"/>
              <w:textAlignment w:val="bottom"/>
              <w:rPr>
                <w:rFonts w:hint="default" w:ascii="Times New Roman" w:hAnsi="Times New Roman"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765.25</w:t>
            </w:r>
          </w:p>
        </w:tc>
        <w:tc>
          <w:tcPr>
            <w:tcW w:w="1250" w:type="pct"/>
            <w:tcBorders>
              <w:top w:val="nil"/>
              <w:left w:val="nil"/>
              <w:bottom w:val="nil"/>
              <w:right w:val="nil"/>
            </w:tcBorders>
            <w:shd w:val="clear" w:color="auto" w:fill="auto"/>
            <w:noWrap/>
            <w:vAlign w:val="center"/>
          </w:tcPr>
          <w:p w14:paraId="1C4CBBEC">
            <w:pPr>
              <w:keepNext w:val="0"/>
              <w:keepLines w:val="0"/>
              <w:widowControl/>
              <w:suppressLineNumbers w:val="0"/>
              <w:jc w:val="both"/>
              <w:textAlignment w:val="bottom"/>
              <w:rPr>
                <w:rFonts w:hint="default" w:ascii="Times New Roman" w:hAnsi="Times New Roman"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1459.28</w:t>
            </w:r>
          </w:p>
        </w:tc>
      </w:tr>
      <w:tr w14:paraId="4F244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250" w:type="pct"/>
            <w:tcBorders>
              <w:top w:val="nil"/>
              <w:left w:val="nil"/>
              <w:bottom w:val="nil"/>
              <w:right w:val="nil"/>
            </w:tcBorders>
            <w:shd w:val="clear" w:color="auto" w:fill="auto"/>
            <w:noWrap/>
            <w:vAlign w:val="center"/>
          </w:tcPr>
          <w:p w14:paraId="17E42521">
            <w:pPr>
              <w:keepNext w:val="0"/>
              <w:keepLines w:val="0"/>
              <w:widowControl/>
              <w:suppressLineNumbers w:val="0"/>
              <w:jc w:val="both"/>
              <w:textAlignment w:val="bottom"/>
              <w:rPr>
                <w:rFonts w:hint="default" w:ascii="Times New Roman" w:hAnsi="Times New Roman" w:cs="Times New Roman"/>
                <w:i w:val="0"/>
                <w:iCs w:val="0"/>
                <w:color w:val="auto"/>
                <w:sz w:val="20"/>
                <w:szCs w:val="20"/>
                <w:u w:val="none"/>
                <w:lang w:val="en-US"/>
              </w:rPr>
            </w:pPr>
            <w:r>
              <w:rPr>
                <w:rFonts w:hint="default" w:ascii="Times New Roman" w:hAnsi="Times New Roman" w:eastAsia="宋体" w:cs="Times New Roman"/>
                <w:i w:val="0"/>
                <w:iCs w:val="0"/>
                <w:color w:val="auto"/>
                <w:kern w:val="0"/>
                <w:sz w:val="20"/>
                <w:szCs w:val="20"/>
                <w:u w:val="none"/>
                <w:lang w:val="en-US" w:eastAsia="zh-CN" w:bidi="ar"/>
              </w:rPr>
              <w:t>Complication risk</w:t>
            </w:r>
            <w:r>
              <w:rPr>
                <w:rFonts w:hint="eastAsia" w:eastAsia="宋体" w:cs="Times New Roman"/>
                <w:i w:val="0"/>
                <w:iCs w:val="0"/>
                <w:color w:val="auto"/>
                <w:kern w:val="0"/>
                <w:sz w:val="20"/>
                <w:szCs w:val="20"/>
                <w:u w:val="none"/>
                <w:lang w:val="en-US" w:eastAsia="zh-CN" w:bidi="ar"/>
              </w:rPr>
              <w:t xml:space="preserve"> (50% </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 xml:space="preserve"> </w:t>
            </w:r>
            <w:r>
              <w:rPr>
                <w:rFonts w:hint="eastAsia" w:eastAsia="宋体" w:cs="Times New Roman"/>
                <w:i w:val="0"/>
                <w:iCs w:val="0"/>
                <w:color w:val="auto"/>
                <w:kern w:val="0"/>
                <w:sz w:val="20"/>
                <w:szCs w:val="20"/>
                <w:u w:val="none"/>
                <w:lang w:val="en-US" w:eastAsia="zh-CN" w:bidi="ar"/>
              </w:rPr>
              <w:t>10%)</w:t>
            </w:r>
          </w:p>
        </w:tc>
        <w:tc>
          <w:tcPr>
            <w:tcW w:w="1250" w:type="pct"/>
            <w:tcBorders>
              <w:top w:val="nil"/>
              <w:left w:val="nil"/>
              <w:bottom w:val="nil"/>
              <w:right w:val="nil"/>
            </w:tcBorders>
            <w:shd w:val="clear" w:color="auto" w:fill="auto"/>
            <w:noWrap/>
            <w:vAlign w:val="center"/>
          </w:tcPr>
          <w:p w14:paraId="20581BB8">
            <w:pPr>
              <w:keepNext w:val="0"/>
              <w:keepLines w:val="0"/>
              <w:widowControl/>
              <w:suppressLineNumbers w:val="0"/>
              <w:jc w:val="both"/>
              <w:textAlignment w:val="bottom"/>
              <w:rPr>
                <w:rFonts w:hint="default" w:ascii="Times New Roman" w:hAnsi="Times New Roman"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1366.18</w:t>
            </w:r>
          </w:p>
        </w:tc>
        <w:tc>
          <w:tcPr>
            <w:tcW w:w="1250" w:type="pct"/>
            <w:tcBorders>
              <w:top w:val="nil"/>
              <w:left w:val="nil"/>
              <w:bottom w:val="nil"/>
              <w:right w:val="nil"/>
            </w:tcBorders>
            <w:shd w:val="clear" w:color="auto" w:fill="auto"/>
            <w:noWrap/>
            <w:vAlign w:val="center"/>
          </w:tcPr>
          <w:p w14:paraId="6CDE2013">
            <w:pPr>
              <w:keepNext w:val="0"/>
              <w:keepLines w:val="0"/>
              <w:widowControl/>
              <w:suppressLineNumbers w:val="0"/>
              <w:jc w:val="both"/>
              <w:textAlignment w:val="bottom"/>
              <w:rPr>
                <w:rFonts w:hint="default" w:ascii="Times New Roman" w:hAnsi="Times New Roman"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922.12</w:t>
            </w:r>
          </w:p>
        </w:tc>
        <w:tc>
          <w:tcPr>
            <w:tcW w:w="1250" w:type="pct"/>
            <w:tcBorders>
              <w:top w:val="nil"/>
              <w:left w:val="nil"/>
              <w:bottom w:val="nil"/>
              <w:right w:val="nil"/>
            </w:tcBorders>
            <w:shd w:val="clear" w:color="auto" w:fill="auto"/>
            <w:noWrap/>
            <w:vAlign w:val="center"/>
          </w:tcPr>
          <w:p w14:paraId="60B31F64">
            <w:pPr>
              <w:keepNext w:val="0"/>
              <w:keepLines w:val="0"/>
              <w:widowControl/>
              <w:suppressLineNumbers w:val="0"/>
              <w:jc w:val="both"/>
              <w:textAlignment w:val="bottom"/>
              <w:rPr>
                <w:rFonts w:hint="default" w:ascii="Times New Roman" w:hAnsi="Times New Roman"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1810.23</w:t>
            </w:r>
          </w:p>
        </w:tc>
      </w:tr>
      <w:tr w14:paraId="6D6D1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250" w:type="pct"/>
            <w:tcBorders>
              <w:top w:val="nil"/>
              <w:left w:val="nil"/>
              <w:bottom w:val="nil"/>
              <w:right w:val="nil"/>
            </w:tcBorders>
            <w:shd w:val="clear" w:color="auto" w:fill="auto"/>
            <w:noWrap/>
            <w:vAlign w:val="center"/>
          </w:tcPr>
          <w:p w14:paraId="23BA83A3">
            <w:pPr>
              <w:keepNext w:val="0"/>
              <w:keepLines w:val="0"/>
              <w:widowControl/>
              <w:suppressLineNumbers w:val="0"/>
              <w:jc w:val="both"/>
              <w:textAlignment w:val="bottom"/>
              <w:rPr>
                <w:rFonts w:hint="default" w:ascii="Times New Roman" w:hAnsi="Times New Roman"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Complication risk</w:t>
            </w:r>
            <w:r>
              <w:rPr>
                <w:rFonts w:hint="eastAsia" w:eastAsia="宋体" w:cs="Times New Roman"/>
                <w:i w:val="0"/>
                <w:iCs w:val="0"/>
                <w:color w:val="auto"/>
                <w:kern w:val="0"/>
                <w:sz w:val="20"/>
                <w:szCs w:val="20"/>
                <w:u w:val="none"/>
                <w:lang w:val="en-US" w:eastAsia="zh-CN" w:bidi="ar"/>
              </w:rPr>
              <w:t xml:space="preserve"> (50% </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 xml:space="preserve"> </w:t>
            </w:r>
            <w:r>
              <w:rPr>
                <w:rFonts w:hint="eastAsia" w:eastAsia="宋体" w:cs="Times New Roman"/>
                <w:i w:val="0"/>
                <w:iCs w:val="0"/>
                <w:color w:val="auto"/>
                <w:kern w:val="0"/>
                <w:sz w:val="20"/>
                <w:szCs w:val="20"/>
                <w:u w:val="none"/>
                <w:lang w:val="en-US" w:eastAsia="zh-CN" w:bidi="ar"/>
              </w:rPr>
              <w:t>30%)</w:t>
            </w:r>
          </w:p>
        </w:tc>
        <w:tc>
          <w:tcPr>
            <w:tcW w:w="1250" w:type="pct"/>
            <w:tcBorders>
              <w:top w:val="nil"/>
              <w:left w:val="nil"/>
              <w:bottom w:val="nil"/>
              <w:right w:val="nil"/>
            </w:tcBorders>
            <w:shd w:val="clear" w:color="auto" w:fill="auto"/>
            <w:noWrap/>
            <w:vAlign w:val="center"/>
          </w:tcPr>
          <w:p w14:paraId="1FF3FC35">
            <w:pPr>
              <w:keepNext w:val="0"/>
              <w:keepLines w:val="0"/>
              <w:widowControl/>
              <w:suppressLineNumbers w:val="0"/>
              <w:jc w:val="both"/>
              <w:textAlignment w:val="bottom"/>
              <w:rPr>
                <w:rFonts w:hint="default" w:ascii="Times New Roman" w:hAnsi="Times New Roman"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659.35</w:t>
            </w:r>
          </w:p>
        </w:tc>
        <w:tc>
          <w:tcPr>
            <w:tcW w:w="1250" w:type="pct"/>
            <w:tcBorders>
              <w:top w:val="nil"/>
              <w:left w:val="nil"/>
              <w:bottom w:val="nil"/>
              <w:right w:val="nil"/>
            </w:tcBorders>
            <w:shd w:val="clear" w:color="auto" w:fill="auto"/>
            <w:noWrap/>
            <w:vAlign w:val="center"/>
          </w:tcPr>
          <w:p w14:paraId="5A0C5066">
            <w:pPr>
              <w:keepNext w:val="0"/>
              <w:keepLines w:val="0"/>
              <w:widowControl/>
              <w:suppressLineNumbers w:val="0"/>
              <w:jc w:val="both"/>
              <w:textAlignment w:val="bottom"/>
              <w:rPr>
                <w:rFonts w:hint="default" w:ascii="Times New Roman" w:hAnsi="Times New Roman"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347.67</w:t>
            </w:r>
          </w:p>
        </w:tc>
        <w:tc>
          <w:tcPr>
            <w:tcW w:w="1250" w:type="pct"/>
            <w:tcBorders>
              <w:top w:val="nil"/>
              <w:left w:val="nil"/>
              <w:bottom w:val="nil"/>
              <w:right w:val="nil"/>
            </w:tcBorders>
            <w:shd w:val="clear" w:color="auto" w:fill="auto"/>
            <w:noWrap/>
            <w:vAlign w:val="center"/>
          </w:tcPr>
          <w:p w14:paraId="2674A9F4">
            <w:pPr>
              <w:keepNext w:val="0"/>
              <w:keepLines w:val="0"/>
              <w:widowControl/>
              <w:suppressLineNumbers w:val="0"/>
              <w:jc w:val="both"/>
              <w:textAlignment w:val="bottom"/>
              <w:rPr>
                <w:rFonts w:hint="default" w:ascii="Times New Roman" w:hAnsi="Times New Roman"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971.02</w:t>
            </w:r>
          </w:p>
        </w:tc>
      </w:tr>
      <w:tr w14:paraId="52A64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250" w:type="pct"/>
            <w:tcBorders>
              <w:top w:val="nil"/>
              <w:left w:val="nil"/>
              <w:bottom w:val="nil"/>
              <w:right w:val="nil"/>
            </w:tcBorders>
            <w:shd w:val="clear" w:color="auto" w:fill="auto"/>
            <w:noWrap/>
            <w:vAlign w:val="center"/>
          </w:tcPr>
          <w:p w14:paraId="20F59188">
            <w:pPr>
              <w:keepNext w:val="0"/>
              <w:keepLines w:val="0"/>
              <w:widowControl/>
              <w:suppressLineNumbers w:val="0"/>
              <w:jc w:val="both"/>
              <w:textAlignment w:val="bottom"/>
              <w:rPr>
                <w:rFonts w:hint="default" w:ascii="Times New Roman" w:hAnsi="Times New Roman"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Catheter length </w:t>
            </w:r>
            <w:r>
              <w:rPr>
                <w:rFonts w:hint="eastAsia" w:eastAsia="宋体" w:cs="Times New Roman"/>
                <w:i w:val="0"/>
                <w:iCs w:val="0"/>
                <w:color w:val="auto"/>
                <w:kern w:val="0"/>
                <w:sz w:val="20"/>
                <w:szCs w:val="20"/>
                <w:u w:val="none"/>
                <w:lang w:val="en-US" w:eastAsia="zh-CN" w:bidi="ar"/>
              </w:rPr>
              <w:t xml:space="preserve">(3 cm </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 xml:space="preserve"> </w:t>
            </w:r>
            <w:r>
              <w:rPr>
                <w:rFonts w:hint="default" w:ascii="Times New Roman" w:hAnsi="Times New Roman" w:eastAsia="宋体" w:cs="Times New Roman"/>
                <w:i w:val="0"/>
                <w:iCs w:val="0"/>
                <w:color w:val="auto"/>
                <w:kern w:val="0"/>
                <w:sz w:val="20"/>
                <w:szCs w:val="20"/>
                <w:u w:val="none"/>
                <w:lang w:val="en-US" w:eastAsia="zh-CN" w:bidi="ar"/>
              </w:rPr>
              <w:t>10 cm</w:t>
            </w:r>
            <w:r>
              <w:rPr>
                <w:rFonts w:hint="eastAsia" w:eastAsia="宋体" w:cs="Times New Roman"/>
                <w:i w:val="0"/>
                <w:iCs w:val="0"/>
                <w:color w:val="auto"/>
                <w:kern w:val="0"/>
                <w:sz w:val="20"/>
                <w:szCs w:val="20"/>
                <w:u w:val="none"/>
                <w:lang w:val="en-US" w:eastAsia="zh-CN" w:bidi="ar"/>
              </w:rPr>
              <w:t>)</w:t>
            </w:r>
          </w:p>
        </w:tc>
        <w:tc>
          <w:tcPr>
            <w:tcW w:w="1250" w:type="pct"/>
            <w:tcBorders>
              <w:top w:val="nil"/>
              <w:left w:val="nil"/>
              <w:bottom w:val="nil"/>
              <w:right w:val="nil"/>
            </w:tcBorders>
            <w:shd w:val="clear" w:color="auto" w:fill="auto"/>
            <w:noWrap/>
            <w:vAlign w:val="center"/>
          </w:tcPr>
          <w:p w14:paraId="16D2F960">
            <w:pPr>
              <w:keepNext w:val="0"/>
              <w:keepLines w:val="0"/>
              <w:widowControl/>
              <w:suppressLineNumbers w:val="0"/>
              <w:jc w:val="both"/>
              <w:textAlignment w:val="bottom"/>
              <w:rPr>
                <w:rFonts w:hint="default" w:ascii="Times New Roman" w:hAnsi="Times New Roman"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-139.51</w:t>
            </w:r>
          </w:p>
        </w:tc>
        <w:tc>
          <w:tcPr>
            <w:tcW w:w="1250" w:type="pct"/>
            <w:tcBorders>
              <w:top w:val="nil"/>
              <w:left w:val="nil"/>
              <w:bottom w:val="nil"/>
              <w:right w:val="nil"/>
            </w:tcBorders>
            <w:shd w:val="clear" w:color="auto" w:fill="auto"/>
            <w:noWrap/>
            <w:vAlign w:val="center"/>
          </w:tcPr>
          <w:p w14:paraId="76CE4686">
            <w:pPr>
              <w:keepNext w:val="0"/>
              <w:keepLines w:val="0"/>
              <w:widowControl/>
              <w:suppressLineNumbers w:val="0"/>
              <w:jc w:val="both"/>
              <w:textAlignment w:val="bottom"/>
              <w:rPr>
                <w:rFonts w:hint="default" w:ascii="Times New Roman" w:hAnsi="Times New Roman"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-364.87</w:t>
            </w:r>
          </w:p>
        </w:tc>
        <w:tc>
          <w:tcPr>
            <w:tcW w:w="1250" w:type="pct"/>
            <w:tcBorders>
              <w:top w:val="nil"/>
              <w:left w:val="nil"/>
              <w:bottom w:val="nil"/>
              <w:right w:val="nil"/>
            </w:tcBorders>
            <w:shd w:val="clear" w:color="auto" w:fill="auto"/>
            <w:noWrap/>
            <w:vAlign w:val="center"/>
          </w:tcPr>
          <w:p w14:paraId="2B4387E7">
            <w:pPr>
              <w:keepNext w:val="0"/>
              <w:keepLines w:val="0"/>
              <w:widowControl/>
              <w:suppressLineNumbers w:val="0"/>
              <w:jc w:val="both"/>
              <w:textAlignment w:val="bottom"/>
              <w:rPr>
                <w:rFonts w:hint="default" w:ascii="Times New Roman" w:hAnsi="Times New Roman"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85.85</w:t>
            </w:r>
          </w:p>
        </w:tc>
      </w:tr>
      <w:tr w14:paraId="2F9D4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250" w:type="pct"/>
            <w:tcBorders>
              <w:top w:val="nil"/>
              <w:left w:val="nil"/>
              <w:bottom w:val="nil"/>
              <w:right w:val="nil"/>
            </w:tcBorders>
            <w:shd w:val="clear" w:color="auto" w:fill="auto"/>
            <w:noWrap/>
            <w:vAlign w:val="center"/>
          </w:tcPr>
          <w:p w14:paraId="5CAEE4AB">
            <w:pPr>
              <w:keepNext w:val="0"/>
              <w:keepLines w:val="0"/>
              <w:widowControl/>
              <w:suppressLineNumbers w:val="0"/>
              <w:jc w:val="both"/>
              <w:textAlignment w:val="bottom"/>
              <w:rPr>
                <w:rFonts w:hint="default" w:ascii="Times New Roman" w:hAnsi="Times New Roman"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Catheter length </w:t>
            </w:r>
            <w:r>
              <w:rPr>
                <w:rFonts w:hint="eastAsia" w:eastAsia="宋体" w:cs="Times New Roman"/>
                <w:i w:val="0"/>
                <w:iCs w:val="0"/>
                <w:color w:val="auto"/>
                <w:kern w:val="0"/>
                <w:sz w:val="20"/>
                <w:szCs w:val="20"/>
                <w:u w:val="none"/>
                <w:lang w:val="en-US" w:eastAsia="zh-CN" w:bidi="ar"/>
              </w:rPr>
              <w:t xml:space="preserve">(3 cm </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 xml:space="preserve"> </w:t>
            </w:r>
            <w:r>
              <w:rPr>
                <w:rFonts w:hint="eastAsia" w:ascii="Times New Roman" w:hAnsi="Times New Roman" w:eastAsia="宋体" w:cs="Times New Roman"/>
                <w:i w:val="0"/>
                <w:iCs w:val="0"/>
                <w:color w:val="auto"/>
                <w:kern w:val="0"/>
                <w:sz w:val="20"/>
                <w:szCs w:val="20"/>
                <w:u w:val="none"/>
                <w:lang w:val="en-US" w:eastAsia="zh-CN" w:bidi="ar"/>
              </w:rPr>
              <w:t>25</w:t>
            </w:r>
            <w:r>
              <w:rPr>
                <w:rFonts w:hint="default" w:ascii="Times New Roman" w:hAnsi="Times New Roman" w:eastAsia="宋体" w:cs="Times New Roman"/>
                <w:i w:val="0"/>
                <w:iCs w:val="0"/>
                <w:color w:val="auto"/>
                <w:kern w:val="0"/>
                <w:sz w:val="20"/>
                <w:szCs w:val="20"/>
                <w:u w:val="none"/>
                <w:lang w:val="en-US" w:eastAsia="zh-CN" w:bidi="ar"/>
              </w:rPr>
              <w:t xml:space="preserve"> cm</w:t>
            </w:r>
            <w:r>
              <w:rPr>
                <w:rFonts w:hint="eastAsia" w:eastAsia="宋体" w:cs="Times New Roman"/>
                <w:i w:val="0"/>
                <w:iCs w:val="0"/>
                <w:color w:val="auto"/>
                <w:kern w:val="0"/>
                <w:sz w:val="20"/>
                <w:szCs w:val="20"/>
                <w:u w:val="none"/>
                <w:lang w:val="en-US" w:eastAsia="zh-CN" w:bidi="ar"/>
              </w:rPr>
              <w:t>)</w:t>
            </w:r>
          </w:p>
        </w:tc>
        <w:tc>
          <w:tcPr>
            <w:tcW w:w="1250" w:type="pct"/>
            <w:tcBorders>
              <w:top w:val="nil"/>
              <w:left w:val="nil"/>
              <w:bottom w:val="nil"/>
              <w:right w:val="nil"/>
            </w:tcBorders>
            <w:shd w:val="clear" w:color="auto" w:fill="auto"/>
            <w:noWrap/>
            <w:vAlign w:val="center"/>
          </w:tcPr>
          <w:p w14:paraId="26E44C68">
            <w:pPr>
              <w:keepNext w:val="0"/>
              <w:keepLines w:val="0"/>
              <w:widowControl/>
              <w:suppressLineNumbers w:val="0"/>
              <w:jc w:val="both"/>
              <w:textAlignment w:val="bottom"/>
              <w:rPr>
                <w:rFonts w:hint="default" w:ascii="Times New Roman" w:hAnsi="Times New Roman"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-477.64</w:t>
            </w:r>
          </w:p>
        </w:tc>
        <w:tc>
          <w:tcPr>
            <w:tcW w:w="1250" w:type="pct"/>
            <w:tcBorders>
              <w:top w:val="nil"/>
              <w:left w:val="nil"/>
              <w:bottom w:val="nil"/>
              <w:right w:val="nil"/>
            </w:tcBorders>
            <w:shd w:val="clear" w:color="auto" w:fill="auto"/>
            <w:noWrap/>
            <w:vAlign w:val="center"/>
          </w:tcPr>
          <w:p w14:paraId="39535CAB">
            <w:pPr>
              <w:keepNext w:val="0"/>
              <w:keepLines w:val="0"/>
              <w:widowControl/>
              <w:suppressLineNumbers w:val="0"/>
              <w:jc w:val="both"/>
              <w:textAlignment w:val="bottom"/>
              <w:rPr>
                <w:rFonts w:hint="default" w:ascii="Times New Roman" w:hAnsi="Times New Roman"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-713.27</w:t>
            </w:r>
          </w:p>
        </w:tc>
        <w:tc>
          <w:tcPr>
            <w:tcW w:w="1250" w:type="pct"/>
            <w:tcBorders>
              <w:top w:val="nil"/>
              <w:left w:val="nil"/>
              <w:bottom w:val="nil"/>
              <w:right w:val="nil"/>
            </w:tcBorders>
            <w:shd w:val="clear" w:color="auto" w:fill="auto"/>
            <w:noWrap/>
            <w:vAlign w:val="center"/>
          </w:tcPr>
          <w:p w14:paraId="40D6FDAE">
            <w:pPr>
              <w:keepNext w:val="0"/>
              <w:keepLines w:val="0"/>
              <w:widowControl/>
              <w:suppressLineNumbers w:val="0"/>
              <w:jc w:val="both"/>
              <w:textAlignment w:val="bottom"/>
              <w:rPr>
                <w:rFonts w:hint="default" w:ascii="Times New Roman" w:hAnsi="Times New Roman"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-242.01</w:t>
            </w:r>
          </w:p>
        </w:tc>
      </w:tr>
      <w:tr w14:paraId="1F3B5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250" w:type="pct"/>
            <w:tcBorders>
              <w:top w:val="nil"/>
              <w:left w:val="nil"/>
              <w:bottom w:val="nil"/>
              <w:right w:val="nil"/>
            </w:tcBorders>
            <w:shd w:val="clear" w:color="auto" w:fill="auto"/>
            <w:noWrap/>
            <w:vAlign w:val="center"/>
          </w:tcPr>
          <w:p w14:paraId="3F605405">
            <w:pPr>
              <w:keepNext w:val="0"/>
              <w:keepLines w:val="0"/>
              <w:widowControl/>
              <w:suppressLineNumbers w:val="0"/>
              <w:jc w:val="both"/>
              <w:textAlignment w:val="bottom"/>
              <w:rPr>
                <w:rFonts w:hint="default" w:ascii="Times New Roman" w:hAnsi="Times New Roman" w:cs="Times New Roman"/>
                <w:i w:val="0"/>
                <w:iCs w:val="0"/>
                <w:color w:val="auto"/>
                <w:sz w:val="20"/>
                <w:szCs w:val="20"/>
                <w:u w:val="none"/>
                <w:lang w:val="en-US"/>
              </w:rPr>
            </w:pPr>
            <w:r>
              <w:rPr>
                <w:rFonts w:hint="default" w:ascii="Times New Roman" w:hAnsi="Times New Roman" w:eastAsia="宋体" w:cs="Times New Roman"/>
                <w:i w:val="0"/>
                <w:iCs w:val="0"/>
                <w:color w:val="auto"/>
                <w:kern w:val="0"/>
                <w:sz w:val="20"/>
                <w:szCs w:val="20"/>
                <w:u w:val="none"/>
                <w:lang w:val="en-US" w:eastAsia="zh-CN" w:bidi="ar"/>
              </w:rPr>
              <w:t>Insertion time</w:t>
            </w:r>
            <w:r>
              <w:rPr>
                <w:rFonts w:hint="eastAsia" w:eastAsia="宋体" w:cs="Times New Roman"/>
                <w:i w:val="0"/>
                <w:iCs w:val="0"/>
                <w:color w:val="auto"/>
                <w:kern w:val="0"/>
                <w:sz w:val="20"/>
                <w:szCs w:val="20"/>
                <w:u w:val="none"/>
                <w:lang w:val="en-US" w:eastAsia="zh-CN" w:bidi="ar"/>
              </w:rPr>
              <w:t xml:space="preserve"> (10 min </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 xml:space="preserve"> </w:t>
            </w:r>
            <w:r>
              <w:rPr>
                <w:rFonts w:hint="default" w:ascii="Times New Roman" w:hAnsi="Times New Roman" w:eastAsia="宋体" w:cs="Times New Roman"/>
                <w:i w:val="0"/>
                <w:iCs w:val="0"/>
                <w:color w:val="auto"/>
                <w:kern w:val="0"/>
                <w:sz w:val="20"/>
                <w:szCs w:val="20"/>
                <w:u w:val="none"/>
                <w:lang w:val="en-US" w:eastAsia="zh-CN" w:bidi="ar"/>
              </w:rPr>
              <w:t>20 min</w:t>
            </w:r>
            <w:r>
              <w:rPr>
                <w:rFonts w:hint="eastAsia" w:eastAsia="宋体" w:cs="Times New Roman"/>
                <w:i w:val="0"/>
                <w:iCs w:val="0"/>
                <w:color w:val="auto"/>
                <w:kern w:val="0"/>
                <w:sz w:val="20"/>
                <w:szCs w:val="20"/>
                <w:u w:val="none"/>
                <w:lang w:val="en-US" w:eastAsia="zh-CN" w:bidi="ar"/>
              </w:rPr>
              <w:t>)</w:t>
            </w:r>
          </w:p>
        </w:tc>
        <w:tc>
          <w:tcPr>
            <w:tcW w:w="1250" w:type="pct"/>
            <w:tcBorders>
              <w:top w:val="nil"/>
              <w:left w:val="nil"/>
              <w:bottom w:val="nil"/>
              <w:right w:val="nil"/>
            </w:tcBorders>
            <w:shd w:val="clear" w:color="auto" w:fill="auto"/>
            <w:noWrap/>
            <w:vAlign w:val="center"/>
          </w:tcPr>
          <w:p w14:paraId="13657793">
            <w:pPr>
              <w:keepNext w:val="0"/>
              <w:keepLines w:val="0"/>
              <w:widowControl/>
              <w:suppressLineNumbers w:val="0"/>
              <w:jc w:val="both"/>
              <w:textAlignment w:val="bottom"/>
              <w:rPr>
                <w:rFonts w:hint="default" w:ascii="Times New Roman" w:hAnsi="Times New Roman"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110.21</w:t>
            </w:r>
          </w:p>
        </w:tc>
        <w:tc>
          <w:tcPr>
            <w:tcW w:w="1250" w:type="pct"/>
            <w:tcBorders>
              <w:top w:val="nil"/>
              <w:left w:val="nil"/>
              <w:bottom w:val="nil"/>
              <w:right w:val="nil"/>
            </w:tcBorders>
            <w:shd w:val="clear" w:color="auto" w:fill="auto"/>
            <w:noWrap/>
            <w:vAlign w:val="center"/>
          </w:tcPr>
          <w:p w14:paraId="3CBB5A9A">
            <w:pPr>
              <w:keepNext w:val="0"/>
              <w:keepLines w:val="0"/>
              <w:widowControl/>
              <w:suppressLineNumbers w:val="0"/>
              <w:jc w:val="both"/>
              <w:textAlignment w:val="bottom"/>
              <w:rPr>
                <w:rFonts w:hint="default" w:ascii="Times New Roman" w:hAnsi="Times New Roman"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-101.75</w:t>
            </w:r>
          </w:p>
        </w:tc>
        <w:tc>
          <w:tcPr>
            <w:tcW w:w="1250" w:type="pct"/>
            <w:tcBorders>
              <w:top w:val="nil"/>
              <w:left w:val="nil"/>
              <w:bottom w:val="nil"/>
              <w:right w:val="nil"/>
            </w:tcBorders>
            <w:shd w:val="clear" w:color="auto" w:fill="auto"/>
            <w:noWrap/>
            <w:vAlign w:val="center"/>
          </w:tcPr>
          <w:p w14:paraId="5A6BD7E6">
            <w:pPr>
              <w:keepNext w:val="0"/>
              <w:keepLines w:val="0"/>
              <w:widowControl/>
              <w:suppressLineNumbers w:val="0"/>
              <w:jc w:val="both"/>
              <w:textAlignment w:val="bottom"/>
              <w:rPr>
                <w:rFonts w:hint="default" w:ascii="Times New Roman" w:hAnsi="Times New Roman"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322.18</w:t>
            </w:r>
          </w:p>
        </w:tc>
      </w:tr>
      <w:tr w14:paraId="05D23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250" w:type="pct"/>
            <w:tcBorders>
              <w:top w:val="nil"/>
              <w:left w:val="nil"/>
              <w:bottom w:val="single" w:color="auto" w:sz="4" w:space="0"/>
              <w:right w:val="nil"/>
            </w:tcBorders>
            <w:shd w:val="clear" w:color="auto" w:fill="auto"/>
            <w:noWrap/>
            <w:vAlign w:val="center"/>
          </w:tcPr>
          <w:p w14:paraId="14FE2951">
            <w:pPr>
              <w:keepNext w:val="0"/>
              <w:keepLines w:val="0"/>
              <w:widowControl/>
              <w:suppressLineNumbers w:val="0"/>
              <w:jc w:val="both"/>
              <w:textAlignment w:val="bottom"/>
              <w:rPr>
                <w:rFonts w:hint="default" w:ascii="Times New Roman" w:hAnsi="Times New Roman"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Insertion time</w:t>
            </w:r>
            <w:r>
              <w:rPr>
                <w:rFonts w:hint="eastAsia" w:eastAsia="宋体" w:cs="Times New Roman"/>
                <w:i w:val="0"/>
                <w:iCs w:val="0"/>
                <w:color w:val="auto"/>
                <w:kern w:val="0"/>
                <w:sz w:val="20"/>
                <w:szCs w:val="20"/>
                <w:u w:val="none"/>
                <w:lang w:val="en-US" w:eastAsia="zh-CN" w:bidi="ar"/>
              </w:rPr>
              <w:t xml:space="preserve"> (10 min </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 xml:space="preserve"> </w:t>
            </w:r>
            <w:r>
              <w:rPr>
                <w:rFonts w:hint="eastAsia" w:ascii="Times New Roman" w:hAnsi="Times New Roman" w:eastAsia="宋体" w:cs="Times New Roman"/>
                <w:i w:val="0"/>
                <w:iCs w:val="0"/>
                <w:color w:val="auto"/>
                <w:kern w:val="0"/>
                <w:sz w:val="20"/>
                <w:szCs w:val="20"/>
                <w:u w:val="none"/>
                <w:lang w:val="en-US" w:eastAsia="zh-CN" w:bidi="ar"/>
              </w:rPr>
              <w:t>3</w:t>
            </w:r>
            <w:r>
              <w:rPr>
                <w:rFonts w:hint="default" w:ascii="Times New Roman" w:hAnsi="Times New Roman" w:eastAsia="宋体" w:cs="Times New Roman"/>
                <w:i w:val="0"/>
                <w:iCs w:val="0"/>
                <w:color w:val="auto"/>
                <w:kern w:val="0"/>
                <w:sz w:val="20"/>
                <w:szCs w:val="20"/>
                <w:u w:val="none"/>
                <w:lang w:val="en-US" w:eastAsia="zh-CN" w:bidi="ar"/>
              </w:rPr>
              <w:t>0 min</w:t>
            </w:r>
            <w:r>
              <w:rPr>
                <w:rFonts w:hint="eastAsia" w:eastAsia="宋体" w:cs="Times New Roman"/>
                <w:i w:val="0"/>
                <w:iCs w:val="0"/>
                <w:color w:val="auto"/>
                <w:kern w:val="0"/>
                <w:sz w:val="20"/>
                <w:szCs w:val="20"/>
                <w:u w:val="none"/>
                <w:lang w:val="en-US" w:eastAsia="zh-CN" w:bidi="ar"/>
              </w:rPr>
              <w:t>)</w:t>
            </w:r>
          </w:p>
        </w:tc>
        <w:tc>
          <w:tcPr>
            <w:tcW w:w="1250" w:type="pct"/>
            <w:tcBorders>
              <w:top w:val="nil"/>
              <w:left w:val="nil"/>
              <w:bottom w:val="single" w:color="auto" w:sz="4" w:space="0"/>
              <w:right w:val="nil"/>
            </w:tcBorders>
            <w:shd w:val="clear" w:color="auto" w:fill="auto"/>
            <w:noWrap/>
            <w:vAlign w:val="center"/>
          </w:tcPr>
          <w:p w14:paraId="07E425C3">
            <w:pPr>
              <w:keepNext w:val="0"/>
              <w:keepLines w:val="0"/>
              <w:widowControl/>
              <w:suppressLineNumbers w:val="0"/>
              <w:jc w:val="both"/>
              <w:textAlignment w:val="bottom"/>
              <w:rPr>
                <w:rFonts w:hint="default" w:ascii="Times New Roman" w:hAnsi="Times New Roman"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8.85</w:t>
            </w:r>
          </w:p>
        </w:tc>
        <w:tc>
          <w:tcPr>
            <w:tcW w:w="1250" w:type="pct"/>
            <w:tcBorders>
              <w:top w:val="nil"/>
              <w:left w:val="nil"/>
              <w:bottom w:val="single" w:color="auto" w:sz="4" w:space="0"/>
              <w:right w:val="nil"/>
            </w:tcBorders>
            <w:shd w:val="clear" w:color="auto" w:fill="auto"/>
            <w:noWrap/>
            <w:vAlign w:val="center"/>
          </w:tcPr>
          <w:p w14:paraId="5C707AFA">
            <w:pPr>
              <w:keepNext w:val="0"/>
              <w:keepLines w:val="0"/>
              <w:widowControl/>
              <w:suppressLineNumbers w:val="0"/>
              <w:jc w:val="both"/>
              <w:textAlignment w:val="bottom"/>
              <w:rPr>
                <w:rFonts w:hint="default" w:ascii="Times New Roman" w:hAnsi="Times New Roman"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-202.74</w:t>
            </w:r>
          </w:p>
        </w:tc>
        <w:tc>
          <w:tcPr>
            <w:tcW w:w="1250" w:type="pct"/>
            <w:tcBorders>
              <w:top w:val="nil"/>
              <w:left w:val="nil"/>
              <w:bottom w:val="single" w:color="auto" w:sz="4" w:space="0"/>
              <w:right w:val="nil"/>
            </w:tcBorders>
            <w:shd w:val="clear" w:color="auto" w:fill="auto"/>
            <w:noWrap/>
            <w:vAlign w:val="center"/>
          </w:tcPr>
          <w:p w14:paraId="288A9167">
            <w:pPr>
              <w:keepNext w:val="0"/>
              <w:keepLines w:val="0"/>
              <w:widowControl/>
              <w:suppressLineNumbers w:val="0"/>
              <w:jc w:val="both"/>
              <w:textAlignment w:val="bottom"/>
              <w:rPr>
                <w:rFonts w:hint="default" w:ascii="Times New Roman" w:hAnsi="Times New Roman"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220.45</w:t>
            </w:r>
          </w:p>
        </w:tc>
      </w:tr>
    </w:tbl>
    <w:p w14:paraId="5BCDA29A">
      <w:pPr>
        <w:rPr>
          <w:rFonts w:hint="eastAsia"/>
        </w:rPr>
      </w:pPr>
      <w:r>
        <w:rPr>
          <w:rFonts w:hint="eastAsia"/>
        </w:rPr>
        <w:br w:type="page"/>
      </w:r>
    </w:p>
    <w:p w14:paraId="439BCEB8">
      <w:pPr>
        <w:pStyle w:val="145"/>
        <w:autoSpaceDE w:val="0"/>
        <w:ind w:left="0" w:leftChars="0" w:firstLine="0" w:firstLineChars="0"/>
        <w:jc w:val="left"/>
        <w:rPr>
          <w:rFonts w:hint="default" w:ascii="Times New Roman" w:hAnsi="Times New Roman" w:cs="Times New Roman"/>
          <w:color w:val="000000" w:themeColor="text1"/>
          <w:szCs w:val="22"/>
          <w14:textFill>
            <w14:solidFill>
              <w14:schemeClr w14:val="tx1"/>
            </w14:solidFill>
          </w14:textFill>
        </w:rPr>
      </w:pPr>
      <w:r>
        <w:rPr>
          <w:rFonts w:hint="eastAsia" w:eastAsia="宋体"/>
          <w:lang w:val="en-US" w:eastAsia="zh-CN"/>
        </w:rPr>
        <w:t xml:space="preserve">Supplementary </w:t>
      </w:r>
      <w:r>
        <w:rPr>
          <w:rFonts w:hint="eastAsia"/>
        </w:rPr>
        <w:t xml:space="preserve">Figure S1. mWTP for </w:t>
      </w:r>
      <w:r>
        <w:rPr>
          <w:rFonts w:hint="eastAsia" w:eastAsia="宋体"/>
          <w:lang w:val="en-US" w:eastAsia="zh-CN"/>
        </w:rPr>
        <w:t>complete</w:t>
      </w:r>
      <w:r>
        <w:rPr>
          <w:rFonts w:hint="eastAsia"/>
        </w:rPr>
        <w:t xml:space="preserve"> subgroup analysis. </w:t>
      </w:r>
      <w:r>
        <w:rPr>
          <w:rFonts w:hint="default" w:ascii="Times New Roman" w:hAnsi="Times New Roman" w:cs="Times New Roman"/>
          <w:color w:val="000000" w:themeColor="text1"/>
          <w:szCs w:val="22"/>
          <w14:textFill>
            <w14:solidFill>
              <w14:schemeClr w14:val="tx1"/>
            </w14:solidFill>
          </w14:textFill>
        </w:rPr>
        <w:t>*Based on a currency exchange rate of ¥6.97 to US$1.00 in 2026.</w:t>
      </w:r>
    </w:p>
    <w:p w14:paraId="5474B618">
      <w:pPr>
        <w:jc w:val="both"/>
        <w:rPr>
          <w:rFonts w:hint="eastAsia"/>
        </w:rPr>
      </w:pPr>
    </w:p>
    <w:p w14:paraId="601B806B">
      <w:pPr>
        <w:jc w:val="both"/>
      </w:pPr>
      <w:r>
        <w:drawing>
          <wp:inline distT="0" distB="0" distL="114300" distR="114300">
            <wp:extent cx="6126480" cy="6126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a:stretch>
                      <a:fillRect/>
                    </a:stretch>
                  </pic:blipFill>
                  <pic:spPr>
                    <a:xfrm>
                      <a:off x="0" y="0"/>
                      <a:ext cx="6126480" cy="6126480"/>
                    </a:xfrm>
                    <a:prstGeom prst="rect">
                      <a:avLst/>
                    </a:prstGeom>
                  </pic:spPr>
                </pic:pic>
              </a:graphicData>
            </a:graphic>
          </wp:inline>
        </w:drawing>
      </w:r>
    </w:p>
    <w:p w14:paraId="7D96E733"/>
    <w:p w14:paraId="1F81934B">
      <w:r>
        <w:br w:type="page"/>
      </w:r>
    </w:p>
    <w:sectPr>
      <w:pgSz w:w="12240" w:h="15840"/>
      <w:pgMar w:top="1152" w:right="1080" w:bottom="1152" w:left="1080" w:header="720" w:footer="720" w:gutter="0"/>
      <w:pgBorders>
        <w:top w:val="none" w:sz="0" w:space="0"/>
        <w:left w:val="none" w:sz="0" w:space="0"/>
        <w:bottom w:val="none" w:sz="0" w:space="0"/>
        <w:right w:val="none" w:sz="0" w:space="0"/>
      </w:pgBorders>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Cambria">
    <w:panose1 w:val="02040503050406030204"/>
    <w:charset w:val="00"/>
    <w:family w:val="auto"/>
    <w:pitch w:val="default"/>
    <w:sig w:usb0="E00006FF" w:usb1="420024FF" w:usb2="02000000" w:usb3="00000000" w:csb0="2000019F"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abstractNum w:abstractNumId="6">
    <w:nsid w:val="093B8640"/>
    <w:multiLevelType w:val="singleLevel"/>
    <w:tmpl w:val="093B8640"/>
    <w:lvl w:ilvl="0" w:tentative="0">
      <w:start w:val="1"/>
      <w:numFmt w:val="decimal"/>
      <w:suff w:val="space"/>
      <w:lvlText w:val="%1."/>
      <w:lvlJc w:val="left"/>
    </w:lvl>
  </w:abstractNum>
  <w:num w:numId="1">
    <w:abstractNumId w:val="1"/>
  </w:num>
  <w:num w:numId="2">
    <w:abstractNumId w:val="4"/>
  </w:num>
  <w:num w:numId="3">
    <w:abstractNumId w:val="5"/>
  </w:num>
  <w:num w:numId="4">
    <w:abstractNumId w:val="2"/>
  </w:num>
  <w:num w:numId="5">
    <w:abstractNumId w:val="0"/>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20A0F2B"/>
    <w:rsid w:val="0A153CA9"/>
    <w:rsid w:val="0D4E20CD"/>
    <w:rsid w:val="0FA638D0"/>
    <w:rsid w:val="12801BAC"/>
    <w:rsid w:val="14C97914"/>
    <w:rsid w:val="28301579"/>
    <w:rsid w:val="323E642A"/>
    <w:rsid w:val="35CB558F"/>
    <w:rsid w:val="3BFD044B"/>
    <w:rsid w:val="43D04F5D"/>
    <w:rsid w:val="46F661E4"/>
    <w:rsid w:val="48CA6F1D"/>
    <w:rsid w:val="4CF743EB"/>
    <w:rsid w:val="514006DA"/>
    <w:rsid w:val="52600508"/>
    <w:rsid w:val="52D02401"/>
    <w:rsid w:val="530B0005"/>
    <w:rsid w:val="552503C0"/>
    <w:rsid w:val="56404230"/>
    <w:rsid w:val="577665E7"/>
    <w:rsid w:val="581265EE"/>
    <w:rsid w:val="58AE22CA"/>
    <w:rsid w:val="5BC37507"/>
    <w:rsid w:val="5D3C274B"/>
    <w:rsid w:val="6BBF6456"/>
    <w:rsid w:val="6DA46F1D"/>
    <w:rsid w:val="72393D9C"/>
    <w:rsid w:val="7CF007E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heme="minorEastAsia" w:cstheme="minorBidi"/>
      <w:sz w:val="21"/>
      <w:szCs w:val="22"/>
      <w:lang w:val="en-US" w:eastAsia="en-US" w:bidi="ar-SA"/>
    </w:rPr>
  </w:style>
  <w:style w:type="paragraph" w:styleId="3">
    <w:name w:val="heading 1"/>
    <w:basedOn w:val="1"/>
    <w:next w:val="1"/>
    <w:link w:val="140"/>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1"/>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2"/>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2"/>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3"/>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4"/>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5"/>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6"/>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7"/>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9"/>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8"/>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6"/>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8"/>
    <w:unhideWhenUsed/>
    <w:qFormat/>
    <w:uiPriority w:val="99"/>
    <w:pPr>
      <w:tabs>
        <w:tab w:val="center" w:pos="4680"/>
        <w:tab w:val="right" w:pos="9360"/>
      </w:tabs>
      <w:spacing w:after="0" w:line="240" w:lineRule="auto"/>
    </w:pPr>
  </w:style>
  <w:style w:type="paragraph" w:styleId="25">
    <w:name w:val="header"/>
    <w:basedOn w:val="1"/>
    <w:link w:val="137"/>
    <w:unhideWhenUsed/>
    <w:qFormat/>
    <w:uiPriority w:val="99"/>
    <w:pPr>
      <w:tabs>
        <w:tab w:val="center" w:pos="4680"/>
        <w:tab w:val="right" w:pos="9360"/>
      </w:tabs>
      <w:spacing w:after="0" w:line="240" w:lineRule="auto"/>
    </w:pPr>
  </w:style>
  <w:style w:type="paragraph" w:styleId="26">
    <w:name w:val="Subtitle"/>
    <w:basedOn w:val="1"/>
    <w:next w:val="1"/>
    <w:link w:val="14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7"/>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3"/>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FollowedHyperlink"/>
    <w:basedOn w:val="132"/>
    <w:semiHidden/>
    <w:unhideWhenUsed/>
    <w:qFormat/>
    <w:uiPriority w:val="99"/>
    <w:rPr>
      <w:color w:val="800080"/>
      <w:u w:val="single"/>
    </w:rPr>
  </w:style>
  <w:style w:type="character" w:styleId="135">
    <w:name w:val="Emphasis"/>
    <w:basedOn w:val="132"/>
    <w:qFormat/>
    <w:uiPriority w:val="20"/>
    <w:rPr>
      <w:i/>
      <w:iCs/>
    </w:rPr>
  </w:style>
  <w:style w:type="character" w:styleId="136">
    <w:name w:val="Hyperlink"/>
    <w:basedOn w:val="132"/>
    <w:semiHidden/>
    <w:unhideWhenUsed/>
    <w:qFormat/>
    <w:uiPriority w:val="99"/>
    <w:rPr>
      <w:color w:val="0000FF"/>
      <w:u w:val="single"/>
    </w:rPr>
  </w:style>
  <w:style w:type="character" w:customStyle="1" w:styleId="137">
    <w:name w:val="Header Char"/>
    <w:basedOn w:val="132"/>
    <w:link w:val="25"/>
    <w:qFormat/>
    <w:uiPriority w:val="99"/>
  </w:style>
  <w:style w:type="character" w:customStyle="1" w:styleId="138">
    <w:name w:val="Footer Char"/>
    <w:basedOn w:val="132"/>
    <w:link w:val="24"/>
    <w:qFormat/>
    <w:uiPriority w:val="99"/>
  </w:style>
  <w:style w:type="paragraph" w:styleId="139">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0">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1">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2">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3">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4">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5">
    <w:name w:val="List Paragraph"/>
    <w:basedOn w:val="1"/>
    <w:qFormat/>
    <w:uiPriority w:val="34"/>
    <w:pPr>
      <w:ind w:left="720"/>
      <w:contextualSpacing/>
    </w:pPr>
  </w:style>
  <w:style w:type="character" w:customStyle="1" w:styleId="146">
    <w:name w:val="Body Text Char"/>
    <w:basedOn w:val="132"/>
    <w:link w:val="19"/>
    <w:qFormat/>
    <w:uiPriority w:val="99"/>
  </w:style>
  <w:style w:type="character" w:customStyle="1" w:styleId="147">
    <w:name w:val="Body Text 2 Char"/>
    <w:basedOn w:val="132"/>
    <w:link w:val="28"/>
    <w:qFormat/>
    <w:uiPriority w:val="99"/>
  </w:style>
  <w:style w:type="character" w:customStyle="1" w:styleId="148">
    <w:name w:val="Body Text 3 Char"/>
    <w:basedOn w:val="132"/>
    <w:link w:val="17"/>
    <w:qFormat/>
    <w:uiPriority w:val="99"/>
    <w:rPr>
      <w:sz w:val="16"/>
      <w:szCs w:val="16"/>
    </w:rPr>
  </w:style>
  <w:style w:type="character" w:customStyle="1" w:styleId="149">
    <w:name w:val="Macro Text Char"/>
    <w:basedOn w:val="132"/>
    <w:link w:val="2"/>
    <w:qFormat/>
    <w:uiPriority w:val="99"/>
    <w:rPr>
      <w:rFonts w:ascii="Courier" w:hAnsi="Courier"/>
      <w:sz w:val="20"/>
      <w:szCs w:val="20"/>
    </w:rPr>
  </w:style>
  <w:style w:type="paragraph" w:styleId="150">
    <w:name w:val="Quote"/>
    <w:basedOn w:val="1"/>
    <w:next w:val="1"/>
    <w:link w:val="151"/>
    <w:qFormat/>
    <w:uiPriority w:val="29"/>
    <w:rPr>
      <w:i/>
      <w:iCs/>
      <w:color w:val="000000" w:themeColor="text1"/>
      <w14:textFill>
        <w14:solidFill>
          <w14:schemeClr w14:val="tx1"/>
        </w14:solidFill>
      </w14:textFill>
    </w:rPr>
  </w:style>
  <w:style w:type="character" w:customStyle="1" w:styleId="151">
    <w:name w:val="Quote Char"/>
    <w:basedOn w:val="132"/>
    <w:link w:val="150"/>
    <w:qFormat/>
    <w:uiPriority w:val="29"/>
    <w:rPr>
      <w:i/>
      <w:iCs/>
      <w:color w:val="000000" w:themeColor="text1"/>
      <w14:textFill>
        <w14:solidFill>
          <w14:schemeClr w14:val="tx1"/>
        </w14:solidFill>
      </w14:textFill>
    </w:rPr>
  </w:style>
  <w:style w:type="character" w:customStyle="1" w:styleId="152">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3">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4">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5">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6">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7">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8">
    <w:name w:val="Intense Quote"/>
    <w:basedOn w:val="1"/>
    <w:next w:val="1"/>
    <w:link w:val="159"/>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9">
    <w:name w:val="Intense Quote Char"/>
    <w:basedOn w:val="132"/>
    <w:link w:val="158"/>
    <w:qFormat/>
    <w:uiPriority w:val="30"/>
    <w:rPr>
      <w:b/>
      <w:bCs/>
      <w:i/>
      <w:iCs/>
      <w:color w:val="4F81BD" w:themeColor="accent1"/>
      <w14:textFill>
        <w14:solidFill>
          <w14:schemeClr w14:val="accent1"/>
        </w14:solidFill>
      </w14:textFill>
    </w:rPr>
  </w:style>
  <w:style w:type="character" w:customStyle="1" w:styleId="160">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61">
    <w:name w:val="Intense Emphasis"/>
    <w:basedOn w:val="132"/>
    <w:qFormat/>
    <w:uiPriority w:val="21"/>
    <w:rPr>
      <w:b/>
      <w:bCs/>
      <w:i/>
      <w:iCs/>
      <w:color w:val="4F81BD" w:themeColor="accent1"/>
      <w14:textFill>
        <w14:solidFill>
          <w14:schemeClr w14:val="accent1"/>
        </w14:solidFill>
      </w14:textFill>
    </w:rPr>
  </w:style>
  <w:style w:type="character" w:customStyle="1" w:styleId="162">
    <w:name w:val="Subtle Reference"/>
    <w:basedOn w:val="132"/>
    <w:qFormat/>
    <w:uiPriority w:val="31"/>
    <w:rPr>
      <w:smallCaps/>
      <w:color w:val="C0504D" w:themeColor="accent2"/>
      <w:u w:val="single"/>
      <w14:textFill>
        <w14:solidFill>
          <w14:schemeClr w14:val="accent2"/>
        </w14:solidFill>
      </w14:textFill>
    </w:rPr>
  </w:style>
  <w:style w:type="character" w:customStyle="1" w:styleId="163">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4">
    <w:name w:val="Book Title"/>
    <w:basedOn w:val="132"/>
    <w:qFormat/>
    <w:uiPriority w:val="33"/>
    <w:rPr>
      <w:b/>
      <w:bCs/>
      <w:smallCaps/>
      <w:spacing w:val="5"/>
    </w:rPr>
  </w:style>
  <w:style w:type="paragraph" w:customStyle="1" w:styleId="165">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1538</Words>
  <Characters>9440</Characters>
  <Lines>0</Lines>
  <Paragraphs>0</Paragraphs>
  <TotalTime>0</TotalTime>
  <ScaleCrop>false</ScaleCrop>
  <LinksUpToDate>false</LinksUpToDate>
  <CharactersWithSpaces>10910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朱慧敏</cp:lastModifiedBy>
  <dcterms:modified xsi:type="dcterms:W3CDTF">2026-08-11T15:09:44Z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eyJoZGlkIjoiMjk2MWFhYjQ3MzQxY2IwYjU4ZTJkZWU2YzUyMGIxZjQiLCJ1c2VySWQiOiIxNjM3MzA4MjcyIn0=</vt:lpwstr>
  </property>
  <property fmtid="{D5CDD505-2E9C-101B-9397-08002B2CF9AE}" pid="3" name="KSOProductBuildVer">
    <vt:lpwstr>2052-12.1.0.23542</vt:lpwstr>
  </property>
  <property fmtid="{D5CDD505-2E9C-101B-9397-08002B2CF9AE}" pid="4" name="ICV">
    <vt:lpwstr>D062D81986644320A5873780D1990A0E_12</vt:lpwstr>
  </property>
</Properties>
</file>