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8C311" w14:textId="77777777" w:rsidR="00E17126" w:rsidRDefault="00E17126" w:rsidP="00E17126">
      <w:pPr>
        <w:rPr>
          <w:b/>
          <w:bCs/>
        </w:rPr>
      </w:pPr>
    </w:p>
    <w:p w14:paraId="155067E0" w14:textId="0434A892" w:rsidR="00E17126" w:rsidRPr="00BA6514" w:rsidRDefault="00E17126" w:rsidP="00E17126">
      <w:pPr>
        <w:rPr>
          <w:b/>
          <w:bCs/>
        </w:rPr>
      </w:pPr>
      <w:r w:rsidRPr="00BA6514">
        <w:rPr>
          <w:b/>
          <w:bCs/>
        </w:rPr>
        <w:t xml:space="preserve">Appendix </w:t>
      </w:r>
      <w:r w:rsidR="003F08E5">
        <w:rPr>
          <w:b/>
          <w:bCs/>
        </w:rPr>
        <w:t>D</w:t>
      </w:r>
      <w:r>
        <w:rPr>
          <w:b/>
          <w:bCs/>
        </w:rPr>
        <w:t xml:space="preserve"> -</w:t>
      </w:r>
      <w:r w:rsidRPr="00BA6514">
        <w:rPr>
          <w:b/>
          <w:bCs/>
        </w:rPr>
        <w:t xml:space="preserve"> How to conduct a post-discharge follow</w:t>
      </w:r>
      <w:r>
        <w:rPr>
          <w:b/>
          <w:bCs/>
        </w:rPr>
        <w:t xml:space="preserve"> </w:t>
      </w:r>
      <w:r w:rsidRPr="00BA6514">
        <w:rPr>
          <w:b/>
          <w:bCs/>
        </w:rPr>
        <w:t>up call</w:t>
      </w:r>
    </w:p>
    <w:tbl>
      <w:tblPr>
        <w:tblStyle w:val="TableGrid1"/>
        <w:tblpPr w:leftFromText="180" w:rightFromText="180" w:vertAnchor="page" w:horzAnchor="margin" w:tblpY="2811"/>
        <w:tblW w:w="8795" w:type="dxa"/>
        <w:tblLook w:val="04A0" w:firstRow="1" w:lastRow="0" w:firstColumn="1" w:lastColumn="0" w:noHBand="0" w:noVBand="1"/>
      </w:tblPr>
      <w:tblGrid>
        <w:gridCol w:w="2466"/>
        <w:gridCol w:w="453"/>
        <w:gridCol w:w="1732"/>
        <w:gridCol w:w="4144"/>
      </w:tblGrid>
      <w:tr w:rsidR="00E17126" w:rsidRPr="00882813" w14:paraId="377F2A8D" w14:textId="77777777" w:rsidTr="003C4D48">
        <w:trPr>
          <w:trHeight w:val="499"/>
        </w:trPr>
        <w:tc>
          <w:tcPr>
            <w:tcW w:w="2466" w:type="dxa"/>
            <w:vMerge w:val="restart"/>
            <w:hideMark/>
          </w:tcPr>
          <w:p w14:paraId="48ADCA3A"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1. Purpose of this tool</w:t>
            </w:r>
          </w:p>
        </w:tc>
        <w:tc>
          <w:tcPr>
            <w:tcW w:w="6329" w:type="dxa"/>
            <w:gridSpan w:val="3"/>
            <w:vMerge w:val="restart"/>
            <w:hideMark/>
          </w:tcPr>
          <w:p w14:paraId="4E33E258"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Improve hospital discharge process. </w:t>
            </w:r>
            <w:r w:rsidRPr="00882813">
              <w:rPr>
                <w:rFonts w:ascii="Calibri" w:eastAsia="Calibri" w:hAnsi="Calibri" w:cs="Times New Roman"/>
              </w:rPr>
              <w:br/>
              <w:t>• Enhance patient and family satisfaction.</w:t>
            </w:r>
            <w:r w:rsidRPr="00882813">
              <w:rPr>
                <w:rFonts w:ascii="Calibri" w:eastAsia="Calibri" w:hAnsi="Calibri" w:cs="Times New Roman"/>
              </w:rPr>
              <w:br/>
              <w:t>• Decrease hospital readmission rates</w:t>
            </w:r>
          </w:p>
        </w:tc>
      </w:tr>
      <w:tr w:rsidR="00E17126" w:rsidRPr="00882813" w14:paraId="2013D8E5" w14:textId="77777777" w:rsidTr="003C4D48">
        <w:trPr>
          <w:trHeight w:val="499"/>
        </w:trPr>
        <w:tc>
          <w:tcPr>
            <w:tcW w:w="2466" w:type="dxa"/>
            <w:vMerge/>
            <w:hideMark/>
          </w:tcPr>
          <w:p w14:paraId="2490423C" w14:textId="77777777" w:rsidR="00E17126" w:rsidRPr="00882813" w:rsidRDefault="00E17126" w:rsidP="003C4D48">
            <w:pPr>
              <w:rPr>
                <w:rFonts w:ascii="Calibri" w:eastAsia="Calibri" w:hAnsi="Calibri" w:cs="Times New Roman"/>
                <w:b/>
                <w:bCs/>
              </w:rPr>
            </w:pPr>
          </w:p>
        </w:tc>
        <w:tc>
          <w:tcPr>
            <w:tcW w:w="6329" w:type="dxa"/>
            <w:gridSpan w:val="3"/>
            <w:vMerge/>
            <w:hideMark/>
          </w:tcPr>
          <w:p w14:paraId="4D49B78F" w14:textId="77777777" w:rsidR="00E17126" w:rsidRPr="00882813" w:rsidRDefault="00E17126" w:rsidP="003C4D48">
            <w:pPr>
              <w:rPr>
                <w:rFonts w:ascii="Calibri" w:eastAsia="Calibri" w:hAnsi="Calibri" w:cs="Times New Roman"/>
              </w:rPr>
            </w:pPr>
          </w:p>
        </w:tc>
      </w:tr>
      <w:tr w:rsidR="00E17126" w:rsidRPr="00882813" w14:paraId="382C455D" w14:textId="77777777" w:rsidTr="003C4D48">
        <w:trPr>
          <w:trHeight w:val="600"/>
        </w:trPr>
        <w:tc>
          <w:tcPr>
            <w:tcW w:w="2466" w:type="dxa"/>
            <w:vMerge/>
            <w:hideMark/>
          </w:tcPr>
          <w:p w14:paraId="34748AE8" w14:textId="77777777" w:rsidR="00E17126" w:rsidRPr="00882813" w:rsidRDefault="00E17126" w:rsidP="003C4D48">
            <w:pPr>
              <w:rPr>
                <w:rFonts w:ascii="Calibri" w:eastAsia="Calibri" w:hAnsi="Calibri" w:cs="Times New Roman"/>
                <w:b/>
                <w:bCs/>
              </w:rPr>
            </w:pPr>
          </w:p>
        </w:tc>
        <w:tc>
          <w:tcPr>
            <w:tcW w:w="6329" w:type="dxa"/>
            <w:gridSpan w:val="3"/>
            <w:vMerge/>
            <w:hideMark/>
          </w:tcPr>
          <w:p w14:paraId="7601A538" w14:textId="77777777" w:rsidR="00E17126" w:rsidRPr="00882813" w:rsidRDefault="00E17126" w:rsidP="003C4D48">
            <w:pPr>
              <w:rPr>
                <w:rFonts w:ascii="Calibri" w:eastAsia="Calibri" w:hAnsi="Calibri" w:cs="Times New Roman"/>
              </w:rPr>
            </w:pPr>
          </w:p>
        </w:tc>
      </w:tr>
      <w:tr w:rsidR="00E17126" w:rsidRPr="00882813" w14:paraId="2FD99B49" w14:textId="77777777" w:rsidTr="003C4D48">
        <w:trPr>
          <w:trHeight w:val="375"/>
        </w:trPr>
        <w:tc>
          <w:tcPr>
            <w:tcW w:w="8795" w:type="dxa"/>
            <w:gridSpan w:val="4"/>
            <w:hideMark/>
          </w:tcPr>
          <w:p w14:paraId="156DC98B"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Components</w:t>
            </w:r>
          </w:p>
        </w:tc>
      </w:tr>
      <w:tr w:rsidR="00E17126" w:rsidRPr="00882813" w14:paraId="0EBA5B32" w14:textId="77777777" w:rsidTr="003C4D48">
        <w:trPr>
          <w:trHeight w:val="702"/>
        </w:trPr>
        <w:tc>
          <w:tcPr>
            <w:tcW w:w="2466" w:type="dxa"/>
            <w:vMerge w:val="restart"/>
            <w:hideMark/>
          </w:tcPr>
          <w:p w14:paraId="4A27056D"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Post-discharge Follow-up Phone Call:</w:t>
            </w:r>
          </w:p>
        </w:tc>
        <w:tc>
          <w:tcPr>
            <w:tcW w:w="6329" w:type="dxa"/>
            <w:gridSpan w:val="3"/>
            <w:vMerge w:val="restart"/>
            <w:hideMark/>
          </w:tcPr>
          <w:p w14:paraId="5608127E"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Essential for supporting patients post-discharge.</w:t>
            </w:r>
            <w:r w:rsidRPr="00882813">
              <w:rPr>
                <w:rFonts w:ascii="Calibri" w:eastAsia="Calibri" w:hAnsi="Calibri" w:cs="Times New Roman"/>
              </w:rPr>
              <w:br/>
              <w:t>• Conducted by clinical staff 2 to 3 days after discharge.</w:t>
            </w:r>
          </w:p>
        </w:tc>
      </w:tr>
      <w:tr w:rsidR="00E17126" w:rsidRPr="00882813" w14:paraId="18747A11" w14:textId="77777777" w:rsidTr="003C4D48">
        <w:trPr>
          <w:trHeight w:val="499"/>
        </w:trPr>
        <w:tc>
          <w:tcPr>
            <w:tcW w:w="2466" w:type="dxa"/>
            <w:vMerge/>
            <w:hideMark/>
          </w:tcPr>
          <w:p w14:paraId="1E494477" w14:textId="77777777" w:rsidR="00E17126" w:rsidRPr="00882813" w:rsidRDefault="00E17126" w:rsidP="003C4D48">
            <w:pPr>
              <w:rPr>
                <w:rFonts w:ascii="Calibri" w:eastAsia="Calibri" w:hAnsi="Calibri" w:cs="Times New Roman"/>
                <w:i/>
                <w:iCs/>
              </w:rPr>
            </w:pPr>
          </w:p>
        </w:tc>
        <w:tc>
          <w:tcPr>
            <w:tcW w:w="6329" w:type="dxa"/>
            <w:gridSpan w:val="3"/>
            <w:vMerge/>
            <w:hideMark/>
          </w:tcPr>
          <w:p w14:paraId="7BD43EA7" w14:textId="77777777" w:rsidR="00E17126" w:rsidRPr="00882813" w:rsidRDefault="00E17126" w:rsidP="003C4D48">
            <w:pPr>
              <w:rPr>
                <w:rFonts w:ascii="Calibri" w:eastAsia="Calibri" w:hAnsi="Calibri" w:cs="Times New Roman"/>
              </w:rPr>
            </w:pPr>
          </w:p>
        </w:tc>
      </w:tr>
      <w:tr w:rsidR="00E17126" w:rsidRPr="00882813" w14:paraId="327C9110" w14:textId="77777777" w:rsidTr="003C4D48">
        <w:trPr>
          <w:trHeight w:val="1452"/>
        </w:trPr>
        <w:tc>
          <w:tcPr>
            <w:tcW w:w="2466" w:type="dxa"/>
            <w:hideMark/>
          </w:tcPr>
          <w:p w14:paraId="477B9925"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Objectives of the Follow-up Phone Call:</w:t>
            </w:r>
          </w:p>
        </w:tc>
        <w:tc>
          <w:tcPr>
            <w:tcW w:w="6329" w:type="dxa"/>
            <w:gridSpan w:val="3"/>
            <w:hideMark/>
          </w:tcPr>
          <w:p w14:paraId="6BAEF868"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Identify patient actions, questions, and misunderstandings.</w:t>
            </w:r>
            <w:r w:rsidRPr="00882813">
              <w:rPr>
                <w:rFonts w:ascii="Calibri" w:eastAsia="Calibri" w:hAnsi="Calibri" w:cs="Times New Roman"/>
              </w:rPr>
              <w:br/>
              <w:t>• Address discrepancies in the discharge plan.</w:t>
            </w:r>
            <w:r w:rsidRPr="00882813">
              <w:rPr>
                <w:rFonts w:ascii="Calibri" w:eastAsia="Calibri" w:hAnsi="Calibri" w:cs="Times New Roman"/>
              </w:rPr>
              <w:br/>
              <w:t>• Respond to concerns from caregivers or family members.</w:t>
            </w:r>
          </w:p>
        </w:tc>
      </w:tr>
      <w:tr w:rsidR="00E17126" w:rsidRPr="00882813" w14:paraId="6672FD25" w14:textId="77777777" w:rsidTr="003C4D48">
        <w:trPr>
          <w:trHeight w:val="2029"/>
        </w:trPr>
        <w:tc>
          <w:tcPr>
            <w:tcW w:w="2466" w:type="dxa"/>
            <w:hideMark/>
          </w:tcPr>
          <w:p w14:paraId="6FD5E036"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Review during the Phone Call:</w:t>
            </w:r>
          </w:p>
        </w:tc>
        <w:tc>
          <w:tcPr>
            <w:tcW w:w="6329" w:type="dxa"/>
            <w:gridSpan w:val="3"/>
            <w:hideMark/>
          </w:tcPr>
          <w:p w14:paraId="7B0769CE"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Patient's health status.</w:t>
            </w:r>
            <w:r w:rsidRPr="00882813">
              <w:rPr>
                <w:rFonts w:ascii="Calibri" w:eastAsia="Calibri" w:hAnsi="Calibri" w:cs="Times New Roman"/>
              </w:rPr>
              <w:br/>
              <w:t>• Medications.</w:t>
            </w:r>
            <w:r w:rsidRPr="00882813">
              <w:rPr>
                <w:rFonts w:ascii="Calibri" w:eastAsia="Calibri" w:hAnsi="Calibri" w:cs="Times New Roman"/>
              </w:rPr>
              <w:br/>
              <w:t>• Appointments.</w:t>
            </w:r>
            <w:r w:rsidRPr="00882813">
              <w:rPr>
                <w:rFonts w:ascii="Calibri" w:eastAsia="Calibri" w:hAnsi="Calibri" w:cs="Times New Roman"/>
              </w:rPr>
              <w:br/>
              <w:t>• Home services.</w:t>
            </w:r>
            <w:r w:rsidRPr="00882813">
              <w:rPr>
                <w:rFonts w:ascii="Calibri" w:eastAsia="Calibri" w:hAnsi="Calibri" w:cs="Times New Roman"/>
              </w:rPr>
              <w:br/>
              <w:t>• Plan for addressing potential problems.</w:t>
            </w:r>
          </w:p>
        </w:tc>
      </w:tr>
      <w:tr w:rsidR="00E17126" w:rsidRPr="00882813" w14:paraId="3CABB708" w14:textId="77777777" w:rsidTr="003C4D48">
        <w:trPr>
          <w:trHeight w:val="660"/>
        </w:trPr>
        <w:tc>
          <w:tcPr>
            <w:tcW w:w="2466" w:type="dxa"/>
            <w:hideMark/>
          </w:tcPr>
          <w:p w14:paraId="64665147"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2. Ensure Continuity of Care:</w:t>
            </w:r>
          </w:p>
        </w:tc>
        <w:tc>
          <w:tcPr>
            <w:tcW w:w="6329" w:type="dxa"/>
            <w:gridSpan w:val="3"/>
            <w:hideMark/>
          </w:tcPr>
          <w:p w14:paraId="4448ECA8"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Adapt communication style to the patient's current needs.</w:t>
            </w:r>
          </w:p>
        </w:tc>
      </w:tr>
      <w:tr w:rsidR="00E17126" w:rsidRPr="00882813" w14:paraId="3E79C1EB" w14:textId="77777777" w:rsidTr="003C4D48">
        <w:trPr>
          <w:trHeight w:val="1399"/>
        </w:trPr>
        <w:tc>
          <w:tcPr>
            <w:tcW w:w="2466" w:type="dxa"/>
            <w:hideMark/>
          </w:tcPr>
          <w:p w14:paraId="22998B1F"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A. Smooth Handoff for Others Conducting the Call:</w:t>
            </w:r>
          </w:p>
        </w:tc>
        <w:tc>
          <w:tcPr>
            <w:tcW w:w="6329" w:type="dxa"/>
            <w:gridSpan w:val="3"/>
            <w:hideMark/>
          </w:tcPr>
          <w:p w14:paraId="777AD63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Communicate with the discharge educator/resident for a smooth handoff.</w:t>
            </w:r>
            <w:r w:rsidRPr="00882813">
              <w:rPr>
                <w:rFonts w:ascii="Calibri" w:eastAsia="Calibri" w:hAnsi="Calibri" w:cs="Times New Roman"/>
              </w:rPr>
              <w:br/>
              <w:t>• Obtain crucial patient information including admitting diagnosis and discharge medications from the discharge summary.</w:t>
            </w:r>
          </w:p>
        </w:tc>
      </w:tr>
      <w:tr w:rsidR="00E17126" w:rsidRPr="00882813" w14:paraId="7E877B66" w14:textId="77777777" w:rsidTr="003C4D48">
        <w:trPr>
          <w:trHeight w:val="1572"/>
        </w:trPr>
        <w:tc>
          <w:tcPr>
            <w:tcW w:w="2466" w:type="dxa"/>
            <w:hideMark/>
          </w:tcPr>
          <w:p w14:paraId="6011339A"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B. Learn How to Confirm Understanding:</w:t>
            </w:r>
          </w:p>
        </w:tc>
        <w:tc>
          <w:tcPr>
            <w:tcW w:w="6329" w:type="dxa"/>
            <w:gridSpan w:val="3"/>
            <w:hideMark/>
          </w:tcPr>
          <w:p w14:paraId="0EF595FB"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Use the "teach-back" method to confirm patient understanding.</w:t>
            </w:r>
            <w:r w:rsidRPr="00882813">
              <w:rPr>
                <w:rFonts w:ascii="Calibri" w:eastAsia="Calibri" w:hAnsi="Calibri" w:cs="Times New Roman"/>
              </w:rPr>
              <w:br/>
              <w:t>• Not a test but a measure of effective communication.</w:t>
            </w:r>
            <w:r w:rsidRPr="00882813">
              <w:rPr>
                <w:rFonts w:ascii="Calibri" w:eastAsia="Calibri" w:hAnsi="Calibri" w:cs="Times New Roman"/>
              </w:rPr>
              <w:br/>
              <w:t>• Apply to all patients, regardless of perceived understanding.</w:t>
            </w:r>
            <w:r w:rsidRPr="00882813">
              <w:rPr>
                <w:rFonts w:ascii="Calibri" w:eastAsia="Calibri" w:hAnsi="Calibri" w:cs="Times New Roman"/>
              </w:rPr>
              <w:br/>
              <w:t>www.nchealthliteracy.org/teachingaids.html video for an example</w:t>
            </w:r>
          </w:p>
        </w:tc>
      </w:tr>
      <w:tr w:rsidR="00E17126" w:rsidRPr="00882813" w14:paraId="66AA3642" w14:textId="77777777" w:rsidTr="003C4D48">
        <w:trPr>
          <w:trHeight w:val="1309"/>
        </w:trPr>
        <w:tc>
          <w:tcPr>
            <w:tcW w:w="2466" w:type="dxa"/>
            <w:hideMark/>
          </w:tcPr>
          <w:p w14:paraId="2E95E141"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lastRenderedPageBreak/>
              <w:t>C. Gather Necessary Documentation:</w:t>
            </w:r>
          </w:p>
        </w:tc>
        <w:tc>
          <w:tcPr>
            <w:tcW w:w="6329" w:type="dxa"/>
            <w:gridSpan w:val="3"/>
            <w:hideMark/>
          </w:tcPr>
          <w:p w14:paraId="46EF555A"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Obtain the patient's hospital discharge summary, After Hospital Care Plan (AHCP), and discharge instructions.</w:t>
            </w:r>
            <w:r w:rsidRPr="00882813">
              <w:rPr>
                <w:rFonts w:ascii="Calibri" w:eastAsia="Calibri" w:hAnsi="Calibri" w:cs="Times New Roman"/>
              </w:rPr>
              <w:br/>
              <w:t>• Collect missing information from alternative sources if needed.</w:t>
            </w:r>
          </w:p>
        </w:tc>
      </w:tr>
      <w:tr w:rsidR="00E17126" w:rsidRPr="00882813" w14:paraId="4CBD05D4" w14:textId="77777777" w:rsidTr="003C4D48">
        <w:trPr>
          <w:trHeight w:val="1362"/>
        </w:trPr>
        <w:tc>
          <w:tcPr>
            <w:tcW w:w="2466" w:type="dxa"/>
            <w:hideMark/>
          </w:tcPr>
          <w:p w14:paraId="2AF076A4"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D. Review Health History and Discharge Plans:</w:t>
            </w:r>
          </w:p>
        </w:tc>
        <w:tc>
          <w:tcPr>
            <w:tcW w:w="6329" w:type="dxa"/>
            <w:gridSpan w:val="3"/>
            <w:hideMark/>
          </w:tcPr>
          <w:p w14:paraId="6604444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Familiarize with the patient's health history and discharge plan.</w:t>
            </w:r>
            <w:r w:rsidRPr="00882813">
              <w:rPr>
                <w:rFonts w:ascii="Calibri" w:eastAsia="Calibri" w:hAnsi="Calibri" w:cs="Times New Roman"/>
              </w:rPr>
              <w:br/>
              <w:t>• Include diagnosis, daily routines, cultural practices, family involvement, stressors, support, follow-up appointments, and home services.</w:t>
            </w:r>
          </w:p>
        </w:tc>
      </w:tr>
      <w:tr w:rsidR="00E17126" w:rsidRPr="00882813" w14:paraId="595E01FF" w14:textId="77777777" w:rsidTr="003C4D48">
        <w:trPr>
          <w:trHeight w:val="1549"/>
        </w:trPr>
        <w:tc>
          <w:tcPr>
            <w:tcW w:w="2466" w:type="dxa"/>
            <w:hideMark/>
          </w:tcPr>
          <w:p w14:paraId="0A957747"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E. Check Accuracy and Safety of Medicine Lists:</w:t>
            </w:r>
          </w:p>
        </w:tc>
        <w:tc>
          <w:tcPr>
            <w:tcW w:w="6329" w:type="dxa"/>
            <w:gridSpan w:val="3"/>
            <w:hideMark/>
          </w:tcPr>
          <w:p w14:paraId="230D896E"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Ensure medication reconciliation is complete.</w:t>
            </w:r>
            <w:r w:rsidRPr="00882813">
              <w:rPr>
                <w:rFonts w:ascii="Calibri" w:eastAsia="Calibri" w:hAnsi="Calibri" w:cs="Times New Roman"/>
              </w:rPr>
              <w:br/>
              <w:t>• Compare medicine lists in the discharge summary and medications listed in patient’s initial assessment form (pre-hospitalization medications)</w:t>
            </w:r>
            <w:r w:rsidRPr="00882813">
              <w:rPr>
                <w:rFonts w:ascii="Calibri" w:eastAsia="Calibri" w:hAnsi="Calibri" w:cs="Times New Roman"/>
              </w:rPr>
              <w:br/>
              <w:t>• Resolve inconsistencies with the hospital team or primary care provider.</w:t>
            </w:r>
          </w:p>
        </w:tc>
      </w:tr>
      <w:tr w:rsidR="00E17126" w:rsidRPr="00882813" w14:paraId="093F367E" w14:textId="77777777" w:rsidTr="003C4D48">
        <w:trPr>
          <w:trHeight w:val="1489"/>
        </w:trPr>
        <w:tc>
          <w:tcPr>
            <w:tcW w:w="2466" w:type="dxa"/>
            <w:hideMark/>
          </w:tcPr>
          <w:p w14:paraId="067F86F5"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F. Identify Problems with Medicines:</w:t>
            </w:r>
          </w:p>
        </w:tc>
        <w:tc>
          <w:tcPr>
            <w:tcW w:w="6329" w:type="dxa"/>
            <w:gridSpan w:val="3"/>
            <w:hideMark/>
          </w:tcPr>
          <w:p w14:paraId="6569070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Note changes in medication regimens.</w:t>
            </w:r>
            <w:r w:rsidRPr="00882813">
              <w:rPr>
                <w:rFonts w:ascii="Calibri" w:eastAsia="Calibri" w:hAnsi="Calibri" w:cs="Times New Roman"/>
              </w:rPr>
              <w:br/>
              <w:t>• Pay attention to complicated instructions and potentially severe side effects.</w:t>
            </w:r>
            <w:r w:rsidRPr="00882813">
              <w:rPr>
                <w:rFonts w:ascii="Calibri" w:eastAsia="Calibri" w:hAnsi="Calibri" w:cs="Times New Roman"/>
              </w:rPr>
              <w:br/>
              <w:t>• Familiarize with drug-food interactions and side effects.</w:t>
            </w:r>
          </w:p>
        </w:tc>
      </w:tr>
      <w:tr w:rsidR="00E17126" w:rsidRPr="00882813" w14:paraId="0076C325" w14:textId="77777777" w:rsidTr="003C4D48">
        <w:trPr>
          <w:trHeight w:val="1692"/>
        </w:trPr>
        <w:tc>
          <w:tcPr>
            <w:tcW w:w="2466" w:type="dxa"/>
            <w:hideMark/>
          </w:tcPr>
          <w:p w14:paraId="591A33EC"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G. Arrange for Interpreter Services:</w:t>
            </w:r>
          </w:p>
        </w:tc>
        <w:tc>
          <w:tcPr>
            <w:tcW w:w="6329" w:type="dxa"/>
            <w:gridSpan w:val="3"/>
            <w:hideMark/>
          </w:tcPr>
          <w:p w14:paraId="5D46CEC2"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Confirm the interpreter needs from the discharge educator contact sheet.</w:t>
            </w:r>
            <w:r w:rsidRPr="00882813">
              <w:rPr>
                <w:rFonts w:ascii="Calibri" w:eastAsia="Calibri" w:hAnsi="Calibri" w:cs="Times New Roman"/>
              </w:rPr>
              <w:br/>
              <w:t>• Arrange interpreter services if necessary, using hospital resources or contracted services.</w:t>
            </w:r>
            <w:r w:rsidRPr="00882813">
              <w:rPr>
                <w:rFonts w:ascii="Calibri" w:eastAsia="Calibri" w:hAnsi="Calibri" w:cs="Times New Roman"/>
              </w:rPr>
              <w:br/>
              <w:t>• Be prepared for unanticipated interpreter needs during the call.</w:t>
            </w:r>
          </w:p>
        </w:tc>
      </w:tr>
      <w:tr w:rsidR="00E17126" w:rsidRPr="00882813" w14:paraId="2CFE7845" w14:textId="77777777" w:rsidTr="003C4D48">
        <w:trPr>
          <w:trHeight w:val="300"/>
        </w:trPr>
        <w:tc>
          <w:tcPr>
            <w:tcW w:w="8795" w:type="dxa"/>
            <w:gridSpan w:val="4"/>
            <w:hideMark/>
          </w:tcPr>
          <w:p w14:paraId="67290DAC"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3. Conducting a phone call</w:t>
            </w:r>
          </w:p>
        </w:tc>
      </w:tr>
      <w:tr w:rsidR="00E17126" w:rsidRPr="00882813" w14:paraId="2A897F3D" w14:textId="77777777" w:rsidTr="003C4D48">
        <w:trPr>
          <w:trHeight w:val="1639"/>
        </w:trPr>
        <w:tc>
          <w:tcPr>
            <w:tcW w:w="2466" w:type="dxa"/>
            <w:hideMark/>
          </w:tcPr>
          <w:p w14:paraId="3958CCE1"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A. Whom and When to Call:</w:t>
            </w:r>
          </w:p>
        </w:tc>
        <w:tc>
          <w:tcPr>
            <w:tcW w:w="6329" w:type="dxa"/>
            <w:gridSpan w:val="3"/>
            <w:hideMark/>
          </w:tcPr>
          <w:p w14:paraId="1EB8971A"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Collect contact info before discharge (contact details).</w:t>
            </w:r>
            <w:r w:rsidRPr="00882813">
              <w:rPr>
                <w:rFonts w:ascii="Calibri" w:eastAsia="Calibri" w:hAnsi="Calibri" w:cs="Times New Roman"/>
              </w:rPr>
              <w:br/>
              <w:t>• If an ideal time to call is specified by a family member.</w:t>
            </w:r>
            <w:r w:rsidRPr="00882813">
              <w:rPr>
                <w:rFonts w:ascii="Calibri" w:eastAsia="Calibri" w:hAnsi="Calibri" w:cs="Times New Roman"/>
              </w:rPr>
              <w:br/>
              <w:t>• Start calls 48 hours post-discharge.</w:t>
            </w:r>
            <w:r w:rsidRPr="00882813">
              <w:rPr>
                <w:rFonts w:ascii="Calibri" w:eastAsia="Calibri" w:hAnsi="Calibri" w:cs="Times New Roman"/>
              </w:rPr>
              <w:br/>
              <w:t>• Patient or caregiver contacted based on preferences.</w:t>
            </w:r>
          </w:p>
        </w:tc>
      </w:tr>
      <w:tr w:rsidR="00E17126" w:rsidRPr="00882813" w14:paraId="1AF42DD4" w14:textId="77777777" w:rsidTr="003C4D48">
        <w:trPr>
          <w:trHeight w:val="1920"/>
        </w:trPr>
        <w:tc>
          <w:tcPr>
            <w:tcW w:w="2466" w:type="dxa"/>
            <w:hideMark/>
          </w:tcPr>
          <w:p w14:paraId="77E302E0"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B. What to Say (Follow-up Phone Call Components):</w:t>
            </w:r>
          </w:p>
        </w:tc>
        <w:tc>
          <w:tcPr>
            <w:tcW w:w="6329" w:type="dxa"/>
            <w:gridSpan w:val="3"/>
            <w:hideMark/>
          </w:tcPr>
          <w:p w14:paraId="5AF242A9"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Assessment of health status.</w:t>
            </w:r>
            <w:r w:rsidRPr="00882813">
              <w:rPr>
                <w:rFonts w:ascii="Calibri" w:eastAsia="Calibri" w:hAnsi="Calibri" w:cs="Times New Roman"/>
              </w:rPr>
              <w:br/>
              <w:t>• Medicine check.</w:t>
            </w:r>
            <w:r w:rsidRPr="00882813">
              <w:rPr>
                <w:rFonts w:ascii="Calibri" w:eastAsia="Calibri" w:hAnsi="Calibri" w:cs="Times New Roman"/>
              </w:rPr>
              <w:br/>
              <w:t>• Clarification of appointments and lab tests.</w:t>
            </w:r>
            <w:r w:rsidRPr="00882813">
              <w:rPr>
                <w:rFonts w:ascii="Calibri" w:eastAsia="Calibri" w:hAnsi="Calibri" w:cs="Times New Roman"/>
              </w:rPr>
              <w:br/>
              <w:t>• Coordination of post-discharge home services.</w:t>
            </w:r>
            <w:r w:rsidRPr="00882813">
              <w:rPr>
                <w:rFonts w:ascii="Calibri" w:eastAsia="Calibri" w:hAnsi="Calibri" w:cs="Times New Roman"/>
              </w:rPr>
              <w:br/>
              <w:t>• Review of actions in case of health problems.</w:t>
            </w:r>
          </w:p>
        </w:tc>
      </w:tr>
      <w:tr w:rsidR="00E17126" w:rsidRPr="00882813" w14:paraId="6448719D" w14:textId="77777777" w:rsidTr="003C4D48">
        <w:trPr>
          <w:trHeight w:val="1620"/>
        </w:trPr>
        <w:tc>
          <w:tcPr>
            <w:tcW w:w="2466" w:type="dxa"/>
            <w:hideMark/>
          </w:tcPr>
          <w:p w14:paraId="248EEF17"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lastRenderedPageBreak/>
              <w:t>C. Scripts and Tools:</w:t>
            </w:r>
          </w:p>
        </w:tc>
        <w:tc>
          <w:tcPr>
            <w:tcW w:w="6329" w:type="dxa"/>
            <w:gridSpan w:val="3"/>
            <w:hideMark/>
          </w:tcPr>
          <w:p w14:paraId="1A770D5D"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Patient call script is adaptable for efficiency.</w:t>
            </w:r>
            <w:r w:rsidRPr="00882813">
              <w:rPr>
                <w:rFonts w:ascii="Calibri" w:eastAsia="Calibri" w:hAnsi="Calibri" w:cs="Times New Roman"/>
              </w:rPr>
              <w:br/>
              <w:t>• Script for calling caregivers.</w:t>
            </w:r>
            <w:r w:rsidRPr="00882813">
              <w:rPr>
                <w:rFonts w:ascii="Calibri" w:eastAsia="Calibri" w:hAnsi="Calibri" w:cs="Times New Roman"/>
              </w:rPr>
              <w:br/>
              <w:t>• Data collection sheet for documenting calls.</w:t>
            </w:r>
            <w:r w:rsidRPr="00882813">
              <w:rPr>
                <w:rFonts w:ascii="Calibri" w:eastAsia="Calibri" w:hAnsi="Calibri" w:cs="Times New Roman"/>
              </w:rPr>
              <w:br/>
              <w:t>• Flexibility and creativity are required during calls.</w:t>
            </w:r>
          </w:p>
        </w:tc>
      </w:tr>
      <w:tr w:rsidR="00E17126" w:rsidRPr="00882813" w14:paraId="2ED9AAB3" w14:textId="77777777" w:rsidTr="003C4D48">
        <w:trPr>
          <w:trHeight w:val="1590"/>
        </w:trPr>
        <w:tc>
          <w:tcPr>
            <w:tcW w:w="2466" w:type="dxa"/>
            <w:hideMark/>
          </w:tcPr>
          <w:p w14:paraId="4A3B8327"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D. Verify Availability and Interpreter Services:</w:t>
            </w:r>
          </w:p>
        </w:tc>
        <w:tc>
          <w:tcPr>
            <w:tcW w:w="6329" w:type="dxa"/>
            <w:gridSpan w:val="3"/>
            <w:hideMark/>
          </w:tcPr>
          <w:p w14:paraId="68235751"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Confirm availability for the call.</w:t>
            </w:r>
            <w:r w:rsidRPr="00882813">
              <w:rPr>
                <w:rFonts w:ascii="Calibri" w:eastAsia="Calibri" w:hAnsi="Calibri" w:cs="Times New Roman"/>
              </w:rPr>
              <w:br/>
              <w:t>• Assess the need for an interpreter independently.</w:t>
            </w:r>
            <w:r w:rsidRPr="00882813">
              <w:rPr>
                <w:rFonts w:ascii="Calibri" w:eastAsia="Calibri" w:hAnsi="Calibri" w:cs="Times New Roman"/>
              </w:rPr>
              <w:br/>
              <w:t>• Establish open communication and encourage sharing of concerns.</w:t>
            </w:r>
            <w:r w:rsidRPr="00882813">
              <w:rPr>
                <w:rFonts w:ascii="Calibri" w:eastAsia="Calibri" w:hAnsi="Calibri" w:cs="Times New Roman"/>
              </w:rPr>
              <w:br/>
              <w:t>• Ask patients or caregivers to have the discharge summary and medicines ready.</w:t>
            </w:r>
          </w:p>
        </w:tc>
      </w:tr>
      <w:tr w:rsidR="00E17126" w:rsidRPr="00882813" w14:paraId="1AC366E3" w14:textId="77777777" w:rsidTr="003C4D48">
        <w:trPr>
          <w:trHeight w:val="480"/>
        </w:trPr>
        <w:tc>
          <w:tcPr>
            <w:tcW w:w="2466" w:type="dxa"/>
            <w:vMerge w:val="restart"/>
            <w:hideMark/>
          </w:tcPr>
          <w:p w14:paraId="6F765A8F"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E. Assess Health Status:</w:t>
            </w:r>
          </w:p>
        </w:tc>
        <w:tc>
          <w:tcPr>
            <w:tcW w:w="6329" w:type="dxa"/>
            <w:gridSpan w:val="3"/>
            <w:hideMark/>
          </w:tcPr>
          <w:p w14:paraId="2A7D0F5F"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xml:space="preserve">You will ask about the patient’s: </w:t>
            </w:r>
          </w:p>
        </w:tc>
      </w:tr>
      <w:tr w:rsidR="00E17126" w:rsidRPr="00882813" w14:paraId="1F5B1D16" w14:textId="77777777" w:rsidTr="003C4D48">
        <w:trPr>
          <w:trHeight w:val="342"/>
        </w:trPr>
        <w:tc>
          <w:tcPr>
            <w:tcW w:w="2466" w:type="dxa"/>
            <w:vMerge/>
            <w:hideMark/>
          </w:tcPr>
          <w:p w14:paraId="554ECEDB" w14:textId="77777777" w:rsidR="00E17126" w:rsidRPr="00882813" w:rsidRDefault="00E17126" w:rsidP="003C4D48">
            <w:pPr>
              <w:rPr>
                <w:rFonts w:ascii="Calibri" w:eastAsia="Calibri" w:hAnsi="Calibri" w:cs="Times New Roman"/>
                <w:i/>
                <w:iCs/>
              </w:rPr>
            </w:pPr>
          </w:p>
        </w:tc>
        <w:tc>
          <w:tcPr>
            <w:tcW w:w="6329" w:type="dxa"/>
            <w:gridSpan w:val="3"/>
            <w:hideMark/>
          </w:tcPr>
          <w:p w14:paraId="4B6290D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Comprehension of the reason for his/her hospital visit; </w:t>
            </w:r>
          </w:p>
        </w:tc>
      </w:tr>
      <w:tr w:rsidR="00E17126" w:rsidRPr="00882813" w14:paraId="12FD4AFD" w14:textId="77777777" w:rsidTr="003C4D48">
        <w:trPr>
          <w:trHeight w:val="330"/>
        </w:trPr>
        <w:tc>
          <w:tcPr>
            <w:tcW w:w="2466" w:type="dxa"/>
            <w:vMerge/>
            <w:hideMark/>
          </w:tcPr>
          <w:p w14:paraId="0577A971" w14:textId="77777777" w:rsidR="00E17126" w:rsidRPr="00882813" w:rsidRDefault="00E17126" w:rsidP="003C4D48">
            <w:pPr>
              <w:rPr>
                <w:rFonts w:ascii="Calibri" w:eastAsia="Calibri" w:hAnsi="Calibri" w:cs="Times New Roman"/>
                <w:i/>
                <w:iCs/>
              </w:rPr>
            </w:pPr>
          </w:p>
        </w:tc>
        <w:tc>
          <w:tcPr>
            <w:tcW w:w="6329" w:type="dxa"/>
            <w:gridSpan w:val="3"/>
            <w:hideMark/>
          </w:tcPr>
          <w:p w14:paraId="5AABFC5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Perception of any change in health status since discharge; and </w:t>
            </w:r>
          </w:p>
        </w:tc>
      </w:tr>
      <w:tr w:rsidR="00E17126" w:rsidRPr="00882813" w14:paraId="5E906AEE" w14:textId="77777777" w:rsidTr="003C4D48">
        <w:trPr>
          <w:trHeight w:val="942"/>
        </w:trPr>
        <w:tc>
          <w:tcPr>
            <w:tcW w:w="2466" w:type="dxa"/>
            <w:vMerge/>
            <w:hideMark/>
          </w:tcPr>
          <w:p w14:paraId="1A327F2A" w14:textId="77777777" w:rsidR="00E17126" w:rsidRPr="00882813" w:rsidRDefault="00E17126" w:rsidP="003C4D48">
            <w:pPr>
              <w:rPr>
                <w:rFonts w:ascii="Calibri" w:eastAsia="Calibri" w:hAnsi="Calibri" w:cs="Times New Roman"/>
                <w:i/>
                <w:iCs/>
              </w:rPr>
            </w:pPr>
          </w:p>
        </w:tc>
        <w:tc>
          <w:tcPr>
            <w:tcW w:w="6329" w:type="dxa"/>
            <w:gridSpan w:val="3"/>
            <w:hideMark/>
          </w:tcPr>
          <w:p w14:paraId="1E452B0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Understanding of how to manage any medical changes or whether he or she needs to seek medical care for any concerns (either relating to the primary discharge diagnosis or any new problems). </w:t>
            </w:r>
          </w:p>
        </w:tc>
      </w:tr>
      <w:tr w:rsidR="00E17126" w:rsidRPr="00882813" w14:paraId="12BFCEF1" w14:textId="77777777" w:rsidTr="003C4D48">
        <w:trPr>
          <w:trHeight w:val="300"/>
        </w:trPr>
        <w:tc>
          <w:tcPr>
            <w:tcW w:w="2466" w:type="dxa"/>
            <w:vMerge/>
            <w:hideMark/>
          </w:tcPr>
          <w:p w14:paraId="65631FEC" w14:textId="77777777" w:rsidR="00E17126" w:rsidRPr="00882813" w:rsidRDefault="00E17126" w:rsidP="003C4D48">
            <w:pPr>
              <w:rPr>
                <w:rFonts w:ascii="Calibri" w:eastAsia="Calibri" w:hAnsi="Calibri" w:cs="Times New Roman"/>
                <w:i/>
                <w:iCs/>
              </w:rPr>
            </w:pPr>
          </w:p>
        </w:tc>
        <w:tc>
          <w:tcPr>
            <w:tcW w:w="6329" w:type="dxa"/>
            <w:gridSpan w:val="3"/>
            <w:hideMark/>
          </w:tcPr>
          <w:p w14:paraId="26CC9D6B"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w:t>
            </w:r>
          </w:p>
        </w:tc>
      </w:tr>
      <w:tr w:rsidR="00E17126" w:rsidRPr="00882813" w14:paraId="009CB84C" w14:textId="77777777" w:rsidTr="003C4D48">
        <w:trPr>
          <w:trHeight w:val="1129"/>
        </w:trPr>
        <w:tc>
          <w:tcPr>
            <w:tcW w:w="2466" w:type="dxa"/>
            <w:vMerge/>
            <w:hideMark/>
          </w:tcPr>
          <w:p w14:paraId="6372A873" w14:textId="77777777" w:rsidR="00E17126" w:rsidRPr="00882813" w:rsidRDefault="00E17126" w:rsidP="003C4D48">
            <w:pPr>
              <w:rPr>
                <w:rFonts w:ascii="Calibri" w:eastAsia="Calibri" w:hAnsi="Calibri" w:cs="Times New Roman"/>
                <w:i/>
                <w:iCs/>
              </w:rPr>
            </w:pPr>
          </w:p>
        </w:tc>
        <w:tc>
          <w:tcPr>
            <w:tcW w:w="6329" w:type="dxa"/>
            <w:gridSpan w:val="3"/>
            <w:hideMark/>
          </w:tcPr>
          <w:p w14:paraId="40B526C2"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If the patient’s health status has deteriorated, a plan of action may be needed. Interventions for patients reporting feeling worse since discharge due to primary discharge diagnosis, adverse drug event, or other symptoms may include: </w:t>
            </w:r>
          </w:p>
        </w:tc>
      </w:tr>
      <w:tr w:rsidR="00E17126" w:rsidRPr="00882813" w14:paraId="4E82BD35" w14:textId="77777777" w:rsidTr="003C4D48">
        <w:trPr>
          <w:trHeight w:val="300"/>
        </w:trPr>
        <w:tc>
          <w:tcPr>
            <w:tcW w:w="2466" w:type="dxa"/>
            <w:vMerge/>
            <w:hideMark/>
          </w:tcPr>
          <w:p w14:paraId="1756EA98" w14:textId="77777777" w:rsidR="00E17126" w:rsidRPr="00882813" w:rsidRDefault="00E17126" w:rsidP="003C4D48">
            <w:pPr>
              <w:rPr>
                <w:rFonts w:ascii="Calibri" w:eastAsia="Calibri" w:hAnsi="Calibri" w:cs="Times New Roman"/>
                <w:i/>
                <w:iCs/>
              </w:rPr>
            </w:pPr>
          </w:p>
        </w:tc>
        <w:tc>
          <w:tcPr>
            <w:tcW w:w="6329" w:type="dxa"/>
            <w:gridSpan w:val="3"/>
            <w:hideMark/>
          </w:tcPr>
          <w:p w14:paraId="7C72786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[1] Providing patient education. </w:t>
            </w:r>
          </w:p>
        </w:tc>
      </w:tr>
      <w:tr w:rsidR="00E17126" w:rsidRPr="00882813" w14:paraId="4F137BF2" w14:textId="77777777" w:rsidTr="003C4D48">
        <w:trPr>
          <w:trHeight w:val="349"/>
        </w:trPr>
        <w:tc>
          <w:tcPr>
            <w:tcW w:w="2466" w:type="dxa"/>
            <w:vMerge/>
            <w:hideMark/>
          </w:tcPr>
          <w:p w14:paraId="08A18721" w14:textId="77777777" w:rsidR="00E17126" w:rsidRPr="00882813" w:rsidRDefault="00E17126" w:rsidP="003C4D48">
            <w:pPr>
              <w:rPr>
                <w:rFonts w:ascii="Calibri" w:eastAsia="Calibri" w:hAnsi="Calibri" w:cs="Times New Roman"/>
                <w:i/>
                <w:iCs/>
              </w:rPr>
            </w:pPr>
          </w:p>
        </w:tc>
        <w:tc>
          <w:tcPr>
            <w:tcW w:w="6329" w:type="dxa"/>
            <w:gridSpan w:val="3"/>
            <w:hideMark/>
          </w:tcPr>
          <w:p w14:paraId="37C9AD8B"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[2] Checking whether the patient is taking medicine as directed. </w:t>
            </w:r>
          </w:p>
        </w:tc>
      </w:tr>
      <w:tr w:rsidR="00E17126" w:rsidRPr="00882813" w14:paraId="41DC7176" w14:textId="77777777" w:rsidTr="003C4D48">
        <w:trPr>
          <w:trHeight w:val="349"/>
        </w:trPr>
        <w:tc>
          <w:tcPr>
            <w:tcW w:w="2466" w:type="dxa"/>
            <w:vMerge/>
            <w:hideMark/>
          </w:tcPr>
          <w:p w14:paraId="3986D393" w14:textId="77777777" w:rsidR="00E17126" w:rsidRPr="00882813" w:rsidRDefault="00E17126" w:rsidP="003C4D48">
            <w:pPr>
              <w:rPr>
                <w:rFonts w:ascii="Calibri" w:eastAsia="Calibri" w:hAnsi="Calibri" w:cs="Times New Roman"/>
                <w:i/>
                <w:iCs/>
              </w:rPr>
            </w:pPr>
          </w:p>
        </w:tc>
        <w:tc>
          <w:tcPr>
            <w:tcW w:w="6329" w:type="dxa"/>
            <w:gridSpan w:val="3"/>
            <w:hideMark/>
          </w:tcPr>
          <w:p w14:paraId="046F6E0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[3] Checking labs and reviewing medicine list for cause of complaint. </w:t>
            </w:r>
          </w:p>
        </w:tc>
      </w:tr>
      <w:tr w:rsidR="00E17126" w:rsidRPr="00882813" w14:paraId="060D082C" w14:textId="77777777" w:rsidTr="003C4D48">
        <w:trPr>
          <w:trHeight w:val="582"/>
        </w:trPr>
        <w:tc>
          <w:tcPr>
            <w:tcW w:w="2466" w:type="dxa"/>
            <w:vMerge/>
            <w:hideMark/>
          </w:tcPr>
          <w:p w14:paraId="40F985D2" w14:textId="77777777" w:rsidR="00E17126" w:rsidRPr="00882813" w:rsidRDefault="00E17126" w:rsidP="003C4D48">
            <w:pPr>
              <w:rPr>
                <w:rFonts w:ascii="Calibri" w:eastAsia="Calibri" w:hAnsi="Calibri" w:cs="Times New Roman"/>
                <w:i/>
                <w:iCs/>
              </w:rPr>
            </w:pPr>
          </w:p>
        </w:tc>
        <w:tc>
          <w:tcPr>
            <w:tcW w:w="6329" w:type="dxa"/>
            <w:gridSpan w:val="3"/>
            <w:hideMark/>
          </w:tcPr>
          <w:p w14:paraId="3F8FADD8"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[4] Advising the patient to attend an upcoming scheduled appointment with his or her primary care physician (PCP). </w:t>
            </w:r>
          </w:p>
        </w:tc>
      </w:tr>
      <w:tr w:rsidR="00E17126" w:rsidRPr="00882813" w14:paraId="0FB31169" w14:textId="77777777" w:rsidTr="003C4D48">
        <w:trPr>
          <w:trHeight w:val="559"/>
        </w:trPr>
        <w:tc>
          <w:tcPr>
            <w:tcW w:w="2466" w:type="dxa"/>
            <w:vMerge/>
            <w:hideMark/>
          </w:tcPr>
          <w:p w14:paraId="3CFF2526" w14:textId="77777777" w:rsidR="00E17126" w:rsidRPr="00882813" w:rsidRDefault="00E17126" w:rsidP="003C4D48">
            <w:pPr>
              <w:rPr>
                <w:rFonts w:ascii="Calibri" w:eastAsia="Calibri" w:hAnsi="Calibri" w:cs="Times New Roman"/>
                <w:i/>
                <w:iCs/>
              </w:rPr>
            </w:pPr>
          </w:p>
        </w:tc>
        <w:tc>
          <w:tcPr>
            <w:tcW w:w="6329" w:type="dxa"/>
            <w:gridSpan w:val="3"/>
            <w:hideMark/>
          </w:tcPr>
          <w:p w14:paraId="2341003E"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[5] Recommending patient action (e.g., take a medicine that was prescribed to take as needed, limit activity). </w:t>
            </w:r>
          </w:p>
        </w:tc>
      </w:tr>
      <w:tr w:rsidR="00E17126" w:rsidRPr="00882813" w14:paraId="2B51561E" w14:textId="77777777" w:rsidTr="003C4D48">
        <w:trPr>
          <w:trHeight w:val="330"/>
        </w:trPr>
        <w:tc>
          <w:tcPr>
            <w:tcW w:w="2466" w:type="dxa"/>
            <w:vMerge/>
            <w:hideMark/>
          </w:tcPr>
          <w:p w14:paraId="63AF962D" w14:textId="77777777" w:rsidR="00E17126" w:rsidRPr="00882813" w:rsidRDefault="00E17126" w:rsidP="003C4D48">
            <w:pPr>
              <w:rPr>
                <w:rFonts w:ascii="Calibri" w:eastAsia="Calibri" w:hAnsi="Calibri" w:cs="Times New Roman"/>
                <w:i/>
                <w:iCs/>
              </w:rPr>
            </w:pPr>
          </w:p>
        </w:tc>
        <w:tc>
          <w:tcPr>
            <w:tcW w:w="6329" w:type="dxa"/>
            <w:gridSpan w:val="3"/>
            <w:hideMark/>
          </w:tcPr>
          <w:p w14:paraId="62211C8E"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[6] Advising the patient to call his or her DE, PCP, or specialist. </w:t>
            </w:r>
          </w:p>
        </w:tc>
      </w:tr>
      <w:tr w:rsidR="00E17126" w:rsidRPr="00882813" w14:paraId="1EAC3E41" w14:textId="77777777" w:rsidTr="003C4D48">
        <w:trPr>
          <w:trHeight w:val="312"/>
        </w:trPr>
        <w:tc>
          <w:tcPr>
            <w:tcW w:w="2466" w:type="dxa"/>
            <w:vMerge/>
            <w:hideMark/>
          </w:tcPr>
          <w:p w14:paraId="6A619144" w14:textId="77777777" w:rsidR="00E17126" w:rsidRPr="00882813" w:rsidRDefault="00E17126" w:rsidP="003C4D48">
            <w:pPr>
              <w:rPr>
                <w:rFonts w:ascii="Calibri" w:eastAsia="Calibri" w:hAnsi="Calibri" w:cs="Times New Roman"/>
                <w:i/>
                <w:iCs/>
              </w:rPr>
            </w:pPr>
          </w:p>
        </w:tc>
        <w:tc>
          <w:tcPr>
            <w:tcW w:w="6329" w:type="dxa"/>
            <w:gridSpan w:val="3"/>
            <w:hideMark/>
          </w:tcPr>
          <w:p w14:paraId="3C0ECBC6"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[7] Advising the patient to go to urgent care or the emergency department. </w:t>
            </w:r>
          </w:p>
        </w:tc>
      </w:tr>
      <w:tr w:rsidR="00E17126" w:rsidRPr="00882813" w14:paraId="50B439CE" w14:textId="77777777" w:rsidTr="003C4D48">
        <w:trPr>
          <w:trHeight w:val="319"/>
        </w:trPr>
        <w:tc>
          <w:tcPr>
            <w:tcW w:w="2466" w:type="dxa"/>
            <w:vMerge/>
            <w:hideMark/>
          </w:tcPr>
          <w:p w14:paraId="50DCF67D" w14:textId="77777777" w:rsidR="00E17126" w:rsidRPr="00882813" w:rsidRDefault="00E17126" w:rsidP="003C4D48">
            <w:pPr>
              <w:rPr>
                <w:rFonts w:ascii="Calibri" w:eastAsia="Calibri" w:hAnsi="Calibri" w:cs="Times New Roman"/>
                <w:i/>
                <w:iCs/>
              </w:rPr>
            </w:pPr>
          </w:p>
        </w:tc>
        <w:tc>
          <w:tcPr>
            <w:tcW w:w="6329" w:type="dxa"/>
            <w:gridSpan w:val="3"/>
            <w:hideMark/>
          </w:tcPr>
          <w:p w14:paraId="47E90010"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[8] Consulting with the DE, inpatient physician/team, or pharmacy. </w:t>
            </w:r>
          </w:p>
        </w:tc>
      </w:tr>
      <w:tr w:rsidR="00E17126" w:rsidRPr="00882813" w14:paraId="04D1820D" w14:textId="77777777" w:rsidTr="003C4D48">
        <w:trPr>
          <w:trHeight w:val="282"/>
        </w:trPr>
        <w:tc>
          <w:tcPr>
            <w:tcW w:w="2466" w:type="dxa"/>
            <w:vMerge/>
            <w:hideMark/>
          </w:tcPr>
          <w:p w14:paraId="2D1A856E" w14:textId="77777777" w:rsidR="00E17126" w:rsidRPr="00882813" w:rsidRDefault="00E17126" w:rsidP="003C4D48">
            <w:pPr>
              <w:rPr>
                <w:rFonts w:ascii="Calibri" w:eastAsia="Calibri" w:hAnsi="Calibri" w:cs="Times New Roman"/>
                <w:i/>
                <w:iCs/>
              </w:rPr>
            </w:pPr>
          </w:p>
        </w:tc>
        <w:tc>
          <w:tcPr>
            <w:tcW w:w="6329" w:type="dxa"/>
            <w:gridSpan w:val="3"/>
            <w:hideMark/>
          </w:tcPr>
          <w:p w14:paraId="6D7D8E8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[9] Alerting the PCP. </w:t>
            </w:r>
          </w:p>
        </w:tc>
      </w:tr>
      <w:tr w:rsidR="00E17126" w:rsidRPr="00882813" w14:paraId="03223771" w14:textId="77777777" w:rsidTr="003C4D48">
        <w:trPr>
          <w:trHeight w:val="289"/>
        </w:trPr>
        <w:tc>
          <w:tcPr>
            <w:tcW w:w="2466" w:type="dxa"/>
            <w:vMerge/>
            <w:hideMark/>
          </w:tcPr>
          <w:p w14:paraId="7476D867" w14:textId="77777777" w:rsidR="00E17126" w:rsidRPr="00882813" w:rsidRDefault="00E17126" w:rsidP="003C4D48">
            <w:pPr>
              <w:rPr>
                <w:rFonts w:ascii="Calibri" w:eastAsia="Calibri" w:hAnsi="Calibri" w:cs="Times New Roman"/>
                <w:i/>
                <w:iCs/>
              </w:rPr>
            </w:pPr>
          </w:p>
        </w:tc>
        <w:tc>
          <w:tcPr>
            <w:tcW w:w="6329" w:type="dxa"/>
            <w:gridSpan w:val="3"/>
            <w:hideMark/>
          </w:tcPr>
          <w:p w14:paraId="0E58E3A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[10] Arranging a same-day sick appointment. </w:t>
            </w:r>
          </w:p>
        </w:tc>
      </w:tr>
      <w:tr w:rsidR="00E17126" w:rsidRPr="00882813" w14:paraId="6EC6815B" w14:textId="77777777" w:rsidTr="003C4D48">
        <w:trPr>
          <w:trHeight w:val="582"/>
        </w:trPr>
        <w:tc>
          <w:tcPr>
            <w:tcW w:w="2466" w:type="dxa"/>
            <w:vMerge/>
            <w:hideMark/>
          </w:tcPr>
          <w:p w14:paraId="52B59F40" w14:textId="77777777" w:rsidR="00E17126" w:rsidRPr="00882813" w:rsidRDefault="00E17126" w:rsidP="003C4D48">
            <w:pPr>
              <w:rPr>
                <w:rFonts w:ascii="Calibri" w:eastAsia="Calibri" w:hAnsi="Calibri" w:cs="Times New Roman"/>
                <w:i/>
                <w:iCs/>
              </w:rPr>
            </w:pPr>
          </w:p>
        </w:tc>
        <w:tc>
          <w:tcPr>
            <w:tcW w:w="6329" w:type="dxa"/>
            <w:gridSpan w:val="3"/>
            <w:hideMark/>
          </w:tcPr>
          <w:p w14:paraId="1CAB32BF"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[11] Determining the family’s perception of the patient’s status</w:t>
            </w:r>
          </w:p>
        </w:tc>
      </w:tr>
      <w:tr w:rsidR="00E17126" w:rsidRPr="00882813" w14:paraId="1DA9DFD4" w14:textId="77777777" w:rsidTr="003C4D48">
        <w:trPr>
          <w:trHeight w:val="1680"/>
        </w:trPr>
        <w:tc>
          <w:tcPr>
            <w:tcW w:w="2466" w:type="dxa"/>
            <w:hideMark/>
          </w:tcPr>
          <w:p w14:paraId="505D7432"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lastRenderedPageBreak/>
              <w:t>F. Check Medicines:</w:t>
            </w:r>
          </w:p>
        </w:tc>
        <w:tc>
          <w:tcPr>
            <w:tcW w:w="6329" w:type="dxa"/>
            <w:gridSpan w:val="3"/>
            <w:hideMark/>
          </w:tcPr>
          <w:p w14:paraId="2C3F90F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Review each medicine: name, dosage, how, when, why.</w:t>
            </w:r>
            <w:r w:rsidRPr="00882813">
              <w:rPr>
                <w:rFonts w:ascii="Calibri" w:eastAsia="Calibri" w:hAnsi="Calibri" w:cs="Times New Roman"/>
              </w:rPr>
              <w:br/>
              <w:t>• Identify barriers to adherence: intentional or system/prescriber error.</w:t>
            </w:r>
            <w:r w:rsidRPr="00882813">
              <w:rPr>
                <w:rFonts w:ascii="Calibri" w:eastAsia="Calibri" w:hAnsi="Calibri" w:cs="Times New Roman"/>
              </w:rPr>
              <w:br/>
              <w:t>• Resolve discrepancies and educate accordingly.</w:t>
            </w:r>
            <w:r w:rsidRPr="00882813">
              <w:rPr>
                <w:rFonts w:ascii="Calibri" w:eastAsia="Calibri" w:hAnsi="Calibri" w:cs="Times New Roman"/>
              </w:rPr>
              <w:br/>
              <w:t>• Conduct teach-back to confirm understanding.</w:t>
            </w:r>
          </w:p>
        </w:tc>
      </w:tr>
      <w:tr w:rsidR="00E17126" w:rsidRPr="00882813" w14:paraId="239881D6" w14:textId="77777777" w:rsidTr="003C4D48">
        <w:trPr>
          <w:trHeight w:val="1470"/>
        </w:trPr>
        <w:tc>
          <w:tcPr>
            <w:tcW w:w="2466" w:type="dxa"/>
            <w:hideMark/>
          </w:tcPr>
          <w:p w14:paraId="18FC780C"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G. Clarify Appointments:</w:t>
            </w:r>
          </w:p>
        </w:tc>
        <w:tc>
          <w:tcPr>
            <w:tcW w:w="6329" w:type="dxa"/>
            <w:gridSpan w:val="3"/>
            <w:hideMark/>
          </w:tcPr>
          <w:p w14:paraId="2896286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Ensure awareness of follow-up appointments.</w:t>
            </w:r>
            <w:r w:rsidRPr="00882813">
              <w:rPr>
                <w:rFonts w:ascii="Calibri" w:eastAsia="Calibri" w:hAnsi="Calibri" w:cs="Times New Roman"/>
              </w:rPr>
              <w:br/>
              <w:t>• Confirm dates, times, locations, and purpose.</w:t>
            </w:r>
            <w:r w:rsidRPr="00882813">
              <w:rPr>
                <w:rFonts w:ascii="Calibri" w:eastAsia="Calibri" w:hAnsi="Calibri" w:cs="Times New Roman"/>
              </w:rPr>
              <w:br/>
              <w:t>• Address barriers to attending appointments.</w:t>
            </w:r>
          </w:p>
        </w:tc>
      </w:tr>
      <w:tr w:rsidR="00E17126" w:rsidRPr="00882813" w14:paraId="550ECAF5" w14:textId="77777777" w:rsidTr="003C4D48">
        <w:trPr>
          <w:trHeight w:val="1272"/>
        </w:trPr>
        <w:tc>
          <w:tcPr>
            <w:tcW w:w="2466" w:type="dxa"/>
            <w:hideMark/>
          </w:tcPr>
          <w:p w14:paraId="2CB9ABBC"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F. Coordinate Home Services:</w:t>
            </w:r>
          </w:p>
        </w:tc>
        <w:tc>
          <w:tcPr>
            <w:tcW w:w="6329" w:type="dxa"/>
            <w:gridSpan w:val="3"/>
            <w:hideMark/>
          </w:tcPr>
          <w:p w14:paraId="69FE1F9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 Confirm receipt of scheduled home services and equipment.</w:t>
            </w:r>
            <w:r w:rsidRPr="00882813">
              <w:rPr>
                <w:rFonts w:ascii="Calibri" w:eastAsia="Calibri" w:hAnsi="Calibri" w:cs="Times New Roman"/>
              </w:rPr>
              <w:br/>
              <w:t>• Intervene if services or equipment are delayed.</w:t>
            </w:r>
            <w:r w:rsidRPr="00882813">
              <w:rPr>
                <w:rFonts w:ascii="Calibri" w:eastAsia="Calibri" w:hAnsi="Calibri" w:cs="Times New Roman"/>
              </w:rPr>
              <w:br/>
              <w:t>• Explore alternatives if caregivers are unavailable.</w:t>
            </w:r>
          </w:p>
        </w:tc>
      </w:tr>
      <w:tr w:rsidR="00E17126" w:rsidRPr="00882813" w14:paraId="7D2373F7" w14:textId="77777777" w:rsidTr="003C4D48">
        <w:trPr>
          <w:trHeight w:val="1620"/>
        </w:trPr>
        <w:tc>
          <w:tcPr>
            <w:tcW w:w="2466" w:type="dxa"/>
            <w:hideMark/>
          </w:tcPr>
          <w:p w14:paraId="338CF072" w14:textId="77777777" w:rsidR="00E17126" w:rsidRPr="00882813" w:rsidRDefault="00E17126" w:rsidP="003C4D48">
            <w:pPr>
              <w:rPr>
                <w:rFonts w:ascii="Calibri" w:eastAsia="Calibri" w:hAnsi="Calibri" w:cs="Times New Roman"/>
                <w:i/>
                <w:iCs/>
              </w:rPr>
            </w:pPr>
            <w:r w:rsidRPr="00882813">
              <w:rPr>
                <w:rFonts w:ascii="Calibri" w:eastAsia="Calibri" w:hAnsi="Calibri" w:cs="Times New Roman"/>
                <w:i/>
                <w:iCs/>
              </w:rPr>
              <w:t>G. Discuss Problem Resolution:</w:t>
            </w:r>
          </w:p>
        </w:tc>
        <w:tc>
          <w:tcPr>
            <w:tcW w:w="6329" w:type="dxa"/>
            <w:gridSpan w:val="3"/>
            <w:hideMark/>
          </w:tcPr>
          <w:p w14:paraId="40F11E4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w:t>
            </w:r>
            <w:r w:rsidRPr="00882813">
              <w:rPr>
                <w:rFonts w:ascii="Calibri" w:eastAsia="Calibri" w:hAnsi="Calibri" w:cs="Times New Roman"/>
              </w:rPr>
              <w:br/>
              <w:t>• Review what to do in case of emergencies or problems.</w:t>
            </w:r>
            <w:r w:rsidRPr="00882813">
              <w:rPr>
                <w:rFonts w:ascii="Calibri" w:eastAsia="Calibri" w:hAnsi="Calibri" w:cs="Times New Roman"/>
              </w:rPr>
              <w:br/>
              <w:t>• Ensure understanding of emergency and nonemergency situations.</w:t>
            </w:r>
            <w:r w:rsidRPr="00882813">
              <w:rPr>
                <w:rFonts w:ascii="Calibri" w:eastAsia="Calibri" w:hAnsi="Calibri" w:cs="Times New Roman"/>
              </w:rPr>
              <w:br/>
              <w:t>• Provide instructions on contacting PCP, including after hours.</w:t>
            </w:r>
          </w:p>
        </w:tc>
      </w:tr>
      <w:tr w:rsidR="00E17126" w:rsidRPr="00882813" w14:paraId="733709F7" w14:textId="77777777" w:rsidTr="003C4D48">
        <w:trPr>
          <w:trHeight w:val="1830"/>
        </w:trPr>
        <w:tc>
          <w:tcPr>
            <w:tcW w:w="2466" w:type="dxa"/>
            <w:vMerge w:val="restart"/>
            <w:hideMark/>
          </w:tcPr>
          <w:p w14:paraId="5424B354"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4. Documenting Your Call</w:t>
            </w:r>
          </w:p>
        </w:tc>
        <w:tc>
          <w:tcPr>
            <w:tcW w:w="6329" w:type="dxa"/>
            <w:gridSpan w:val="3"/>
            <w:hideMark/>
          </w:tcPr>
          <w:p w14:paraId="1F008D3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br/>
              <w:t>You will need to document your calls, both for the patient’s medical record and to allow hospital management to monitor the information for quality improvement purposes. For example, your hospital may identify common errors patients make and use this information to improve teaching to other patients with similar regimens or conditions.</w:t>
            </w:r>
            <w:r w:rsidRPr="00882813">
              <w:rPr>
                <w:rFonts w:ascii="Calibri" w:eastAsia="Calibri" w:hAnsi="Calibri" w:cs="Times New Roman"/>
              </w:rPr>
              <w:br/>
            </w:r>
            <w:r w:rsidRPr="00882813">
              <w:rPr>
                <w:rFonts w:ascii="Calibri" w:eastAsia="Calibri" w:hAnsi="Calibri" w:cs="Times New Roman"/>
              </w:rPr>
              <w:br/>
              <w:t xml:space="preserve">Documentation includes: </w:t>
            </w:r>
          </w:p>
        </w:tc>
      </w:tr>
      <w:tr w:rsidR="00E17126" w:rsidRPr="00882813" w14:paraId="5013E49C" w14:textId="77777777" w:rsidTr="003C4D48">
        <w:trPr>
          <w:trHeight w:val="342"/>
        </w:trPr>
        <w:tc>
          <w:tcPr>
            <w:tcW w:w="2466" w:type="dxa"/>
            <w:vMerge/>
            <w:hideMark/>
          </w:tcPr>
          <w:p w14:paraId="21863A66" w14:textId="77777777" w:rsidR="00E17126" w:rsidRPr="00882813" w:rsidRDefault="00E17126" w:rsidP="003C4D48">
            <w:pPr>
              <w:rPr>
                <w:rFonts w:ascii="Calibri" w:eastAsia="Calibri" w:hAnsi="Calibri" w:cs="Times New Roman"/>
                <w:b/>
                <w:bCs/>
              </w:rPr>
            </w:pPr>
          </w:p>
        </w:tc>
        <w:tc>
          <w:tcPr>
            <w:tcW w:w="6329" w:type="dxa"/>
            <w:gridSpan w:val="3"/>
            <w:hideMark/>
          </w:tcPr>
          <w:p w14:paraId="357B23A9"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Call attempts. </w:t>
            </w:r>
          </w:p>
        </w:tc>
      </w:tr>
      <w:tr w:rsidR="00E17126" w:rsidRPr="00882813" w14:paraId="6ED121C9" w14:textId="77777777" w:rsidTr="003C4D48">
        <w:trPr>
          <w:trHeight w:val="289"/>
        </w:trPr>
        <w:tc>
          <w:tcPr>
            <w:tcW w:w="2466" w:type="dxa"/>
            <w:vMerge/>
            <w:hideMark/>
          </w:tcPr>
          <w:p w14:paraId="263602D3" w14:textId="77777777" w:rsidR="00E17126" w:rsidRPr="00882813" w:rsidRDefault="00E17126" w:rsidP="003C4D48">
            <w:pPr>
              <w:rPr>
                <w:rFonts w:ascii="Calibri" w:eastAsia="Calibri" w:hAnsi="Calibri" w:cs="Times New Roman"/>
                <w:b/>
                <w:bCs/>
              </w:rPr>
            </w:pPr>
          </w:p>
        </w:tc>
        <w:tc>
          <w:tcPr>
            <w:tcW w:w="6329" w:type="dxa"/>
            <w:gridSpan w:val="3"/>
            <w:hideMark/>
          </w:tcPr>
          <w:p w14:paraId="01171D71"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Patient’s health status. </w:t>
            </w:r>
          </w:p>
        </w:tc>
      </w:tr>
      <w:tr w:rsidR="00E17126" w:rsidRPr="00882813" w14:paraId="73837EF5" w14:textId="77777777" w:rsidTr="003C4D48">
        <w:trPr>
          <w:trHeight w:val="342"/>
        </w:trPr>
        <w:tc>
          <w:tcPr>
            <w:tcW w:w="2466" w:type="dxa"/>
            <w:vMerge/>
            <w:hideMark/>
          </w:tcPr>
          <w:p w14:paraId="6809FC87" w14:textId="77777777" w:rsidR="00E17126" w:rsidRPr="00882813" w:rsidRDefault="00E17126" w:rsidP="003C4D48">
            <w:pPr>
              <w:rPr>
                <w:rFonts w:ascii="Calibri" w:eastAsia="Calibri" w:hAnsi="Calibri" w:cs="Times New Roman"/>
                <w:b/>
                <w:bCs/>
              </w:rPr>
            </w:pPr>
          </w:p>
        </w:tc>
        <w:tc>
          <w:tcPr>
            <w:tcW w:w="6329" w:type="dxa"/>
            <w:gridSpan w:val="3"/>
            <w:hideMark/>
          </w:tcPr>
          <w:p w14:paraId="6229AA9F"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Problems with medicines. </w:t>
            </w:r>
          </w:p>
        </w:tc>
      </w:tr>
      <w:tr w:rsidR="00E17126" w:rsidRPr="00882813" w14:paraId="1EFBD30C" w14:textId="77777777" w:rsidTr="003C4D48">
        <w:trPr>
          <w:trHeight w:val="319"/>
        </w:trPr>
        <w:tc>
          <w:tcPr>
            <w:tcW w:w="2466" w:type="dxa"/>
            <w:vMerge/>
            <w:hideMark/>
          </w:tcPr>
          <w:p w14:paraId="16AA7E1C" w14:textId="77777777" w:rsidR="00E17126" w:rsidRPr="00882813" w:rsidRDefault="00E17126" w:rsidP="003C4D48">
            <w:pPr>
              <w:rPr>
                <w:rFonts w:ascii="Calibri" w:eastAsia="Calibri" w:hAnsi="Calibri" w:cs="Times New Roman"/>
                <w:b/>
                <w:bCs/>
              </w:rPr>
            </w:pPr>
          </w:p>
        </w:tc>
        <w:tc>
          <w:tcPr>
            <w:tcW w:w="6329" w:type="dxa"/>
            <w:gridSpan w:val="3"/>
            <w:hideMark/>
          </w:tcPr>
          <w:p w14:paraId="25B4AA73"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Appointment status. </w:t>
            </w:r>
          </w:p>
        </w:tc>
      </w:tr>
      <w:tr w:rsidR="00E17126" w:rsidRPr="00882813" w14:paraId="0796C552" w14:textId="77777777" w:rsidTr="003C4D48">
        <w:trPr>
          <w:trHeight w:val="300"/>
        </w:trPr>
        <w:tc>
          <w:tcPr>
            <w:tcW w:w="2466" w:type="dxa"/>
            <w:vMerge/>
            <w:hideMark/>
          </w:tcPr>
          <w:p w14:paraId="3DDC41F6" w14:textId="77777777" w:rsidR="00E17126" w:rsidRPr="00882813" w:rsidRDefault="00E17126" w:rsidP="003C4D48">
            <w:pPr>
              <w:rPr>
                <w:rFonts w:ascii="Calibri" w:eastAsia="Calibri" w:hAnsi="Calibri" w:cs="Times New Roman"/>
                <w:b/>
                <w:bCs/>
              </w:rPr>
            </w:pPr>
          </w:p>
        </w:tc>
        <w:tc>
          <w:tcPr>
            <w:tcW w:w="6329" w:type="dxa"/>
            <w:gridSpan w:val="3"/>
            <w:hideMark/>
          </w:tcPr>
          <w:p w14:paraId="45DB4299"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xml:space="preserve">• Patient’s post-discharge actions. </w:t>
            </w:r>
          </w:p>
        </w:tc>
      </w:tr>
      <w:tr w:rsidR="00E17126" w:rsidRPr="00882813" w14:paraId="6ABFAD40" w14:textId="77777777" w:rsidTr="003C4D48">
        <w:trPr>
          <w:trHeight w:val="589"/>
        </w:trPr>
        <w:tc>
          <w:tcPr>
            <w:tcW w:w="2466" w:type="dxa"/>
            <w:vMerge/>
            <w:hideMark/>
          </w:tcPr>
          <w:p w14:paraId="3E1C972F" w14:textId="77777777" w:rsidR="00E17126" w:rsidRPr="00882813" w:rsidRDefault="00E17126" w:rsidP="003C4D48">
            <w:pPr>
              <w:rPr>
                <w:rFonts w:ascii="Calibri" w:eastAsia="Calibri" w:hAnsi="Calibri" w:cs="Times New Roman"/>
                <w:b/>
                <w:bCs/>
              </w:rPr>
            </w:pPr>
          </w:p>
        </w:tc>
        <w:tc>
          <w:tcPr>
            <w:tcW w:w="6329" w:type="dxa"/>
            <w:gridSpan w:val="3"/>
            <w:hideMark/>
          </w:tcPr>
          <w:p w14:paraId="69E0A8FC"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 Follow-up actions you take</w:t>
            </w:r>
          </w:p>
        </w:tc>
      </w:tr>
      <w:tr w:rsidR="00E17126" w:rsidRPr="00882813" w14:paraId="7406B3D2" w14:textId="77777777" w:rsidTr="003C4D48">
        <w:trPr>
          <w:trHeight w:val="2509"/>
        </w:trPr>
        <w:tc>
          <w:tcPr>
            <w:tcW w:w="2466" w:type="dxa"/>
            <w:vMerge w:val="restart"/>
            <w:hideMark/>
          </w:tcPr>
          <w:p w14:paraId="56666B0E"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lastRenderedPageBreak/>
              <w:t>5. Communicating With the Primary Care Provider</w:t>
            </w:r>
          </w:p>
        </w:tc>
        <w:tc>
          <w:tcPr>
            <w:tcW w:w="6329" w:type="dxa"/>
            <w:gridSpan w:val="3"/>
            <w:hideMark/>
          </w:tcPr>
          <w:p w14:paraId="3225ED20"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After you have completed a call, you may need to communicate with the patient’s primary care provider. You can do this in a number of ways, such as via email, flag in the electronic medical record (if the PCP is part of your hospital system), or by phone. If you call and cannot speak directly to a medical staff person, you will need to communicate with the resident of the primary care provider. Commonly, secure electronic communication is the most efficient means to transmit patient information. Below are three examples of emails to alert providers.</w:t>
            </w:r>
          </w:p>
        </w:tc>
      </w:tr>
      <w:tr w:rsidR="00E17126" w:rsidRPr="00882813" w14:paraId="1ADC6F22" w14:textId="77777777" w:rsidTr="003C4D48">
        <w:trPr>
          <w:trHeight w:val="300"/>
        </w:trPr>
        <w:tc>
          <w:tcPr>
            <w:tcW w:w="2466" w:type="dxa"/>
            <w:vMerge/>
            <w:hideMark/>
          </w:tcPr>
          <w:p w14:paraId="402D7F44" w14:textId="77777777" w:rsidR="00E17126" w:rsidRPr="00882813" w:rsidRDefault="00E17126" w:rsidP="003C4D48">
            <w:pPr>
              <w:rPr>
                <w:rFonts w:ascii="Calibri" w:eastAsia="Calibri" w:hAnsi="Calibri" w:cs="Times New Roman"/>
                <w:b/>
                <w:bCs/>
              </w:rPr>
            </w:pPr>
          </w:p>
        </w:tc>
        <w:tc>
          <w:tcPr>
            <w:tcW w:w="6329" w:type="dxa"/>
            <w:gridSpan w:val="3"/>
            <w:noWrap/>
            <w:hideMark/>
          </w:tcPr>
          <w:p w14:paraId="2C7836D6"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 Establish Health Status after discharge</w:t>
            </w:r>
          </w:p>
        </w:tc>
      </w:tr>
      <w:tr w:rsidR="00E17126" w:rsidRPr="00882813" w14:paraId="7D8CBBEE" w14:textId="77777777" w:rsidTr="003C4D48">
        <w:trPr>
          <w:trHeight w:val="390"/>
        </w:trPr>
        <w:tc>
          <w:tcPr>
            <w:tcW w:w="2466" w:type="dxa"/>
            <w:vMerge/>
            <w:hideMark/>
          </w:tcPr>
          <w:p w14:paraId="15A03875" w14:textId="77777777" w:rsidR="00E17126" w:rsidRPr="00882813" w:rsidRDefault="00E17126" w:rsidP="003C4D48">
            <w:pPr>
              <w:rPr>
                <w:rFonts w:ascii="Calibri" w:eastAsia="Calibri" w:hAnsi="Calibri" w:cs="Times New Roman"/>
                <w:b/>
                <w:bCs/>
              </w:rPr>
            </w:pPr>
          </w:p>
        </w:tc>
        <w:tc>
          <w:tcPr>
            <w:tcW w:w="6329" w:type="dxa"/>
            <w:gridSpan w:val="3"/>
            <w:hideMark/>
          </w:tcPr>
          <w:p w14:paraId="3EA2907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B. Medicines</w:t>
            </w:r>
            <w:r>
              <w:rPr>
                <w:rFonts w:ascii="Calibri" w:eastAsia="Calibri" w:hAnsi="Calibri" w:cs="Times New Roman"/>
              </w:rPr>
              <w:t>-</w:t>
            </w:r>
            <w:r w:rsidRPr="00882813">
              <w:rPr>
                <w:rFonts w:ascii="Calibri" w:eastAsia="Calibri" w:hAnsi="Calibri" w:cs="Times New Roman"/>
              </w:rPr>
              <w:t xml:space="preserve"> High Alert Medicines, go through the list of medicine questions.</w:t>
            </w:r>
          </w:p>
        </w:tc>
      </w:tr>
      <w:tr w:rsidR="00E17126" w:rsidRPr="00882813" w14:paraId="351FC4FB" w14:textId="77777777" w:rsidTr="003C4D48">
        <w:trPr>
          <w:trHeight w:val="499"/>
        </w:trPr>
        <w:tc>
          <w:tcPr>
            <w:tcW w:w="2466" w:type="dxa"/>
            <w:vMerge/>
            <w:hideMark/>
          </w:tcPr>
          <w:p w14:paraId="1B129B17" w14:textId="77777777" w:rsidR="00E17126" w:rsidRPr="00882813" w:rsidRDefault="00E17126" w:rsidP="003C4D48">
            <w:pPr>
              <w:rPr>
                <w:rFonts w:ascii="Calibri" w:eastAsia="Calibri" w:hAnsi="Calibri" w:cs="Times New Roman"/>
                <w:b/>
                <w:bCs/>
              </w:rPr>
            </w:pPr>
          </w:p>
        </w:tc>
        <w:tc>
          <w:tcPr>
            <w:tcW w:w="453" w:type="dxa"/>
            <w:vMerge w:val="restart"/>
            <w:hideMark/>
          </w:tcPr>
          <w:p w14:paraId="33D47E20"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S no</w:t>
            </w:r>
          </w:p>
        </w:tc>
        <w:tc>
          <w:tcPr>
            <w:tcW w:w="1732" w:type="dxa"/>
            <w:vMerge w:val="restart"/>
            <w:hideMark/>
          </w:tcPr>
          <w:p w14:paraId="79F75103"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Medications</w:t>
            </w:r>
          </w:p>
        </w:tc>
        <w:tc>
          <w:tcPr>
            <w:tcW w:w="4144" w:type="dxa"/>
            <w:vMerge w:val="restart"/>
            <w:hideMark/>
          </w:tcPr>
          <w:p w14:paraId="1FEBD38E" w14:textId="77777777" w:rsidR="00E17126" w:rsidRPr="00882813" w:rsidRDefault="00E17126" w:rsidP="003C4D48">
            <w:pPr>
              <w:rPr>
                <w:rFonts w:ascii="Calibri" w:eastAsia="Calibri" w:hAnsi="Calibri" w:cs="Times New Roman"/>
                <w:b/>
                <w:bCs/>
              </w:rPr>
            </w:pPr>
            <w:r w:rsidRPr="00882813">
              <w:rPr>
                <w:rFonts w:ascii="Calibri" w:eastAsia="Calibri" w:hAnsi="Calibri" w:cs="Times New Roman"/>
                <w:b/>
                <w:bCs/>
              </w:rPr>
              <w:t>What to look for</w:t>
            </w:r>
          </w:p>
        </w:tc>
      </w:tr>
      <w:tr w:rsidR="00E17126" w:rsidRPr="00882813" w14:paraId="47AE8838" w14:textId="77777777" w:rsidTr="003C4D48">
        <w:trPr>
          <w:trHeight w:val="499"/>
        </w:trPr>
        <w:tc>
          <w:tcPr>
            <w:tcW w:w="2466" w:type="dxa"/>
            <w:vMerge/>
            <w:hideMark/>
          </w:tcPr>
          <w:p w14:paraId="1ED49539" w14:textId="77777777" w:rsidR="00E17126" w:rsidRPr="00882813" w:rsidRDefault="00E17126" w:rsidP="003C4D48">
            <w:pPr>
              <w:rPr>
                <w:rFonts w:ascii="Calibri" w:eastAsia="Calibri" w:hAnsi="Calibri" w:cs="Times New Roman"/>
                <w:b/>
                <w:bCs/>
              </w:rPr>
            </w:pPr>
          </w:p>
        </w:tc>
        <w:tc>
          <w:tcPr>
            <w:tcW w:w="453" w:type="dxa"/>
            <w:vMerge/>
            <w:hideMark/>
          </w:tcPr>
          <w:p w14:paraId="5C6D5C7C" w14:textId="77777777" w:rsidR="00E17126" w:rsidRPr="00882813" w:rsidRDefault="00E17126" w:rsidP="003C4D48">
            <w:pPr>
              <w:rPr>
                <w:rFonts w:ascii="Calibri" w:eastAsia="Calibri" w:hAnsi="Calibri" w:cs="Times New Roman"/>
                <w:b/>
                <w:bCs/>
              </w:rPr>
            </w:pPr>
          </w:p>
        </w:tc>
        <w:tc>
          <w:tcPr>
            <w:tcW w:w="1732" w:type="dxa"/>
            <w:vMerge/>
            <w:hideMark/>
          </w:tcPr>
          <w:p w14:paraId="6A81E466" w14:textId="77777777" w:rsidR="00E17126" w:rsidRPr="00882813" w:rsidRDefault="00E17126" w:rsidP="003C4D48">
            <w:pPr>
              <w:rPr>
                <w:rFonts w:ascii="Calibri" w:eastAsia="Calibri" w:hAnsi="Calibri" w:cs="Times New Roman"/>
                <w:b/>
                <w:bCs/>
              </w:rPr>
            </w:pPr>
          </w:p>
        </w:tc>
        <w:tc>
          <w:tcPr>
            <w:tcW w:w="4144" w:type="dxa"/>
            <w:vMerge/>
            <w:hideMark/>
          </w:tcPr>
          <w:p w14:paraId="142417B7" w14:textId="77777777" w:rsidR="00E17126" w:rsidRPr="00882813" w:rsidRDefault="00E17126" w:rsidP="003C4D48">
            <w:pPr>
              <w:rPr>
                <w:rFonts w:ascii="Calibri" w:eastAsia="Calibri" w:hAnsi="Calibri" w:cs="Times New Roman"/>
                <w:b/>
                <w:bCs/>
              </w:rPr>
            </w:pPr>
          </w:p>
        </w:tc>
      </w:tr>
      <w:tr w:rsidR="00E17126" w:rsidRPr="00882813" w14:paraId="3269F843" w14:textId="77777777" w:rsidTr="003C4D48">
        <w:trPr>
          <w:trHeight w:val="372"/>
        </w:trPr>
        <w:tc>
          <w:tcPr>
            <w:tcW w:w="2466" w:type="dxa"/>
            <w:vMerge/>
            <w:hideMark/>
          </w:tcPr>
          <w:p w14:paraId="0DACA3CA" w14:textId="77777777" w:rsidR="00E17126" w:rsidRPr="00882813" w:rsidRDefault="00E17126" w:rsidP="003C4D48">
            <w:pPr>
              <w:rPr>
                <w:rFonts w:ascii="Calibri" w:eastAsia="Calibri" w:hAnsi="Calibri" w:cs="Times New Roman"/>
                <w:b/>
                <w:bCs/>
              </w:rPr>
            </w:pPr>
          </w:p>
        </w:tc>
        <w:tc>
          <w:tcPr>
            <w:tcW w:w="453" w:type="dxa"/>
            <w:hideMark/>
          </w:tcPr>
          <w:p w14:paraId="33142EE3"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1</w:t>
            </w:r>
          </w:p>
        </w:tc>
        <w:tc>
          <w:tcPr>
            <w:tcW w:w="1732" w:type="dxa"/>
            <w:hideMark/>
          </w:tcPr>
          <w:p w14:paraId="28577E4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Anticoagulation</w:t>
            </w:r>
          </w:p>
        </w:tc>
        <w:tc>
          <w:tcPr>
            <w:tcW w:w="4144" w:type="dxa"/>
            <w:hideMark/>
          </w:tcPr>
          <w:p w14:paraId="3F942C08"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Bleeding, ask for INR in case of warfarin</w:t>
            </w:r>
          </w:p>
        </w:tc>
      </w:tr>
      <w:tr w:rsidR="00E17126" w:rsidRPr="00882813" w14:paraId="20E2D27D" w14:textId="77777777" w:rsidTr="003C4D48">
        <w:trPr>
          <w:trHeight w:val="289"/>
        </w:trPr>
        <w:tc>
          <w:tcPr>
            <w:tcW w:w="2466" w:type="dxa"/>
            <w:vMerge/>
            <w:hideMark/>
          </w:tcPr>
          <w:p w14:paraId="2665F583" w14:textId="77777777" w:rsidR="00E17126" w:rsidRPr="00882813" w:rsidRDefault="00E17126" w:rsidP="003C4D48">
            <w:pPr>
              <w:rPr>
                <w:rFonts w:ascii="Calibri" w:eastAsia="Calibri" w:hAnsi="Calibri" w:cs="Times New Roman"/>
                <w:b/>
                <w:bCs/>
              </w:rPr>
            </w:pPr>
          </w:p>
        </w:tc>
        <w:tc>
          <w:tcPr>
            <w:tcW w:w="453" w:type="dxa"/>
            <w:vMerge w:val="restart"/>
            <w:hideMark/>
          </w:tcPr>
          <w:p w14:paraId="30886DE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2</w:t>
            </w:r>
          </w:p>
        </w:tc>
        <w:tc>
          <w:tcPr>
            <w:tcW w:w="1732" w:type="dxa"/>
            <w:vMerge w:val="restart"/>
            <w:hideMark/>
          </w:tcPr>
          <w:p w14:paraId="7CECB2B8"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Antibiotics</w:t>
            </w:r>
          </w:p>
        </w:tc>
        <w:tc>
          <w:tcPr>
            <w:tcW w:w="4144" w:type="dxa"/>
            <w:hideMark/>
          </w:tcPr>
          <w:p w14:paraId="1F913674"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Diarrhea</w:t>
            </w:r>
          </w:p>
        </w:tc>
      </w:tr>
      <w:tr w:rsidR="00E17126" w:rsidRPr="00882813" w14:paraId="031BF3BC" w14:textId="77777777" w:rsidTr="003C4D48">
        <w:trPr>
          <w:trHeight w:val="342"/>
        </w:trPr>
        <w:tc>
          <w:tcPr>
            <w:tcW w:w="2466" w:type="dxa"/>
            <w:vMerge/>
            <w:hideMark/>
          </w:tcPr>
          <w:p w14:paraId="38B1D0CA" w14:textId="77777777" w:rsidR="00E17126" w:rsidRPr="00882813" w:rsidRDefault="00E17126" w:rsidP="003C4D48">
            <w:pPr>
              <w:rPr>
                <w:rFonts w:ascii="Calibri" w:eastAsia="Calibri" w:hAnsi="Calibri" w:cs="Times New Roman"/>
                <w:b/>
                <w:bCs/>
              </w:rPr>
            </w:pPr>
          </w:p>
        </w:tc>
        <w:tc>
          <w:tcPr>
            <w:tcW w:w="453" w:type="dxa"/>
            <w:vMerge/>
            <w:hideMark/>
          </w:tcPr>
          <w:p w14:paraId="18A3A4E2" w14:textId="77777777" w:rsidR="00E17126" w:rsidRPr="00882813" w:rsidRDefault="00E17126" w:rsidP="003C4D48">
            <w:pPr>
              <w:rPr>
                <w:rFonts w:ascii="Calibri" w:eastAsia="Calibri" w:hAnsi="Calibri" w:cs="Times New Roman"/>
              </w:rPr>
            </w:pPr>
          </w:p>
        </w:tc>
        <w:tc>
          <w:tcPr>
            <w:tcW w:w="1732" w:type="dxa"/>
            <w:vMerge/>
            <w:hideMark/>
          </w:tcPr>
          <w:p w14:paraId="58F9413A" w14:textId="77777777" w:rsidR="00E17126" w:rsidRPr="00882813" w:rsidRDefault="00E17126" w:rsidP="003C4D48">
            <w:pPr>
              <w:rPr>
                <w:rFonts w:ascii="Calibri" w:eastAsia="Calibri" w:hAnsi="Calibri" w:cs="Times New Roman"/>
              </w:rPr>
            </w:pPr>
          </w:p>
        </w:tc>
        <w:tc>
          <w:tcPr>
            <w:tcW w:w="4144" w:type="dxa"/>
            <w:hideMark/>
          </w:tcPr>
          <w:p w14:paraId="6D4820B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Ask for urine output and creatinine in case of IV vancomycin</w:t>
            </w:r>
          </w:p>
        </w:tc>
      </w:tr>
      <w:tr w:rsidR="00E17126" w:rsidRPr="00882813" w14:paraId="0443DA59" w14:textId="77777777" w:rsidTr="003C4D48">
        <w:trPr>
          <w:trHeight w:val="300"/>
        </w:trPr>
        <w:tc>
          <w:tcPr>
            <w:tcW w:w="2466" w:type="dxa"/>
            <w:vMerge/>
            <w:hideMark/>
          </w:tcPr>
          <w:p w14:paraId="62623276" w14:textId="77777777" w:rsidR="00E17126" w:rsidRPr="00882813" w:rsidRDefault="00E17126" w:rsidP="003C4D48">
            <w:pPr>
              <w:rPr>
                <w:rFonts w:ascii="Calibri" w:eastAsia="Calibri" w:hAnsi="Calibri" w:cs="Times New Roman"/>
                <w:b/>
                <w:bCs/>
              </w:rPr>
            </w:pPr>
          </w:p>
        </w:tc>
        <w:tc>
          <w:tcPr>
            <w:tcW w:w="453" w:type="dxa"/>
            <w:vMerge/>
            <w:hideMark/>
          </w:tcPr>
          <w:p w14:paraId="6C36B76D" w14:textId="77777777" w:rsidR="00E17126" w:rsidRPr="00882813" w:rsidRDefault="00E17126" w:rsidP="003C4D48">
            <w:pPr>
              <w:rPr>
                <w:rFonts w:ascii="Calibri" w:eastAsia="Calibri" w:hAnsi="Calibri" w:cs="Times New Roman"/>
              </w:rPr>
            </w:pPr>
          </w:p>
        </w:tc>
        <w:tc>
          <w:tcPr>
            <w:tcW w:w="1732" w:type="dxa"/>
            <w:vMerge/>
            <w:hideMark/>
          </w:tcPr>
          <w:p w14:paraId="0A27CA49" w14:textId="77777777" w:rsidR="00E17126" w:rsidRPr="00882813" w:rsidRDefault="00E17126" w:rsidP="003C4D48">
            <w:pPr>
              <w:rPr>
                <w:rFonts w:ascii="Calibri" w:eastAsia="Calibri" w:hAnsi="Calibri" w:cs="Times New Roman"/>
              </w:rPr>
            </w:pPr>
          </w:p>
        </w:tc>
        <w:tc>
          <w:tcPr>
            <w:tcW w:w="4144" w:type="dxa"/>
            <w:hideMark/>
          </w:tcPr>
          <w:p w14:paraId="33880566"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Renal adjustment in case of chronic kidney disease/ESRD</w:t>
            </w:r>
          </w:p>
        </w:tc>
      </w:tr>
      <w:tr w:rsidR="00E17126" w:rsidRPr="00882813" w14:paraId="31CFCCEA" w14:textId="77777777" w:rsidTr="003C4D48">
        <w:trPr>
          <w:trHeight w:val="349"/>
        </w:trPr>
        <w:tc>
          <w:tcPr>
            <w:tcW w:w="2466" w:type="dxa"/>
            <w:vMerge/>
            <w:hideMark/>
          </w:tcPr>
          <w:p w14:paraId="3A1C35F7" w14:textId="77777777" w:rsidR="00E17126" w:rsidRPr="00882813" w:rsidRDefault="00E17126" w:rsidP="003C4D48">
            <w:pPr>
              <w:rPr>
                <w:rFonts w:ascii="Calibri" w:eastAsia="Calibri" w:hAnsi="Calibri" w:cs="Times New Roman"/>
                <w:b/>
                <w:bCs/>
              </w:rPr>
            </w:pPr>
          </w:p>
        </w:tc>
        <w:tc>
          <w:tcPr>
            <w:tcW w:w="453" w:type="dxa"/>
            <w:hideMark/>
          </w:tcPr>
          <w:p w14:paraId="674F0FF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3</w:t>
            </w:r>
          </w:p>
        </w:tc>
        <w:tc>
          <w:tcPr>
            <w:tcW w:w="1732" w:type="dxa"/>
            <w:hideMark/>
          </w:tcPr>
          <w:p w14:paraId="5F2411EE"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Insulin</w:t>
            </w:r>
          </w:p>
        </w:tc>
        <w:tc>
          <w:tcPr>
            <w:tcW w:w="4144" w:type="dxa"/>
            <w:hideMark/>
          </w:tcPr>
          <w:p w14:paraId="05D0AED5"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Ask for sugar monitoring and hypoglycemia (sugar &lt; 70)</w:t>
            </w:r>
          </w:p>
        </w:tc>
      </w:tr>
      <w:tr w:rsidR="00E17126" w:rsidRPr="00882813" w14:paraId="689723AA" w14:textId="77777777" w:rsidTr="003C4D48">
        <w:trPr>
          <w:trHeight w:val="739"/>
        </w:trPr>
        <w:tc>
          <w:tcPr>
            <w:tcW w:w="2466" w:type="dxa"/>
            <w:vMerge/>
            <w:hideMark/>
          </w:tcPr>
          <w:p w14:paraId="0BF4F4F1" w14:textId="77777777" w:rsidR="00E17126" w:rsidRPr="00882813" w:rsidRDefault="00E17126" w:rsidP="003C4D48">
            <w:pPr>
              <w:rPr>
                <w:rFonts w:ascii="Calibri" w:eastAsia="Calibri" w:hAnsi="Calibri" w:cs="Times New Roman"/>
                <w:b/>
                <w:bCs/>
              </w:rPr>
            </w:pPr>
          </w:p>
        </w:tc>
        <w:tc>
          <w:tcPr>
            <w:tcW w:w="453" w:type="dxa"/>
            <w:hideMark/>
          </w:tcPr>
          <w:p w14:paraId="4F65836A"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4</w:t>
            </w:r>
          </w:p>
        </w:tc>
        <w:tc>
          <w:tcPr>
            <w:tcW w:w="1732" w:type="dxa"/>
            <w:hideMark/>
          </w:tcPr>
          <w:p w14:paraId="046F4663"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Antihypertensive</w:t>
            </w:r>
          </w:p>
        </w:tc>
        <w:tc>
          <w:tcPr>
            <w:tcW w:w="4144" w:type="dxa"/>
            <w:hideMark/>
          </w:tcPr>
          <w:p w14:paraId="3BEC0561"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Home blood pressure readings ask for very low blood pressures &lt; 90/60 or high BP &gt; 180/110</w:t>
            </w:r>
          </w:p>
        </w:tc>
      </w:tr>
      <w:tr w:rsidR="00E17126" w:rsidRPr="00882813" w14:paraId="45B57EE1" w14:textId="77777777" w:rsidTr="003C4D48">
        <w:trPr>
          <w:trHeight w:val="739"/>
        </w:trPr>
        <w:tc>
          <w:tcPr>
            <w:tcW w:w="2466" w:type="dxa"/>
            <w:vMerge/>
          </w:tcPr>
          <w:p w14:paraId="09403143" w14:textId="77777777" w:rsidR="00E17126" w:rsidRPr="00882813" w:rsidRDefault="00E17126" w:rsidP="003C4D48">
            <w:pPr>
              <w:rPr>
                <w:rFonts w:ascii="Calibri" w:eastAsia="Calibri" w:hAnsi="Calibri" w:cs="Times New Roman"/>
                <w:b/>
                <w:bCs/>
              </w:rPr>
            </w:pPr>
          </w:p>
        </w:tc>
        <w:tc>
          <w:tcPr>
            <w:tcW w:w="453" w:type="dxa"/>
          </w:tcPr>
          <w:p w14:paraId="7EAE9E85" w14:textId="77777777" w:rsidR="00E17126" w:rsidRPr="00882813" w:rsidRDefault="00E17126" w:rsidP="003C4D48">
            <w:pPr>
              <w:rPr>
                <w:rFonts w:ascii="Calibri" w:eastAsia="Calibri" w:hAnsi="Calibri" w:cs="Times New Roman"/>
              </w:rPr>
            </w:pPr>
            <w:r>
              <w:rPr>
                <w:rFonts w:ascii="Calibri" w:eastAsia="Calibri" w:hAnsi="Calibri" w:cs="Times New Roman"/>
              </w:rPr>
              <w:t>5.</w:t>
            </w:r>
          </w:p>
        </w:tc>
        <w:tc>
          <w:tcPr>
            <w:tcW w:w="1732" w:type="dxa"/>
          </w:tcPr>
          <w:p w14:paraId="0C044397" w14:textId="77777777" w:rsidR="00E17126" w:rsidRPr="00882813" w:rsidRDefault="00E17126" w:rsidP="003C4D48">
            <w:pPr>
              <w:rPr>
                <w:rFonts w:ascii="Calibri" w:eastAsia="Calibri" w:hAnsi="Calibri" w:cs="Times New Roman"/>
              </w:rPr>
            </w:pPr>
            <w:r w:rsidRPr="00895149">
              <w:rPr>
                <w:rFonts w:cstheme="minorHAnsi"/>
                <w:sz w:val="24"/>
                <w:szCs w:val="24"/>
              </w:rPr>
              <w:t>Antiretrovirals</w:t>
            </w:r>
          </w:p>
        </w:tc>
        <w:tc>
          <w:tcPr>
            <w:tcW w:w="4144" w:type="dxa"/>
          </w:tcPr>
          <w:p w14:paraId="1AA1A14B" w14:textId="77777777" w:rsidR="00E17126" w:rsidRPr="00882813" w:rsidRDefault="00E17126" w:rsidP="003C4D48">
            <w:pPr>
              <w:rPr>
                <w:rFonts w:ascii="Calibri" w:eastAsia="Calibri" w:hAnsi="Calibri" w:cs="Times New Roman"/>
              </w:rPr>
            </w:pPr>
            <w:r w:rsidRPr="00895149">
              <w:rPr>
                <w:rFonts w:cstheme="minorHAnsi"/>
                <w:sz w:val="24"/>
                <w:szCs w:val="24"/>
              </w:rPr>
              <w:t>Review profile for drug interactions</w:t>
            </w:r>
          </w:p>
        </w:tc>
      </w:tr>
      <w:tr w:rsidR="00E17126" w:rsidRPr="00882813" w14:paraId="731E3ED9" w14:textId="77777777" w:rsidTr="003C4D48">
        <w:trPr>
          <w:trHeight w:val="739"/>
        </w:trPr>
        <w:tc>
          <w:tcPr>
            <w:tcW w:w="2466" w:type="dxa"/>
            <w:vMerge/>
          </w:tcPr>
          <w:p w14:paraId="5ED16643" w14:textId="77777777" w:rsidR="00E17126" w:rsidRPr="00882813" w:rsidRDefault="00E17126" w:rsidP="003C4D48">
            <w:pPr>
              <w:rPr>
                <w:rFonts w:ascii="Calibri" w:eastAsia="Calibri" w:hAnsi="Calibri" w:cs="Times New Roman"/>
                <w:b/>
                <w:bCs/>
              </w:rPr>
            </w:pPr>
          </w:p>
        </w:tc>
        <w:tc>
          <w:tcPr>
            <w:tcW w:w="453" w:type="dxa"/>
          </w:tcPr>
          <w:p w14:paraId="224D0117" w14:textId="77777777" w:rsidR="00E17126" w:rsidRDefault="00E17126" w:rsidP="003C4D48">
            <w:pPr>
              <w:rPr>
                <w:rFonts w:ascii="Calibri" w:eastAsia="Calibri" w:hAnsi="Calibri" w:cs="Times New Roman"/>
              </w:rPr>
            </w:pPr>
            <w:r>
              <w:rPr>
                <w:rFonts w:ascii="Calibri" w:eastAsia="Calibri" w:hAnsi="Calibri" w:cs="Times New Roman"/>
              </w:rPr>
              <w:t>6.</w:t>
            </w:r>
          </w:p>
        </w:tc>
        <w:tc>
          <w:tcPr>
            <w:tcW w:w="1732" w:type="dxa"/>
          </w:tcPr>
          <w:p w14:paraId="7F2FA6A5" w14:textId="77777777" w:rsidR="00E17126" w:rsidRPr="00895149" w:rsidRDefault="00E17126" w:rsidP="003C4D48">
            <w:pPr>
              <w:rPr>
                <w:rFonts w:cstheme="minorHAnsi"/>
              </w:rPr>
            </w:pPr>
            <w:r w:rsidRPr="00895149">
              <w:rPr>
                <w:rFonts w:cstheme="minorHAnsi"/>
                <w:sz w:val="24"/>
                <w:szCs w:val="24"/>
              </w:rPr>
              <w:t>Medicines related to primary diagnosis</w:t>
            </w:r>
          </w:p>
        </w:tc>
        <w:tc>
          <w:tcPr>
            <w:tcW w:w="4144" w:type="dxa"/>
          </w:tcPr>
          <w:p w14:paraId="6218F93B" w14:textId="77777777" w:rsidR="00E17126" w:rsidRPr="00895149" w:rsidRDefault="00E17126" w:rsidP="003C4D48">
            <w:pPr>
              <w:rPr>
                <w:rFonts w:cstheme="minorHAnsi"/>
              </w:rPr>
            </w:pPr>
            <w:r w:rsidRPr="00895149">
              <w:rPr>
                <w:rFonts w:cstheme="minorHAnsi"/>
                <w:sz w:val="24"/>
                <w:szCs w:val="24"/>
              </w:rPr>
              <w:t>Focus on acquisition and medication adherence</w:t>
            </w:r>
          </w:p>
        </w:tc>
      </w:tr>
      <w:tr w:rsidR="00E17126" w:rsidRPr="00882813" w14:paraId="31292D38" w14:textId="77777777" w:rsidTr="003C4D48">
        <w:trPr>
          <w:trHeight w:val="612"/>
        </w:trPr>
        <w:tc>
          <w:tcPr>
            <w:tcW w:w="2466" w:type="dxa"/>
            <w:vMerge/>
            <w:hideMark/>
          </w:tcPr>
          <w:p w14:paraId="6A5DF2AE" w14:textId="77777777" w:rsidR="00E17126" w:rsidRPr="00882813" w:rsidRDefault="00E17126" w:rsidP="003C4D48">
            <w:pPr>
              <w:rPr>
                <w:rFonts w:ascii="Calibri" w:eastAsia="Calibri" w:hAnsi="Calibri" w:cs="Times New Roman"/>
                <w:b/>
                <w:bCs/>
              </w:rPr>
            </w:pPr>
          </w:p>
        </w:tc>
        <w:tc>
          <w:tcPr>
            <w:tcW w:w="6329" w:type="dxa"/>
            <w:gridSpan w:val="3"/>
            <w:hideMark/>
          </w:tcPr>
          <w:p w14:paraId="3133F420"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C. Clarification of Appointments. Arrange one by taking to clinic coordinator if not scheduled upon discharge</w:t>
            </w:r>
          </w:p>
        </w:tc>
      </w:tr>
      <w:tr w:rsidR="00E17126" w:rsidRPr="00882813" w14:paraId="5313867B" w14:textId="77777777" w:rsidTr="003C4D48">
        <w:trPr>
          <w:trHeight w:val="570"/>
        </w:trPr>
        <w:tc>
          <w:tcPr>
            <w:tcW w:w="2466" w:type="dxa"/>
            <w:vMerge/>
            <w:hideMark/>
          </w:tcPr>
          <w:p w14:paraId="13B87CA9" w14:textId="77777777" w:rsidR="00E17126" w:rsidRPr="00882813" w:rsidRDefault="00E17126" w:rsidP="003C4D48">
            <w:pPr>
              <w:rPr>
                <w:rFonts w:ascii="Calibri" w:eastAsia="Calibri" w:hAnsi="Calibri" w:cs="Times New Roman"/>
                <w:b/>
                <w:bCs/>
              </w:rPr>
            </w:pPr>
          </w:p>
        </w:tc>
        <w:tc>
          <w:tcPr>
            <w:tcW w:w="6329" w:type="dxa"/>
            <w:gridSpan w:val="3"/>
            <w:hideMark/>
          </w:tcPr>
          <w:p w14:paraId="27932587"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D. Coordination of Post discharge Home Services (home health care nursing of physiotherapy)</w:t>
            </w:r>
          </w:p>
        </w:tc>
      </w:tr>
      <w:tr w:rsidR="00E17126" w:rsidRPr="00882813" w14:paraId="41CFEAA3" w14:textId="77777777" w:rsidTr="003C4D48">
        <w:trPr>
          <w:trHeight w:val="469"/>
        </w:trPr>
        <w:tc>
          <w:tcPr>
            <w:tcW w:w="2466" w:type="dxa"/>
            <w:vMerge/>
            <w:hideMark/>
          </w:tcPr>
          <w:p w14:paraId="2F1AFFBD" w14:textId="77777777" w:rsidR="00E17126" w:rsidRPr="00882813" w:rsidRDefault="00E17126" w:rsidP="003C4D48">
            <w:pPr>
              <w:rPr>
                <w:rFonts w:ascii="Calibri" w:eastAsia="Calibri" w:hAnsi="Calibri" w:cs="Times New Roman"/>
                <w:b/>
                <w:bCs/>
              </w:rPr>
            </w:pPr>
          </w:p>
        </w:tc>
        <w:tc>
          <w:tcPr>
            <w:tcW w:w="6329" w:type="dxa"/>
            <w:gridSpan w:val="3"/>
            <w:hideMark/>
          </w:tcPr>
          <w:p w14:paraId="39D1D472" w14:textId="77777777" w:rsidR="00E17126" w:rsidRPr="00882813" w:rsidRDefault="00E17126" w:rsidP="003C4D48">
            <w:pPr>
              <w:rPr>
                <w:rFonts w:ascii="Calibri" w:eastAsia="Calibri" w:hAnsi="Calibri" w:cs="Times New Roman"/>
              </w:rPr>
            </w:pPr>
            <w:r w:rsidRPr="00882813">
              <w:rPr>
                <w:rFonts w:ascii="Calibri" w:eastAsia="Calibri" w:hAnsi="Calibri" w:cs="Times New Roman"/>
              </w:rPr>
              <w:t>E. What to Do If a Problem Arises –suggest coming to ER in case of emergency.</w:t>
            </w:r>
          </w:p>
        </w:tc>
      </w:tr>
    </w:tbl>
    <w:p w14:paraId="60694528" w14:textId="77777777" w:rsidR="00E17126" w:rsidRDefault="00E17126" w:rsidP="00E17126"/>
    <w:p w14:paraId="418EF67C" w14:textId="77777777" w:rsidR="00E17126" w:rsidRDefault="00E17126" w:rsidP="00E17126"/>
    <w:p w14:paraId="2492BC8E" w14:textId="77777777" w:rsidR="00E17126" w:rsidRDefault="00E17126" w:rsidP="00E17126"/>
    <w:p w14:paraId="2C584E55" w14:textId="77777777" w:rsidR="00E17126" w:rsidRDefault="00E17126" w:rsidP="00E17126"/>
    <w:p w14:paraId="52C1D5F0" w14:textId="77777777" w:rsidR="00E17126" w:rsidRDefault="00E17126" w:rsidP="00E17126"/>
    <w:p w14:paraId="713947D4" w14:textId="77777777" w:rsidR="00E17126" w:rsidRDefault="00E17126" w:rsidP="00E17126"/>
    <w:p w14:paraId="3D858295" w14:textId="77777777" w:rsidR="00E17126" w:rsidRDefault="00E17126" w:rsidP="00E17126"/>
    <w:p w14:paraId="45EF5DA1" w14:textId="77777777" w:rsidR="00E17126" w:rsidRDefault="00E17126" w:rsidP="00E17126"/>
    <w:p w14:paraId="0AE7B89E" w14:textId="77777777" w:rsidR="00E17126" w:rsidRDefault="00E17126" w:rsidP="00E17126">
      <w:pPr>
        <w:spacing w:after="200" w:line="276" w:lineRule="auto"/>
        <w:jc w:val="center"/>
        <w:rPr>
          <w:rFonts w:ascii="Calibri" w:eastAsia="Calibri" w:hAnsi="Calibri" w:cs="Calibri"/>
          <w:b/>
          <w:kern w:val="0"/>
          <w14:ligatures w14:val="none"/>
        </w:rPr>
      </w:pPr>
    </w:p>
    <w:p w14:paraId="76A231AE" w14:textId="77777777" w:rsidR="00E17126" w:rsidRDefault="00E17126" w:rsidP="00E17126">
      <w:pPr>
        <w:spacing w:after="200" w:line="276" w:lineRule="auto"/>
        <w:jc w:val="center"/>
        <w:rPr>
          <w:rFonts w:ascii="Calibri" w:eastAsia="Calibri" w:hAnsi="Calibri" w:cs="Calibri"/>
          <w:b/>
          <w:kern w:val="0"/>
          <w14:ligatures w14:val="none"/>
        </w:rPr>
      </w:pPr>
    </w:p>
    <w:p w14:paraId="4758C776" w14:textId="77777777" w:rsidR="00E17126" w:rsidRDefault="00E17126" w:rsidP="00E17126">
      <w:pPr>
        <w:spacing w:after="200" w:line="276" w:lineRule="auto"/>
        <w:jc w:val="center"/>
        <w:rPr>
          <w:rFonts w:ascii="Calibri" w:eastAsia="Calibri" w:hAnsi="Calibri" w:cs="Calibri"/>
          <w:b/>
          <w:kern w:val="0"/>
          <w14:ligatures w14:val="none"/>
        </w:rPr>
      </w:pPr>
    </w:p>
    <w:p w14:paraId="33E8DF65" w14:textId="77777777" w:rsidR="00E17126" w:rsidRDefault="00E17126" w:rsidP="00E17126">
      <w:pPr>
        <w:pStyle w:val="EndNoteBibliography"/>
        <w:spacing w:after="0"/>
      </w:pPr>
    </w:p>
    <w:p w14:paraId="07CF0441" w14:textId="77777777" w:rsidR="00E17126" w:rsidRDefault="00E17126" w:rsidP="00E17126">
      <w:pPr>
        <w:pStyle w:val="EndNoteBibliography"/>
        <w:spacing w:after="0"/>
      </w:pPr>
    </w:p>
    <w:p w14:paraId="2BE2EDEF" w14:textId="77777777" w:rsidR="00E17126" w:rsidRDefault="00E17126" w:rsidP="00E17126">
      <w:pPr>
        <w:pStyle w:val="EndNoteBibliography"/>
        <w:spacing w:after="0"/>
      </w:pPr>
    </w:p>
    <w:p w14:paraId="3BCEA5C4" w14:textId="77777777" w:rsidR="00E17126" w:rsidRDefault="00E17126" w:rsidP="00E17126">
      <w:pPr>
        <w:pStyle w:val="EndNoteBibliography"/>
        <w:spacing w:after="0"/>
      </w:pPr>
    </w:p>
    <w:p w14:paraId="01BA3609" w14:textId="77777777" w:rsidR="00E17126" w:rsidRDefault="00E17126" w:rsidP="00E17126">
      <w:pPr>
        <w:pStyle w:val="EndNoteBibliography"/>
        <w:spacing w:after="0"/>
      </w:pPr>
    </w:p>
    <w:p w14:paraId="5FB7A4F9" w14:textId="77777777" w:rsidR="00E17126" w:rsidRDefault="00E17126" w:rsidP="00E17126">
      <w:pPr>
        <w:pStyle w:val="EndNoteBibliography"/>
        <w:spacing w:after="0"/>
      </w:pPr>
    </w:p>
    <w:p w14:paraId="0860F094" w14:textId="77777777" w:rsidR="001337D0" w:rsidRDefault="001337D0"/>
    <w:sectPr w:rsidR="00133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26"/>
    <w:rsid w:val="001337D0"/>
    <w:rsid w:val="00266253"/>
    <w:rsid w:val="002C1D4C"/>
    <w:rsid w:val="003F08E5"/>
    <w:rsid w:val="008A7AC8"/>
    <w:rsid w:val="00AA5A68"/>
    <w:rsid w:val="00C316C1"/>
    <w:rsid w:val="00E17126"/>
    <w:rsid w:val="00EC5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0C60"/>
  <w15:chartTrackingRefBased/>
  <w15:docId w15:val="{537AFC13-D8DC-4A0B-94B3-14BD8091D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126"/>
  </w:style>
  <w:style w:type="paragraph" w:styleId="Heading1">
    <w:name w:val="heading 1"/>
    <w:basedOn w:val="Normal"/>
    <w:next w:val="Normal"/>
    <w:link w:val="Heading1Char"/>
    <w:uiPriority w:val="9"/>
    <w:qFormat/>
    <w:rsid w:val="00E171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71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71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71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71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71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1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1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1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1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71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71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71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71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7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126"/>
    <w:rPr>
      <w:rFonts w:eastAsiaTheme="majorEastAsia" w:cstheme="majorBidi"/>
      <w:color w:val="272727" w:themeColor="text1" w:themeTint="D8"/>
    </w:rPr>
  </w:style>
  <w:style w:type="paragraph" w:styleId="Title">
    <w:name w:val="Title"/>
    <w:basedOn w:val="Normal"/>
    <w:next w:val="Normal"/>
    <w:link w:val="TitleChar"/>
    <w:uiPriority w:val="10"/>
    <w:qFormat/>
    <w:rsid w:val="00E17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126"/>
    <w:pPr>
      <w:spacing w:before="160"/>
      <w:jc w:val="center"/>
    </w:pPr>
    <w:rPr>
      <w:i/>
      <w:iCs/>
      <w:color w:val="404040" w:themeColor="text1" w:themeTint="BF"/>
    </w:rPr>
  </w:style>
  <w:style w:type="character" w:customStyle="1" w:styleId="QuoteChar">
    <w:name w:val="Quote Char"/>
    <w:basedOn w:val="DefaultParagraphFont"/>
    <w:link w:val="Quote"/>
    <w:uiPriority w:val="29"/>
    <w:rsid w:val="00E17126"/>
    <w:rPr>
      <w:i/>
      <w:iCs/>
      <w:color w:val="404040" w:themeColor="text1" w:themeTint="BF"/>
    </w:rPr>
  </w:style>
  <w:style w:type="paragraph" w:styleId="ListParagraph">
    <w:name w:val="List Paragraph"/>
    <w:basedOn w:val="Normal"/>
    <w:uiPriority w:val="34"/>
    <w:qFormat/>
    <w:rsid w:val="00E17126"/>
    <w:pPr>
      <w:ind w:left="720"/>
      <w:contextualSpacing/>
    </w:pPr>
  </w:style>
  <w:style w:type="character" w:styleId="IntenseEmphasis">
    <w:name w:val="Intense Emphasis"/>
    <w:basedOn w:val="DefaultParagraphFont"/>
    <w:uiPriority w:val="21"/>
    <w:qFormat/>
    <w:rsid w:val="00E17126"/>
    <w:rPr>
      <w:i/>
      <w:iCs/>
      <w:color w:val="2F5496" w:themeColor="accent1" w:themeShade="BF"/>
    </w:rPr>
  </w:style>
  <w:style w:type="paragraph" w:styleId="IntenseQuote">
    <w:name w:val="Intense Quote"/>
    <w:basedOn w:val="Normal"/>
    <w:next w:val="Normal"/>
    <w:link w:val="IntenseQuoteChar"/>
    <w:uiPriority w:val="30"/>
    <w:qFormat/>
    <w:rsid w:val="00E171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7126"/>
    <w:rPr>
      <w:i/>
      <w:iCs/>
      <w:color w:val="2F5496" w:themeColor="accent1" w:themeShade="BF"/>
    </w:rPr>
  </w:style>
  <w:style w:type="character" w:styleId="IntenseReference">
    <w:name w:val="Intense Reference"/>
    <w:basedOn w:val="DefaultParagraphFont"/>
    <w:uiPriority w:val="32"/>
    <w:qFormat/>
    <w:rsid w:val="00E17126"/>
    <w:rPr>
      <w:b/>
      <w:bCs/>
      <w:smallCaps/>
      <w:color w:val="2F5496" w:themeColor="accent1" w:themeShade="BF"/>
      <w:spacing w:val="5"/>
    </w:rPr>
  </w:style>
  <w:style w:type="paragraph" w:customStyle="1" w:styleId="EndNoteBibliography">
    <w:name w:val="EndNote Bibliography"/>
    <w:basedOn w:val="Normal"/>
    <w:link w:val="EndNoteBibliographyChar"/>
    <w:rsid w:val="00E17126"/>
    <w:pPr>
      <w:spacing w:line="240" w:lineRule="auto"/>
      <w:jc w:val="both"/>
    </w:pPr>
    <w:rPr>
      <w:rFonts w:ascii="Calibri" w:hAnsi="Calibri" w:cs="Calibri"/>
      <w:noProof/>
      <w:kern w:val="0"/>
      <w:sz w:val="22"/>
      <w:szCs w:val="22"/>
      <w14:ligatures w14:val="none"/>
    </w:rPr>
  </w:style>
  <w:style w:type="character" w:customStyle="1" w:styleId="EndNoteBibliographyChar">
    <w:name w:val="EndNote Bibliography Char"/>
    <w:basedOn w:val="DefaultParagraphFont"/>
    <w:link w:val="EndNoteBibliography"/>
    <w:rsid w:val="00E17126"/>
    <w:rPr>
      <w:rFonts w:ascii="Calibri" w:hAnsi="Calibri" w:cs="Calibri"/>
      <w:noProof/>
      <w:kern w:val="0"/>
      <w:sz w:val="22"/>
      <w:szCs w:val="22"/>
      <w14:ligatures w14:val="none"/>
    </w:rPr>
  </w:style>
  <w:style w:type="table" w:customStyle="1" w:styleId="TableGrid1">
    <w:name w:val="Table Grid1"/>
    <w:basedOn w:val="TableNormal"/>
    <w:next w:val="TableGrid"/>
    <w:uiPriority w:val="39"/>
    <w:rsid w:val="00E1712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17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1202</Words>
  <Characters>6853</Characters>
  <Application>Microsoft Office Word</Application>
  <DocSecurity>0</DocSecurity>
  <Lines>57</Lines>
  <Paragraphs>16</Paragraphs>
  <ScaleCrop>false</ScaleCrop>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B526</dc:creator>
  <cp:keywords/>
  <dc:description/>
  <cp:lastModifiedBy>B526</cp:lastModifiedBy>
  <cp:revision>2</cp:revision>
  <dcterms:created xsi:type="dcterms:W3CDTF">2026-04-14T17:15:00Z</dcterms:created>
  <dcterms:modified xsi:type="dcterms:W3CDTF">2026-05-09T19:50:00Z</dcterms:modified>
</cp:coreProperties>
</file>