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5E854">
      <w:pPr>
        <w:spacing w:line="360" w:lineRule="auto"/>
        <w:jc w:val="left"/>
        <w:rPr>
          <w:rFonts w:hint="eastAsia" w:ascii="Times New Roman" w:hAnsi="Times New Roman" w:cs="Times New Roman" w:eastAsiaTheme="minorEastAsia"/>
          <w:b/>
          <w:bCs/>
          <w:lang w:eastAsia="zh-CN"/>
        </w:rPr>
      </w:pPr>
      <w:r>
        <w:rPr>
          <w:rFonts w:hint="eastAsia" w:ascii="Times New Roman" w:hAnsi="Times New Roman" w:eastAsia="微软雅黑" w:cs="Times New Roman"/>
          <w:b/>
          <w:bCs/>
          <w:kern w:val="2"/>
          <w:sz w:val="21"/>
          <w:szCs w:val="24"/>
          <w:lang w:val="en-US" w:eastAsia="zh-CN" w:bidi="ar-SA"/>
        </w:rPr>
        <w:t>Appendix 1: Supplementary Materials</w:t>
      </w:r>
    </w:p>
    <w:p w14:paraId="119C995C">
      <w:pPr>
        <w:spacing w:line="360" w:lineRule="auto"/>
        <w:jc w:val="center"/>
        <w:rPr>
          <w:rFonts w:hint="eastAsia" w:ascii="Times New Roman" w:hAnsi="Times New Roman" w:cs="Times New Roman" w:eastAsiaTheme="minorEastAsia"/>
          <w:lang w:eastAsia="zh-CN"/>
        </w:rPr>
      </w:pPr>
      <w:r>
        <w:rPr>
          <w:rFonts w:hint="eastAsia" w:ascii="Times New Roman" w:hAnsi="Times New Roman" w:eastAsia="微软雅黑" w:cs="Times New Roman"/>
          <w:b/>
          <w:bCs/>
          <w:kern w:val="2"/>
          <w:sz w:val="24"/>
          <w:szCs w:val="32"/>
          <w:lang w:val="en-US" w:eastAsia="zh-CN" w:bidi="ar-SA"/>
        </w:rPr>
        <w:t>Detailed search strategy, extracted results, and supplementary analysis documents</w:t>
      </w:r>
    </w:p>
    <w:p w14:paraId="5AE41675">
      <w:pPr>
        <w:spacing w:line="360" w:lineRule="auto"/>
        <w:jc w:val="center"/>
        <w:rPr>
          <w:rFonts w:hint="default" w:ascii="Times New Roman" w:hAnsi="Times New Roman" w:cs="Times New Roman" w:eastAsiaTheme="minorEastAsia"/>
          <w:lang w:val="en-US" w:eastAsia="zh-CN"/>
        </w:rPr>
      </w:pPr>
      <w:r>
        <w:rPr>
          <w:rFonts w:hint="eastAsia" w:ascii="Times New Roman" w:hAnsi="Times New Roman" w:eastAsia="微软雅黑" w:cs="Times New Roman"/>
          <w:kern w:val="2"/>
          <w:sz w:val="21"/>
          <w:szCs w:val="24"/>
          <w:lang w:val="en-US" w:eastAsia="zh-CN" w:bidi="ar-SA"/>
        </w:rPr>
        <w:t>Author: Xiaopei Guo</w:t>
      </w:r>
      <w:bookmarkStart w:id="0" w:name="_GoBack"/>
      <w:bookmarkEnd w:id="0"/>
    </w:p>
    <w:p w14:paraId="09B5DCB7">
      <w:pPr>
        <w:rPr>
          <w:rFonts w:hint="default" w:ascii="Times New Roman" w:hAnsi="Times New Roman" w:cs="Times New Roma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2804"/>
        <w:gridCol w:w="4790"/>
      </w:tblGrid>
      <w:tr w14:paraId="51B7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single" w:color="000000" w:sz="12" w:space="0"/>
              <w:left w:val="nil"/>
              <w:bottom w:val="single" w:color="000000" w:sz="4" w:space="0"/>
              <w:right w:val="nil"/>
              <w:tl2br w:val="nil"/>
            </w:tcBorders>
            <w:shd w:val="clear" w:color="auto" w:fill="auto"/>
          </w:tcPr>
          <w:p w14:paraId="381F449E">
            <w:pPr>
              <w:jc w:val="center"/>
              <w:rPr>
                <w:rFonts w:hint="eastAsia" w:ascii="Times New Roman" w:hAnsi="Times New Roman" w:cs="Times New Roman" w:eastAsiaTheme="minorEastAsia"/>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vertAlign w:val="baseline"/>
                <w:lang w:val="en-US" w:eastAsia="zh-CN" w:bidi="ar-SA"/>
              </w:rPr>
              <w:t>order number</w:t>
            </w:r>
          </w:p>
        </w:tc>
        <w:tc>
          <w:tcPr>
            <w:tcW w:w="2856" w:type="dxa"/>
            <w:tcBorders>
              <w:top w:val="single" w:color="000000" w:sz="12" w:space="0"/>
              <w:left w:val="nil"/>
              <w:bottom w:val="single" w:color="000000" w:sz="4" w:space="0"/>
              <w:right w:val="nil"/>
            </w:tcBorders>
            <w:shd w:val="clear" w:color="auto" w:fill="auto"/>
          </w:tcPr>
          <w:p w14:paraId="3A47C45D">
            <w:pPr>
              <w:jc w:val="center"/>
              <w:rPr>
                <w:rFonts w:hint="default" w:ascii="Times New Roman" w:hAnsi="Times New Roman" w:cs="Times New Roman" w:eastAsiaTheme="minorEastAsia"/>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vertAlign w:val="baseline"/>
                <w:lang w:val="en-US" w:eastAsia="zh-CN" w:bidi="ar-SA"/>
              </w:rPr>
              <w:t>chapters and sections</w:t>
            </w:r>
          </w:p>
        </w:tc>
        <w:tc>
          <w:tcPr>
            <w:tcW w:w="4889" w:type="dxa"/>
            <w:tcBorders>
              <w:top w:val="single" w:color="000000" w:sz="12" w:space="0"/>
              <w:left w:val="nil"/>
              <w:bottom w:val="single" w:color="000000" w:sz="4" w:space="0"/>
              <w:right w:val="nil"/>
            </w:tcBorders>
            <w:shd w:val="clear" w:color="auto" w:fill="auto"/>
          </w:tcPr>
          <w:p w14:paraId="6B1D58B8">
            <w:pPr>
              <w:jc w:val="center"/>
              <w:rPr>
                <w:rFonts w:hint="eastAsia" w:ascii="Times New Roman" w:hAnsi="Times New Roman" w:cs="Times New Roman" w:eastAsiaTheme="minorEastAsia"/>
                <w:b/>
                <w:bCs w:val="0"/>
                <w:color w:val="000000"/>
                <w:vertAlign w:val="baseline"/>
                <w:lang w:eastAsia="zh-CN"/>
              </w:rPr>
            </w:pPr>
            <w:r>
              <w:rPr>
                <w:rFonts w:hint="eastAsia" w:ascii="Times New Roman" w:hAnsi="Times New Roman" w:eastAsia="微软雅黑" w:cs="Times New Roman"/>
                <w:b/>
                <w:bCs w:val="0"/>
                <w:color w:val="000000"/>
                <w:kern w:val="2"/>
                <w:sz w:val="21"/>
                <w:szCs w:val="24"/>
                <w:lang w:val="en-US" w:eastAsia="zh-CN" w:bidi="ar-SA"/>
              </w:rPr>
              <w:t>Content Description</w:t>
            </w:r>
          </w:p>
        </w:tc>
      </w:tr>
      <w:tr w14:paraId="1AB6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single" w:color="000000" w:sz="4" w:space="0"/>
              <w:left w:val="nil"/>
              <w:bottom w:val="nil"/>
              <w:right w:val="nil"/>
            </w:tcBorders>
            <w:shd w:val="clear" w:color="auto" w:fill="auto"/>
          </w:tcPr>
          <w:p w14:paraId="205CFDC6">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w:t>
            </w:r>
          </w:p>
        </w:tc>
        <w:tc>
          <w:tcPr>
            <w:tcW w:w="2856" w:type="dxa"/>
            <w:tcBorders>
              <w:top w:val="single" w:color="000000" w:sz="4" w:space="0"/>
              <w:left w:val="nil"/>
              <w:bottom w:val="nil"/>
              <w:right w:val="nil"/>
            </w:tcBorders>
            <w:shd w:val="clear" w:color="auto" w:fill="auto"/>
          </w:tcPr>
          <w:p w14:paraId="4E8558D3">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Detailed Search Strategy</w:t>
            </w:r>
          </w:p>
        </w:tc>
        <w:tc>
          <w:tcPr>
            <w:tcW w:w="4889" w:type="dxa"/>
            <w:tcBorders>
              <w:top w:val="single" w:color="000000" w:sz="4" w:space="0"/>
              <w:left w:val="nil"/>
              <w:bottom w:val="nil"/>
              <w:right w:val="nil"/>
            </w:tcBorders>
            <w:shd w:val="clear" w:color="auto" w:fill="auto"/>
          </w:tcPr>
          <w:p w14:paraId="5B611465">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Complete Boolean search queries for each database</w:t>
            </w:r>
          </w:p>
        </w:tc>
      </w:tr>
      <w:tr w14:paraId="78D5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nil"/>
              <w:left w:val="nil"/>
              <w:bottom w:val="nil"/>
              <w:right w:val="nil"/>
            </w:tcBorders>
            <w:shd w:val="clear" w:color="auto" w:fill="auto"/>
          </w:tcPr>
          <w:p w14:paraId="77F7679D">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2</w:t>
            </w:r>
          </w:p>
        </w:tc>
        <w:tc>
          <w:tcPr>
            <w:tcW w:w="2856" w:type="dxa"/>
            <w:tcBorders>
              <w:top w:val="nil"/>
              <w:left w:val="nil"/>
              <w:bottom w:val="nil"/>
              <w:right w:val="nil"/>
            </w:tcBorders>
            <w:shd w:val="clear" w:color="auto" w:fill="auto"/>
          </w:tcPr>
          <w:p w14:paraId="52D18970">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Inclusion and Exclusion Criteria</w:t>
            </w:r>
          </w:p>
        </w:tc>
        <w:tc>
          <w:tcPr>
            <w:tcW w:w="4889" w:type="dxa"/>
            <w:tcBorders>
              <w:top w:val="nil"/>
              <w:left w:val="nil"/>
              <w:bottom w:val="nil"/>
              <w:right w:val="nil"/>
            </w:tcBorders>
            <w:shd w:val="clear" w:color="auto" w:fill="auto"/>
          </w:tcPr>
          <w:p w14:paraId="149D4F91">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Detailed screening criteria and operational definitions</w:t>
            </w:r>
          </w:p>
        </w:tc>
      </w:tr>
      <w:tr w14:paraId="75ADA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nil"/>
              <w:left w:val="nil"/>
              <w:bottom w:val="nil"/>
              <w:right w:val="nil"/>
            </w:tcBorders>
            <w:shd w:val="clear" w:color="auto" w:fill="auto"/>
          </w:tcPr>
          <w:p w14:paraId="4C1F101C">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3</w:t>
            </w:r>
          </w:p>
        </w:tc>
        <w:tc>
          <w:tcPr>
            <w:tcW w:w="2856" w:type="dxa"/>
            <w:tcBorders>
              <w:top w:val="nil"/>
              <w:left w:val="nil"/>
              <w:bottom w:val="nil"/>
              <w:right w:val="nil"/>
            </w:tcBorders>
            <w:shd w:val="clear" w:color="auto" w:fill="auto"/>
          </w:tcPr>
          <w:p w14:paraId="0173B728">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Extracted PESTEL factors</w:t>
            </w:r>
          </w:p>
        </w:tc>
        <w:tc>
          <w:tcPr>
            <w:tcW w:w="4889" w:type="dxa"/>
            <w:tcBorders>
              <w:top w:val="nil"/>
              <w:left w:val="nil"/>
              <w:bottom w:val="nil"/>
              <w:right w:val="nil"/>
            </w:tcBorders>
            <w:shd w:val="clear" w:color="auto" w:fill="auto"/>
          </w:tcPr>
          <w:p w14:paraId="073A2EB4">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Comprehensive list of macro-environmental factors categorized by dimension</w:t>
            </w:r>
          </w:p>
        </w:tc>
      </w:tr>
      <w:tr w14:paraId="1CBF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nil"/>
              <w:left w:val="nil"/>
              <w:bottom w:val="nil"/>
              <w:right w:val="nil"/>
            </w:tcBorders>
            <w:shd w:val="clear" w:color="auto" w:fill="auto"/>
          </w:tcPr>
          <w:p w14:paraId="075E968C">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4</w:t>
            </w:r>
          </w:p>
        </w:tc>
        <w:tc>
          <w:tcPr>
            <w:tcW w:w="2856" w:type="dxa"/>
            <w:tcBorders>
              <w:top w:val="nil"/>
              <w:left w:val="nil"/>
              <w:bottom w:val="nil"/>
              <w:right w:val="nil"/>
            </w:tcBorders>
            <w:shd w:val="clear" w:color="auto" w:fill="auto"/>
          </w:tcPr>
          <w:p w14:paraId="08417C06">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Expert Consultation Overview</w:t>
            </w:r>
          </w:p>
        </w:tc>
        <w:tc>
          <w:tcPr>
            <w:tcW w:w="4889" w:type="dxa"/>
            <w:tcBorders>
              <w:top w:val="nil"/>
              <w:left w:val="nil"/>
              <w:bottom w:val="nil"/>
              <w:right w:val="nil"/>
            </w:tcBorders>
            <w:shd w:val="clear" w:color="auto" w:fill="auto"/>
          </w:tcPr>
          <w:p w14:paraId="55415B18">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Summary of demographic and group characteristics of consulting experts</w:t>
            </w:r>
          </w:p>
        </w:tc>
      </w:tr>
      <w:tr w14:paraId="1C938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nil"/>
              <w:left w:val="nil"/>
              <w:bottom w:val="nil"/>
              <w:right w:val="nil"/>
            </w:tcBorders>
            <w:shd w:val="clear" w:color="auto" w:fill="auto"/>
          </w:tcPr>
          <w:p w14:paraId="039D4F59">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5</w:t>
            </w:r>
          </w:p>
        </w:tc>
        <w:tc>
          <w:tcPr>
            <w:tcW w:w="2856" w:type="dxa"/>
            <w:tcBorders>
              <w:top w:val="nil"/>
              <w:left w:val="nil"/>
              <w:bottom w:val="nil"/>
              <w:right w:val="nil"/>
            </w:tcBorders>
            <w:shd w:val="clear" w:color="auto" w:fill="auto"/>
          </w:tcPr>
          <w:p w14:paraId="112C9A8F">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PESTEL Factor Dimensional Mapping Matrix</w:t>
            </w:r>
          </w:p>
        </w:tc>
        <w:tc>
          <w:tcPr>
            <w:tcW w:w="4889" w:type="dxa"/>
            <w:tcBorders>
              <w:top w:val="nil"/>
              <w:left w:val="nil"/>
              <w:bottom w:val="nil"/>
              <w:right w:val="nil"/>
            </w:tcBorders>
            <w:shd w:val="clear" w:color="auto" w:fill="auto"/>
          </w:tcPr>
          <w:p w14:paraId="740C37F5">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Cross-verification records and classification criteria</w:t>
            </w:r>
          </w:p>
        </w:tc>
      </w:tr>
      <w:tr w14:paraId="2F02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77" w:type="dxa"/>
            <w:tcBorders>
              <w:top w:val="nil"/>
              <w:left w:val="nil"/>
              <w:bottom w:val="single" w:color="000000" w:sz="12" w:space="0"/>
              <w:right w:val="nil"/>
            </w:tcBorders>
            <w:shd w:val="clear" w:color="auto" w:fill="auto"/>
          </w:tcPr>
          <w:p w14:paraId="753FE308">
            <w:pPr>
              <w:jc w:val="center"/>
              <w:rPr>
                <w:rFonts w:hint="eastAsia" w:ascii="Times New Roman" w:hAnsi="Times New Roman" w:cs="Times New Roman" w:eastAsiaTheme="minorEastAsia"/>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6</w:t>
            </w:r>
          </w:p>
        </w:tc>
        <w:tc>
          <w:tcPr>
            <w:tcW w:w="2856" w:type="dxa"/>
            <w:tcBorders>
              <w:top w:val="nil"/>
              <w:left w:val="nil"/>
              <w:bottom w:val="single" w:color="000000" w:sz="12" w:space="0"/>
              <w:right w:val="nil"/>
            </w:tcBorders>
            <w:shd w:val="clear" w:color="auto" w:fill="auto"/>
          </w:tcPr>
          <w:p w14:paraId="2AFC02CF">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Risk Transmission Mechanism: Coding Example</w:t>
            </w:r>
          </w:p>
        </w:tc>
        <w:tc>
          <w:tcPr>
            <w:tcW w:w="4889" w:type="dxa"/>
            <w:tcBorders>
              <w:top w:val="nil"/>
              <w:left w:val="nil"/>
              <w:bottom w:val="single" w:color="000000" w:sz="12" w:space="0"/>
              <w:right w:val="nil"/>
            </w:tcBorders>
            <w:shd w:val="clear" w:color="auto" w:fill="auto"/>
          </w:tcPr>
          <w:p w14:paraId="68355BE1">
            <w:pPr>
              <w:rPr>
                <w:rFonts w:hint="eastAsia" w:ascii="Times New Roman" w:hAnsi="Times New Roman" w:cs="Times New Roman" w:eastAsiaTheme="minorEastAsia"/>
                <w:b w:val="0"/>
                <w:color w:val="000000"/>
                <w:vertAlign w:val="baseline"/>
                <w:lang w:eastAsia="zh-CN"/>
              </w:rPr>
            </w:pPr>
            <w:r>
              <w:rPr>
                <w:rFonts w:hint="eastAsia" w:ascii="Times New Roman" w:hAnsi="Times New Roman" w:eastAsia="微软雅黑" w:cs="Times New Roman"/>
                <w:b w:val="0"/>
                <w:color w:val="000000"/>
                <w:kern w:val="2"/>
                <w:sz w:val="21"/>
                <w:szCs w:val="24"/>
                <w:lang w:val="en-US" w:eastAsia="zh-CN" w:bidi="ar-SA"/>
              </w:rPr>
              <w:t>Excerpts of representative statements from expert consultations</w:t>
            </w:r>
          </w:p>
        </w:tc>
      </w:tr>
    </w:tbl>
    <w:p w14:paraId="4B61D8A1">
      <w:pPr>
        <w:rPr>
          <w:rFonts w:hint="default" w:ascii="Times New Roman" w:hAnsi="Times New Roman" w:cs="Times New Roman"/>
        </w:rPr>
      </w:pPr>
    </w:p>
    <w:p w14:paraId="531B9B10">
      <w:pPr>
        <w:rPr>
          <w:rFonts w:hint="eastAsia" w:ascii="Times New Roman" w:hAnsi="Times New Roman" w:cs="Times New Roman" w:eastAsiaTheme="minorEastAsia"/>
          <w:b/>
          <w:bCs/>
          <w:sz w:val="22"/>
          <w:szCs w:val="28"/>
          <w:lang w:eastAsia="zh-CN"/>
        </w:rPr>
      </w:pPr>
      <w:r>
        <w:rPr>
          <w:rFonts w:hint="eastAsia" w:ascii="Times New Roman" w:hAnsi="Times New Roman" w:eastAsia="微软雅黑" w:cs="Times New Roman"/>
          <w:b/>
          <w:bCs/>
          <w:kern w:val="2"/>
          <w:sz w:val="22"/>
          <w:szCs w:val="28"/>
          <w:lang w:val="en-US" w:eastAsia="zh-CN" w:bidi="ar-SA"/>
        </w:rPr>
        <w:t>1. Detailed Search Strategy</w:t>
      </w:r>
    </w:p>
    <w:p w14:paraId="04ADFC09">
      <w:pPr>
        <w:rPr>
          <w:rFonts w:hint="eastAsia" w:ascii="Times New Roman" w:hAnsi="Times New Roman" w:cs="Times New Roman" w:eastAsiaTheme="minorEastAsia"/>
          <w:lang w:eastAsia="zh-CN"/>
        </w:rPr>
      </w:pPr>
      <w:r>
        <w:rPr>
          <w:rFonts w:hint="eastAsia" w:ascii="Times New Roman" w:hAnsi="Times New Roman" w:eastAsia="微软雅黑" w:cs="Times New Roman"/>
          <w:kern w:val="2"/>
          <w:sz w:val="21"/>
          <w:szCs w:val="24"/>
          <w:lang w:val="en-US" w:eastAsia="zh-CN" w:bidi="ar-SA"/>
        </w:rPr>
        <w:t>1.1 CNKI (China National Knowledge Infrastructure)</w:t>
      </w:r>
    </w:p>
    <w:p w14:paraId="5228ED9A">
      <w:pPr>
        <w:rPr>
          <w:rFonts w:hint="eastAsia" w:ascii="Times New Roman" w:hAnsi="Times New Roman" w:cs="Times New Roman" w:eastAsiaTheme="minorEastAsia"/>
          <w:lang w:eastAsia="zh-CN"/>
        </w:rPr>
      </w:pPr>
      <w:r>
        <w:rPr>
          <w:rFonts w:hint="eastAsia" w:ascii="Times New Roman" w:hAnsi="Times New Roman" w:eastAsia="微软雅黑" w:cs="Times New Roman"/>
          <w:kern w:val="2"/>
          <w:sz w:val="21"/>
          <w:szCs w:val="24"/>
          <w:lang w:val="en-US" w:eastAsia="zh-CN" w:bidi="ar-SA"/>
        </w:rPr>
        <w:t>Search date: [January 3, 2026]</w:t>
      </w:r>
    </w:p>
    <w:p w14:paraId="2D7E0F5E">
      <w:pPr>
        <w:rPr>
          <w:rFonts w:hint="default" w:ascii="Times New Roman" w:hAnsi="Times New Roman" w:cs="Times New Roman"/>
        </w:rPr>
      </w:pPr>
    </w:p>
    <w:p w14:paraId="68C62208">
      <w:pPr>
        <w:ind w:left="1050" w:hanging="1050" w:hangingChars="500"/>
        <w:rPr>
          <w:rFonts w:hint="eastAsia" w:ascii="Times New Roman" w:hAnsi="Times New Roman" w:eastAsia="微软雅黑" w:cs="Times New Roman"/>
          <w:kern w:val="2"/>
          <w:sz w:val="21"/>
          <w:szCs w:val="24"/>
          <w:lang w:val="en-US" w:eastAsia="zh-CN" w:bidi="ar-SA"/>
        </w:rPr>
      </w:pPr>
      <w:r>
        <w:rPr>
          <w:rFonts w:hint="eastAsia" w:ascii="Times New Roman" w:hAnsi="Times New Roman" w:eastAsia="微软雅黑" w:cs="Times New Roman"/>
          <w:kern w:val="2"/>
          <w:sz w:val="21"/>
          <w:szCs w:val="24"/>
          <w:lang w:val="en-US" w:eastAsia="zh-CN" w:bidi="ar-SA"/>
        </w:rPr>
        <w:t>Search query: (SU%='corruption' OR SU%='integrity risk' OR SU%=' commercial bribery ' OR SU%=' kickbacks') AND (SU%='Medical Consumables' OR SU%='Medical Supplies' OR SU%='Medical Procurement' OR SU%='Medical Device') AND (SU%='Governance' OR SU%='Supervision' OR SU%=Anti-corruption'' OR SU%='Integrity Culture' OR SU%='Internal Control')</w:t>
      </w:r>
    </w:p>
    <w:p w14:paraId="1CBD9637">
      <w:pPr>
        <w:ind w:left="1050" w:hanging="1050" w:hangingChars="500"/>
        <w:rPr>
          <w:rFonts w:hint="eastAsia" w:ascii="Times New Roman" w:hAnsi="Times New Roman" w:eastAsia="微软雅黑" w:cs="Times New Roman"/>
          <w:kern w:val="2"/>
          <w:sz w:val="21"/>
          <w:szCs w:val="24"/>
          <w:lang w:val="en-US" w:eastAsia="zh-CN" w:bidi="ar-SA"/>
        </w:rPr>
      </w:pPr>
    </w:p>
    <w:p w14:paraId="62BDF3AF">
      <w:pPr>
        <w:rPr>
          <w:rFonts w:hint="eastAsia" w:ascii="Times New Roman" w:hAnsi="Times New Roman" w:cs="Times New Roman" w:eastAsiaTheme="minorEastAsia"/>
          <w:lang w:eastAsia="zh-CN"/>
        </w:rPr>
      </w:pPr>
      <w:r>
        <w:rPr>
          <w:rFonts w:hint="eastAsia" w:ascii="Times New Roman" w:hAnsi="Times New Roman" w:eastAsia="微软雅黑" w:cs="Times New Roman"/>
          <w:kern w:val="2"/>
          <w:sz w:val="21"/>
          <w:szCs w:val="24"/>
          <w:lang w:val="en-US" w:eastAsia="zh-CN" w:bidi="ar-SA"/>
        </w:rPr>
        <w:t>Time period: January 1980 – December 2025</w:t>
      </w:r>
    </w:p>
    <w:p w14:paraId="77237CA5">
      <w:pPr>
        <w:rPr>
          <w:rFonts w:hint="eastAsia" w:ascii="Times New Roman" w:hAnsi="Times New Roman" w:cs="Times New Roman" w:eastAsiaTheme="minorEastAsia"/>
          <w:lang w:eastAsia="zh-CN"/>
        </w:rPr>
      </w:pPr>
      <w:r>
        <w:rPr>
          <w:rFonts w:hint="eastAsia" w:ascii="Times New Roman" w:hAnsi="Times New Roman" w:eastAsia="微软雅黑" w:cs="Times New Roman"/>
          <w:kern w:val="2"/>
          <w:sz w:val="21"/>
          <w:szCs w:val="24"/>
          <w:lang w:val="en-US" w:eastAsia="zh-CN" w:bidi="ar-SA"/>
        </w:rPr>
        <w:t>Language: Chinese</w:t>
      </w:r>
    </w:p>
    <w:p w14:paraId="17781A68">
      <w:pPr>
        <w:rPr>
          <w:rFonts w:hint="default" w:ascii="Times New Roman" w:hAnsi="Times New Roman" w:cs="Times New Roman"/>
        </w:rPr>
      </w:pPr>
      <w:r>
        <w:rPr>
          <w:rFonts w:hint="eastAsia" w:ascii="Times New Roman" w:hAnsi="Times New Roman" w:eastAsia="微软雅黑" w:cs="Times New Roman"/>
          <w:kern w:val="2"/>
          <w:sz w:val="21"/>
          <w:szCs w:val="24"/>
          <w:lang w:val="en-US" w:eastAsia="zh-CN" w:bidi="ar-SA"/>
        </w:rPr>
        <w:t>Document Type: Academic Journal, Thesis</w:t>
      </w:r>
    </w:p>
    <w:p w14:paraId="38A67110">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Number of search results: 113</w:t>
      </w:r>
    </w:p>
    <w:p w14:paraId="5C5DA8A9">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Number of included literature articles: 89</w:t>
      </w:r>
    </w:p>
    <w:p w14:paraId="2842BBA2">
      <w:pPr>
        <w:rPr>
          <w:rFonts w:hint="default" w:ascii="Times New Roman" w:hAnsi="Times New Roman" w:cs="Times New Roman"/>
          <w:lang w:val="en-US" w:eastAsia="zh-CN"/>
        </w:rPr>
      </w:pPr>
    </w:p>
    <w:p w14:paraId="5BFBDFE1">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1.2 PubMed</w:t>
      </w:r>
    </w:p>
    <w:p w14:paraId="6659F4E2">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Search date: January 6, 2026</w:t>
      </w:r>
    </w:p>
    <w:p w14:paraId="65F3836B">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Search string:</w:t>
      </w:r>
    </w:p>
    <w:p w14:paraId="7F7A1909">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text("medical corruption"[Title/Abstract] OR "healthcare corruption"[Title/Abstract] OR "integrity risk"[Title/Abstract]OR"bribery"[Title/Abstract]OR"kickback"[Title/Abstract]OR )AND("medical consumables"[Title/Abstract]OR"medical supplies"[Title/Abstract]OR"medical devices"[Title/Abstract]OR"hospital procurement"[Title/Abstract]OR "supply chain"[Title/Abstract])AND("governance"[Title/Abstract] OR "regulation"[Title/Abstract] OR  "anti-corruption"[Title/Abstract]OR"accountability"[Title/Abstract] OR "China"[Title/Abstract])</w:t>
      </w:r>
    </w:p>
    <w:p w14:paraId="435EDA14">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Time span: January 1980 – December 2025</w:t>
      </w:r>
    </w:p>
    <w:p w14:paraId="1DD40C20">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Language: English</w:t>
      </w:r>
    </w:p>
    <w:p w14:paraId="6D237CC5">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Document types: Journal articles, reviews, systematic reviews</w:t>
      </w:r>
    </w:p>
    <w:p w14:paraId="0F2BBCCF">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Results retrieved: 7</w:t>
      </w:r>
    </w:p>
    <w:p w14:paraId="73B15582">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Results included: 4</w:t>
      </w:r>
    </w:p>
    <w:p w14:paraId="4E80B62D">
      <w:pPr>
        <w:rPr>
          <w:rFonts w:hint="default" w:ascii="Times New Roman" w:hAnsi="Times New Roman" w:cs="Times New Roman"/>
          <w:lang w:val="en-US" w:eastAsia="zh-CN"/>
        </w:rPr>
      </w:pPr>
    </w:p>
    <w:p w14:paraId="526D90AD">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1.3 Web of Science</w:t>
      </w:r>
    </w:p>
    <w:p w14:paraId="0E6CF610">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Search date: January 6, 2026</w:t>
      </w:r>
    </w:p>
    <w:p w14:paraId="0153CB90">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Search string:</w:t>
      </w:r>
    </w:p>
    <w:p w14:paraId="362F0AAC">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text</w:t>
      </w:r>
    </w:p>
    <w:p w14:paraId="75F2D35F">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TS=(("medical corruption" OR "healthcare corruption" OR "integrity risk" OR "bribery" OR "kickback")  AND  ("medical consumables" OR "medical supplies" OR "hospital procurement" OR "medical devices") AND ("governance" OR "regulation" OR "anti-corruption" OR "accountability" OR "China"))</w:t>
      </w:r>
    </w:p>
    <w:p w14:paraId="5B958FC7">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Time span: January 1980 – December 2025</w:t>
      </w:r>
    </w:p>
    <w:p w14:paraId="144430BF">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Language: English</w:t>
      </w:r>
    </w:p>
    <w:p w14:paraId="5EE3CEA9">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Document types: Articles, reviews, proceedings papers</w:t>
      </w:r>
    </w:p>
    <w:p w14:paraId="7763B80E">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Results retrieved: 2</w:t>
      </w:r>
    </w:p>
    <w:p w14:paraId="47CF4622">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Results included: 2</w:t>
      </w:r>
    </w:p>
    <w:p w14:paraId="6B0B7CA2">
      <w:pPr>
        <w:rPr>
          <w:rFonts w:hint="default" w:ascii="Times New Roman" w:hAnsi="Times New Roman" w:cs="Times New Roman"/>
          <w:lang w:val="en-US" w:eastAsia="zh-CN"/>
        </w:rPr>
      </w:pPr>
    </w:p>
    <w:p w14:paraId="4878D06A">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 xml:space="preserve">1.4 Sources of Policy Documents                    </w:t>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 xml:space="preserve">         </w:t>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tbl>
      <w:tblPr>
        <w:tblStyle w:val="8"/>
        <w:tblpPr w:leftFromText="180" w:rightFromText="180" w:vertAnchor="text" w:horzAnchor="page" w:tblpX="1001" w:tblpY="96"/>
        <w:tblOverlap w:val="never"/>
        <w:tblW w:w="94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144"/>
        <w:gridCol w:w="2367"/>
        <w:gridCol w:w="2266"/>
        <w:gridCol w:w="1278"/>
        <w:gridCol w:w="1394"/>
      </w:tblGrid>
      <w:tr w14:paraId="7E7B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44" w:type="dxa"/>
            <w:tcBorders>
              <w:top w:val="single" w:color="000000" w:sz="12" w:space="0"/>
              <w:left w:val="nil"/>
              <w:bottom w:val="single" w:color="000000" w:sz="4" w:space="0"/>
              <w:right w:val="nil"/>
              <w:tl2br w:val="nil"/>
            </w:tcBorders>
            <w:shd w:val="clear" w:color="auto" w:fill="auto"/>
            <w:vAlign w:val="center"/>
          </w:tcPr>
          <w:p w14:paraId="6B8CDCF9">
            <w:pPr>
              <w:jc w:val="cente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source</w:t>
            </w:r>
          </w:p>
        </w:tc>
        <w:tc>
          <w:tcPr>
            <w:tcW w:w="2367" w:type="dxa"/>
            <w:tcBorders>
              <w:top w:val="single" w:color="000000" w:sz="12" w:space="0"/>
              <w:left w:val="nil"/>
              <w:bottom w:val="single" w:color="000000" w:sz="4" w:space="0"/>
              <w:right w:val="nil"/>
            </w:tcBorders>
            <w:shd w:val="clear" w:color="auto" w:fill="auto"/>
            <w:vAlign w:val="center"/>
          </w:tcPr>
          <w:p w14:paraId="318D064F">
            <w:pPr>
              <w:jc w:val="cente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URL</w:t>
            </w:r>
          </w:p>
        </w:tc>
        <w:tc>
          <w:tcPr>
            <w:tcW w:w="2266" w:type="dxa"/>
            <w:tcBorders>
              <w:top w:val="single" w:color="000000" w:sz="12" w:space="0"/>
              <w:left w:val="nil"/>
              <w:bottom w:val="single" w:color="000000" w:sz="4" w:space="0"/>
              <w:right w:val="nil"/>
            </w:tcBorders>
            <w:shd w:val="clear" w:color="auto" w:fill="auto"/>
            <w:vAlign w:val="center"/>
          </w:tcPr>
          <w:p w14:paraId="119B0A29">
            <w:pPr>
              <w:jc w:val="cente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retrieval mode</w:t>
            </w:r>
          </w:p>
        </w:tc>
        <w:tc>
          <w:tcPr>
            <w:tcW w:w="1278" w:type="dxa"/>
            <w:tcBorders>
              <w:top w:val="single" w:color="000000" w:sz="12" w:space="0"/>
              <w:left w:val="nil"/>
              <w:bottom w:val="single" w:color="000000" w:sz="4" w:space="0"/>
              <w:right w:val="nil"/>
            </w:tcBorders>
            <w:shd w:val="clear" w:color="auto" w:fill="auto"/>
            <w:vAlign w:val="center"/>
          </w:tcPr>
          <w:p w14:paraId="1F83E5FA">
            <w:pPr>
              <w:jc w:val="cente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Number of files obtained</w:t>
            </w:r>
          </w:p>
        </w:tc>
        <w:tc>
          <w:tcPr>
            <w:tcW w:w="1394" w:type="dxa"/>
            <w:tcBorders>
              <w:top w:val="single" w:color="000000" w:sz="12" w:space="0"/>
              <w:left w:val="nil"/>
              <w:bottom w:val="single" w:color="000000" w:sz="4" w:space="0"/>
              <w:right w:val="nil"/>
            </w:tcBorders>
            <w:shd w:val="clear" w:color="auto" w:fill="auto"/>
            <w:vAlign w:val="center"/>
          </w:tcPr>
          <w:p w14:paraId="619881C3">
            <w:pPr>
              <w:jc w:val="cente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Number of included documents</w:t>
            </w:r>
          </w:p>
        </w:tc>
      </w:tr>
      <w:tr w14:paraId="511D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44" w:type="dxa"/>
            <w:tcBorders>
              <w:top w:val="single" w:color="000000" w:sz="4" w:space="0"/>
              <w:left w:val="nil"/>
              <w:bottom w:val="nil"/>
              <w:right w:val="nil"/>
            </w:tcBorders>
            <w:shd w:val="clear" w:color="auto" w:fill="auto"/>
            <w:vAlign w:val="center"/>
          </w:tcPr>
          <w:p w14:paraId="16593539">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National Health Commission</w:t>
            </w:r>
          </w:p>
        </w:tc>
        <w:tc>
          <w:tcPr>
            <w:tcW w:w="2367" w:type="dxa"/>
            <w:tcBorders>
              <w:top w:val="single" w:color="000000" w:sz="4" w:space="0"/>
              <w:left w:val="nil"/>
              <w:bottom w:val="nil"/>
              <w:right w:val="nil"/>
            </w:tcBorders>
            <w:shd w:val="clear" w:color="auto" w:fill="auto"/>
            <w:vAlign w:val="center"/>
          </w:tcPr>
          <w:p w14:paraId="2C770788">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http://www.nhc.gov.cn</w:t>
            </w:r>
          </w:p>
        </w:tc>
        <w:tc>
          <w:tcPr>
            <w:tcW w:w="2266" w:type="dxa"/>
            <w:tcBorders>
              <w:top w:val="single" w:color="000000" w:sz="4" w:space="0"/>
              <w:left w:val="nil"/>
              <w:bottom w:val="nil"/>
              <w:right w:val="nil"/>
            </w:tcBorders>
            <w:shd w:val="clear" w:color="auto" w:fill="auto"/>
            <w:vAlign w:val="center"/>
          </w:tcPr>
          <w:p w14:paraId="0E582E2F">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Keyword Search + Manual Review</w:t>
            </w:r>
          </w:p>
        </w:tc>
        <w:tc>
          <w:tcPr>
            <w:tcW w:w="1278" w:type="dxa"/>
            <w:tcBorders>
              <w:top w:val="single" w:color="000000" w:sz="4" w:space="0"/>
              <w:left w:val="nil"/>
              <w:bottom w:val="nil"/>
              <w:right w:val="nil"/>
            </w:tcBorders>
            <w:shd w:val="clear" w:color="auto" w:fill="auto"/>
            <w:vAlign w:val="center"/>
          </w:tcPr>
          <w:p w14:paraId="52599182">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131</w:t>
            </w:r>
          </w:p>
        </w:tc>
        <w:tc>
          <w:tcPr>
            <w:tcW w:w="1394" w:type="dxa"/>
            <w:tcBorders>
              <w:top w:val="single" w:color="000000" w:sz="4" w:space="0"/>
              <w:left w:val="nil"/>
              <w:bottom w:val="nil"/>
              <w:right w:val="nil"/>
            </w:tcBorders>
            <w:shd w:val="clear" w:color="auto" w:fill="auto"/>
            <w:vAlign w:val="center"/>
          </w:tcPr>
          <w:p w14:paraId="2C6BE629">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42</w:t>
            </w:r>
          </w:p>
        </w:tc>
      </w:tr>
      <w:tr w14:paraId="500F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44" w:type="dxa"/>
            <w:tcBorders>
              <w:top w:val="nil"/>
              <w:left w:val="nil"/>
              <w:bottom w:val="nil"/>
              <w:right w:val="nil"/>
            </w:tcBorders>
            <w:shd w:val="clear" w:color="auto" w:fill="auto"/>
            <w:vAlign w:val="center"/>
          </w:tcPr>
          <w:p w14:paraId="669EA060">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National Healthcare Security Administration</w:t>
            </w:r>
          </w:p>
        </w:tc>
        <w:tc>
          <w:tcPr>
            <w:tcW w:w="2367" w:type="dxa"/>
            <w:tcBorders>
              <w:top w:val="nil"/>
              <w:left w:val="nil"/>
              <w:bottom w:val="nil"/>
              <w:right w:val="nil"/>
            </w:tcBorders>
            <w:shd w:val="clear" w:color="auto" w:fill="auto"/>
            <w:vAlign w:val="center"/>
          </w:tcPr>
          <w:p w14:paraId="03F02414">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http://www.nhsa.gov.cn</w:t>
            </w:r>
          </w:p>
        </w:tc>
        <w:tc>
          <w:tcPr>
            <w:tcW w:w="2266" w:type="dxa"/>
            <w:tcBorders>
              <w:top w:val="nil"/>
              <w:left w:val="nil"/>
              <w:bottom w:val="nil"/>
              <w:right w:val="nil"/>
            </w:tcBorders>
            <w:shd w:val="clear" w:color="auto" w:fill="auto"/>
            <w:vAlign w:val="center"/>
          </w:tcPr>
          <w:p w14:paraId="6DC29A3B">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Keyword Search + Manual Review</w:t>
            </w:r>
          </w:p>
        </w:tc>
        <w:tc>
          <w:tcPr>
            <w:tcW w:w="1278" w:type="dxa"/>
            <w:tcBorders>
              <w:top w:val="nil"/>
              <w:left w:val="nil"/>
              <w:bottom w:val="nil"/>
              <w:right w:val="nil"/>
            </w:tcBorders>
            <w:shd w:val="clear" w:color="auto" w:fill="auto"/>
            <w:vAlign w:val="center"/>
          </w:tcPr>
          <w:p w14:paraId="55AE90E8">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175</w:t>
            </w:r>
          </w:p>
        </w:tc>
        <w:tc>
          <w:tcPr>
            <w:tcW w:w="1394" w:type="dxa"/>
            <w:tcBorders>
              <w:top w:val="nil"/>
              <w:left w:val="nil"/>
              <w:bottom w:val="nil"/>
              <w:right w:val="nil"/>
            </w:tcBorders>
            <w:shd w:val="clear" w:color="auto" w:fill="auto"/>
            <w:vAlign w:val="center"/>
          </w:tcPr>
          <w:p w14:paraId="31DE5508">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17</w:t>
            </w:r>
          </w:p>
        </w:tc>
      </w:tr>
      <w:tr w14:paraId="452E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44" w:type="dxa"/>
            <w:tcBorders>
              <w:top w:val="nil"/>
              <w:left w:val="nil"/>
              <w:bottom w:val="nil"/>
              <w:right w:val="nil"/>
            </w:tcBorders>
            <w:shd w:val="clear" w:color="auto" w:fill="auto"/>
            <w:vAlign w:val="center"/>
          </w:tcPr>
          <w:p w14:paraId="3152EC7C">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Central Commission for Discipline Inspection and National Supervisory Commission</w:t>
            </w:r>
          </w:p>
        </w:tc>
        <w:tc>
          <w:tcPr>
            <w:tcW w:w="2367" w:type="dxa"/>
            <w:tcBorders>
              <w:top w:val="nil"/>
              <w:left w:val="nil"/>
              <w:bottom w:val="nil"/>
              <w:right w:val="nil"/>
            </w:tcBorders>
            <w:shd w:val="clear" w:color="auto" w:fill="auto"/>
            <w:vAlign w:val="center"/>
          </w:tcPr>
          <w:p w14:paraId="7D1C921D">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http://www.ccdi.gov.cn</w:t>
            </w:r>
          </w:p>
        </w:tc>
        <w:tc>
          <w:tcPr>
            <w:tcW w:w="2266" w:type="dxa"/>
            <w:tcBorders>
              <w:top w:val="nil"/>
              <w:left w:val="nil"/>
              <w:bottom w:val="nil"/>
              <w:right w:val="nil"/>
            </w:tcBorders>
            <w:shd w:val="clear" w:color="auto" w:fill="auto"/>
            <w:vAlign w:val="center"/>
          </w:tcPr>
          <w:p w14:paraId="2EB2746B">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Keyword Search + Manual Review</w:t>
            </w:r>
          </w:p>
        </w:tc>
        <w:tc>
          <w:tcPr>
            <w:tcW w:w="1278" w:type="dxa"/>
            <w:tcBorders>
              <w:top w:val="nil"/>
              <w:left w:val="nil"/>
              <w:bottom w:val="nil"/>
              <w:right w:val="nil"/>
            </w:tcBorders>
            <w:shd w:val="clear" w:color="auto" w:fill="auto"/>
            <w:vAlign w:val="center"/>
          </w:tcPr>
          <w:p w14:paraId="5BE6D530">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123</w:t>
            </w:r>
          </w:p>
        </w:tc>
        <w:tc>
          <w:tcPr>
            <w:tcW w:w="1394" w:type="dxa"/>
            <w:tcBorders>
              <w:top w:val="nil"/>
              <w:left w:val="nil"/>
              <w:bottom w:val="nil"/>
              <w:right w:val="nil"/>
            </w:tcBorders>
            <w:shd w:val="clear" w:color="auto" w:fill="auto"/>
            <w:vAlign w:val="center"/>
          </w:tcPr>
          <w:p w14:paraId="09D7E85D">
            <w:pPr>
              <w:jc w:val="left"/>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64</w:t>
            </w:r>
          </w:p>
        </w:tc>
      </w:tr>
      <w:tr w14:paraId="0DFA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9449" w:type="dxa"/>
            <w:gridSpan w:val="5"/>
            <w:tcBorders>
              <w:top w:val="nil"/>
              <w:left w:val="nil"/>
              <w:bottom w:val="single" w:color="000000" w:sz="12" w:space="0"/>
              <w:right w:val="nil"/>
            </w:tcBorders>
            <w:shd w:val="clear" w:color="auto" w:fill="auto"/>
          </w:tcPr>
          <w:p w14:paraId="1F4F3F84">
            <w:pPr>
              <w:jc w:val="cente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Keywords for policy document retrieval: medical consumables, procurement, corruption, governance, centralized procurement, integrity, supervision, accountability</w:t>
            </w:r>
          </w:p>
        </w:tc>
      </w:tr>
    </w:tbl>
    <w:p w14:paraId="5E3BF55E">
      <w:pPr>
        <w:rPr>
          <w:rFonts w:hint="default" w:ascii="Times New Roman" w:hAnsi="Times New Roman" w:cs="Times New Roman"/>
          <w:lang w:val="en-US" w:eastAsia="zh-CN"/>
        </w:rPr>
      </w:pPr>
    </w:p>
    <w:p w14:paraId="36900C1D">
      <w:pPr>
        <w:rPr>
          <w:rFonts w:hint="default" w:ascii="Times New Roman" w:hAnsi="Times New Roman" w:cs="Times New Roman"/>
          <w:lang w:val="en-US" w:eastAsia="zh-CN"/>
        </w:rPr>
      </w:pPr>
    </w:p>
    <w:p w14:paraId="2A73CC7C">
      <w:pPr>
        <w:rPr>
          <w:rFonts w:hint="default" w:ascii="Times New Roman" w:hAnsi="Times New Roman" w:cs="Times New Roman"/>
          <w:lang w:val="en-US" w:eastAsia="zh-CN"/>
        </w:rPr>
      </w:pPr>
    </w:p>
    <w:p w14:paraId="26780BD2">
      <w:pPr>
        <w:rPr>
          <w:rFonts w:hint="default" w:ascii="Times New Roman" w:hAnsi="Times New Roman" w:cs="Times New Roman"/>
          <w:b/>
          <w:bCs/>
          <w:sz w:val="22"/>
          <w:szCs w:val="28"/>
          <w:lang w:val="en-US" w:eastAsia="zh-CN"/>
        </w:rPr>
      </w:pPr>
      <w:r>
        <w:rPr>
          <w:rFonts w:hint="eastAsia" w:ascii="Times New Roman" w:hAnsi="Times New Roman" w:eastAsia="微软雅黑" w:cs="Times New Roman"/>
          <w:b/>
          <w:bCs/>
          <w:kern w:val="2"/>
          <w:sz w:val="22"/>
          <w:szCs w:val="28"/>
          <w:lang w:val="en-US" w:eastAsia="zh-CN" w:bidi="ar-SA"/>
        </w:rPr>
        <w:t>2. Inclusion and exclusion criteria</w:t>
      </w:r>
    </w:p>
    <w:p w14:paraId="208D09A4">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2.1 Inclusion Criteria</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1504"/>
        <w:gridCol w:w="6090"/>
      </w:tblGrid>
      <w:tr w14:paraId="0427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single" w:color="000000" w:sz="12" w:space="0"/>
              <w:left w:val="nil"/>
              <w:bottom w:val="single" w:color="000000" w:sz="4" w:space="0"/>
              <w:right w:val="nil"/>
              <w:tl2br w:val="nil"/>
            </w:tcBorders>
            <w:shd w:val="clear" w:color="auto" w:fill="auto"/>
          </w:tcPr>
          <w:p w14:paraId="5B9CFF1D">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number</w:t>
            </w:r>
          </w:p>
        </w:tc>
        <w:tc>
          <w:tcPr>
            <w:tcW w:w="1506" w:type="dxa"/>
            <w:tcBorders>
              <w:top w:val="single" w:color="000000" w:sz="12" w:space="0"/>
              <w:left w:val="nil"/>
              <w:bottom w:val="single" w:color="000000" w:sz="4" w:space="0"/>
              <w:right w:val="nil"/>
            </w:tcBorders>
            <w:shd w:val="clear" w:color="auto" w:fill="auto"/>
          </w:tcPr>
          <w:p w14:paraId="40D916AE">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standard</w:t>
            </w:r>
          </w:p>
        </w:tc>
        <w:tc>
          <w:tcPr>
            <w:tcW w:w="6139" w:type="dxa"/>
            <w:tcBorders>
              <w:top w:val="single" w:color="000000" w:sz="12" w:space="0"/>
              <w:left w:val="nil"/>
              <w:bottom w:val="single" w:color="000000" w:sz="4" w:space="0"/>
              <w:right w:val="nil"/>
            </w:tcBorders>
            <w:shd w:val="clear" w:color="auto" w:fill="auto"/>
          </w:tcPr>
          <w:p w14:paraId="30F1B4CA">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operational definition</w:t>
            </w:r>
          </w:p>
        </w:tc>
      </w:tr>
      <w:tr w14:paraId="3CC5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single" w:color="000000" w:sz="4" w:space="0"/>
              <w:left w:val="nil"/>
              <w:bottom w:val="nil"/>
              <w:right w:val="nil"/>
            </w:tcBorders>
            <w:shd w:val="clear" w:color="auto" w:fill="auto"/>
          </w:tcPr>
          <w:p w14:paraId="4ECA4B3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IC1</w:t>
            </w:r>
          </w:p>
        </w:tc>
        <w:tc>
          <w:tcPr>
            <w:tcW w:w="1506" w:type="dxa"/>
            <w:tcBorders>
              <w:top w:val="single" w:color="000000" w:sz="4" w:space="0"/>
              <w:left w:val="nil"/>
              <w:bottom w:val="nil"/>
              <w:right w:val="nil"/>
            </w:tcBorders>
            <w:shd w:val="clear" w:color="auto" w:fill="auto"/>
          </w:tcPr>
          <w:p w14:paraId="4F6BF82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Topic Relevance</w:t>
            </w:r>
          </w:p>
        </w:tc>
        <w:tc>
          <w:tcPr>
            <w:tcW w:w="6139" w:type="dxa"/>
            <w:tcBorders>
              <w:top w:val="single" w:color="000000" w:sz="4" w:space="0"/>
              <w:left w:val="nil"/>
              <w:bottom w:val="nil"/>
              <w:right w:val="nil"/>
            </w:tcBorders>
            <w:shd w:val="clear" w:color="auto" w:fill="auto"/>
          </w:tcPr>
          <w:p w14:paraId="5A4BE35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Directly involves corruption, integrity risks, fraud, bribery, or governance challenges within healthcare procurement, hospital supply chain management, or related health system contexts.</w:t>
            </w:r>
          </w:p>
        </w:tc>
      </w:tr>
      <w:tr w14:paraId="19EF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nil"/>
              <w:left w:val="nil"/>
              <w:bottom w:val="nil"/>
              <w:right w:val="nil"/>
            </w:tcBorders>
            <w:shd w:val="clear" w:color="auto" w:fill="auto"/>
          </w:tcPr>
          <w:p w14:paraId="3435844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IC2</w:t>
            </w:r>
          </w:p>
        </w:tc>
        <w:tc>
          <w:tcPr>
            <w:tcW w:w="1506" w:type="dxa"/>
            <w:tcBorders>
              <w:top w:val="nil"/>
              <w:left w:val="nil"/>
              <w:bottom w:val="nil"/>
              <w:right w:val="nil"/>
            </w:tcBorders>
            <w:shd w:val="clear" w:color="auto" w:fill="auto"/>
          </w:tcPr>
          <w:p w14:paraId="54CBA68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Regional relevance</w:t>
            </w:r>
          </w:p>
        </w:tc>
        <w:tc>
          <w:tcPr>
            <w:tcW w:w="6139" w:type="dxa"/>
            <w:tcBorders>
              <w:top w:val="nil"/>
              <w:left w:val="nil"/>
              <w:bottom w:val="nil"/>
              <w:right w:val="nil"/>
            </w:tcBorders>
            <w:shd w:val="clear" w:color="auto" w:fill="auto"/>
          </w:tcPr>
          <w:p w14:paraId="241E6376">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Provide evidence-based findings, policy analyses, or regulatory frameworks related to China's healthcare system; or offer comparative insights applicable to China's healthcare system.</w:t>
            </w:r>
          </w:p>
        </w:tc>
      </w:tr>
      <w:tr w14:paraId="1ADD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nil"/>
              <w:left w:val="nil"/>
              <w:bottom w:val="nil"/>
              <w:right w:val="nil"/>
            </w:tcBorders>
            <w:shd w:val="clear" w:color="auto" w:fill="auto"/>
          </w:tcPr>
          <w:p w14:paraId="03A2B09C">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IC3</w:t>
            </w:r>
          </w:p>
        </w:tc>
        <w:tc>
          <w:tcPr>
            <w:tcW w:w="1506" w:type="dxa"/>
            <w:tcBorders>
              <w:top w:val="nil"/>
              <w:left w:val="nil"/>
              <w:bottom w:val="nil"/>
              <w:right w:val="nil"/>
            </w:tcBorders>
            <w:shd w:val="clear" w:color="auto" w:fill="auto"/>
          </w:tcPr>
          <w:p w14:paraId="3BBE302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Authoritative Source</w:t>
            </w:r>
          </w:p>
        </w:tc>
        <w:tc>
          <w:tcPr>
            <w:tcW w:w="6139" w:type="dxa"/>
            <w:tcBorders>
              <w:top w:val="nil"/>
              <w:left w:val="nil"/>
              <w:bottom w:val="nil"/>
              <w:right w:val="nil"/>
            </w:tcBorders>
            <w:shd w:val="clear" w:color="auto" w:fill="auto"/>
          </w:tcPr>
          <w:p w14:paraId="5BBE40C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Published in peer-reviewed academic journals; or issued by official government authorities (national or provincial level); or published by renowned research institutions or think tanks.</w:t>
            </w:r>
          </w:p>
        </w:tc>
      </w:tr>
      <w:tr w14:paraId="5D9F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nil"/>
              <w:left w:val="nil"/>
              <w:bottom w:val="nil"/>
              <w:right w:val="nil"/>
            </w:tcBorders>
            <w:shd w:val="clear" w:color="auto" w:fill="auto"/>
          </w:tcPr>
          <w:p w14:paraId="70776E2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IC4</w:t>
            </w:r>
          </w:p>
        </w:tc>
        <w:tc>
          <w:tcPr>
            <w:tcW w:w="1506" w:type="dxa"/>
            <w:tcBorders>
              <w:top w:val="nil"/>
              <w:left w:val="nil"/>
              <w:bottom w:val="nil"/>
              <w:right w:val="nil"/>
            </w:tcBorders>
            <w:shd w:val="clear" w:color="auto" w:fill="auto"/>
          </w:tcPr>
          <w:p w14:paraId="0241F60E">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Substantive content</w:t>
            </w:r>
          </w:p>
        </w:tc>
        <w:tc>
          <w:tcPr>
            <w:tcW w:w="6139" w:type="dxa"/>
            <w:tcBorders>
              <w:top w:val="nil"/>
              <w:left w:val="nil"/>
              <w:bottom w:val="nil"/>
              <w:right w:val="nil"/>
            </w:tcBorders>
            <w:shd w:val="clear" w:color="auto" w:fill="auto"/>
          </w:tcPr>
          <w:p w14:paraId="4757B14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Includes objective empirical data, systematic policy analysis, or recorded regulatory provisions; does not contain purely speculative content.</w:t>
            </w:r>
          </w:p>
        </w:tc>
      </w:tr>
      <w:tr w14:paraId="25B4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 w:type="dxa"/>
            <w:tcBorders>
              <w:top w:val="nil"/>
              <w:left w:val="nil"/>
              <w:bottom w:val="single" w:color="000000" w:sz="12" w:space="0"/>
              <w:right w:val="nil"/>
            </w:tcBorders>
            <w:shd w:val="clear" w:color="auto" w:fill="auto"/>
          </w:tcPr>
          <w:p w14:paraId="715F1726">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IC5</w:t>
            </w:r>
          </w:p>
        </w:tc>
        <w:tc>
          <w:tcPr>
            <w:tcW w:w="1506" w:type="dxa"/>
            <w:tcBorders>
              <w:top w:val="nil"/>
              <w:left w:val="nil"/>
              <w:bottom w:val="single" w:color="000000" w:sz="12" w:space="0"/>
              <w:right w:val="nil"/>
            </w:tcBorders>
            <w:shd w:val="clear" w:color="auto" w:fill="auto"/>
          </w:tcPr>
          <w:p w14:paraId="1A2F230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classification of language</w:t>
            </w:r>
          </w:p>
        </w:tc>
        <w:tc>
          <w:tcPr>
            <w:tcW w:w="6139" w:type="dxa"/>
            <w:tcBorders>
              <w:top w:val="nil"/>
              <w:left w:val="nil"/>
              <w:bottom w:val="single" w:color="000000" w:sz="12" w:space="0"/>
              <w:right w:val="nil"/>
            </w:tcBorders>
            <w:shd w:val="clear" w:color="auto" w:fill="auto"/>
          </w:tcPr>
          <w:p w14:paraId="7CBA50F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Chinese or English</w:t>
            </w:r>
          </w:p>
        </w:tc>
      </w:tr>
    </w:tbl>
    <w:p w14:paraId="3A7A7DD3">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p w14:paraId="5824C387">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2.2 Exclusion Criteria</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1301"/>
        <w:gridCol w:w="6293"/>
      </w:tblGrid>
      <w:tr w14:paraId="06B4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single" w:color="000000" w:sz="12" w:space="0"/>
              <w:left w:val="nil"/>
              <w:bottom w:val="single" w:color="000000" w:sz="4" w:space="0"/>
              <w:right w:val="nil"/>
              <w:tl2br w:val="nil"/>
            </w:tcBorders>
            <w:shd w:val="clear" w:color="auto" w:fill="auto"/>
          </w:tcPr>
          <w:p w14:paraId="1CAA1E77">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number</w:t>
            </w:r>
          </w:p>
        </w:tc>
        <w:tc>
          <w:tcPr>
            <w:tcW w:w="1304" w:type="dxa"/>
            <w:tcBorders>
              <w:top w:val="single" w:color="000000" w:sz="12" w:space="0"/>
              <w:left w:val="nil"/>
              <w:bottom w:val="single" w:color="000000" w:sz="4" w:space="0"/>
              <w:right w:val="nil"/>
            </w:tcBorders>
            <w:shd w:val="clear" w:color="auto" w:fill="auto"/>
          </w:tcPr>
          <w:p w14:paraId="6623F426">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standard</w:t>
            </w:r>
          </w:p>
        </w:tc>
        <w:tc>
          <w:tcPr>
            <w:tcW w:w="6422" w:type="dxa"/>
            <w:tcBorders>
              <w:top w:val="single" w:color="000000" w:sz="12" w:space="0"/>
              <w:left w:val="nil"/>
              <w:bottom w:val="single" w:color="000000" w:sz="4" w:space="0"/>
              <w:right w:val="nil"/>
            </w:tcBorders>
            <w:shd w:val="clear" w:color="auto" w:fill="auto"/>
          </w:tcPr>
          <w:p w14:paraId="07796554">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operational definition</w:t>
            </w:r>
          </w:p>
        </w:tc>
      </w:tr>
      <w:tr w14:paraId="7132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single" w:color="000000" w:sz="4" w:space="0"/>
              <w:left w:val="nil"/>
              <w:bottom w:val="nil"/>
              <w:right w:val="nil"/>
            </w:tcBorders>
            <w:shd w:val="clear" w:color="auto" w:fill="auto"/>
          </w:tcPr>
          <w:p w14:paraId="6FD8AEE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EC1</w:t>
            </w:r>
          </w:p>
        </w:tc>
        <w:tc>
          <w:tcPr>
            <w:tcW w:w="1304" w:type="dxa"/>
            <w:tcBorders>
              <w:top w:val="single" w:color="000000" w:sz="4" w:space="0"/>
              <w:left w:val="nil"/>
              <w:bottom w:val="nil"/>
              <w:right w:val="nil"/>
            </w:tcBorders>
            <w:shd w:val="clear" w:color="auto" w:fill="auto"/>
          </w:tcPr>
          <w:p w14:paraId="3115CFA2">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Document Type</w:t>
            </w:r>
          </w:p>
        </w:tc>
        <w:tc>
          <w:tcPr>
            <w:tcW w:w="6422" w:type="dxa"/>
            <w:tcBorders>
              <w:top w:val="single" w:color="000000" w:sz="4" w:space="0"/>
              <w:left w:val="nil"/>
              <w:bottom w:val="nil"/>
              <w:right w:val="nil"/>
            </w:tcBorders>
            <w:shd w:val="clear" w:color="auto" w:fill="auto"/>
          </w:tcPr>
          <w:p w14:paraId="72485BA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Commentary articles, editorials, reader letters, etc., do not contain substantive empirical evidence or policy analysis.</w:t>
            </w:r>
          </w:p>
        </w:tc>
      </w:tr>
      <w:tr w14:paraId="3CD0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nil"/>
              <w:left w:val="nil"/>
              <w:bottom w:val="nil"/>
              <w:right w:val="nil"/>
            </w:tcBorders>
            <w:shd w:val="clear" w:color="auto" w:fill="auto"/>
          </w:tcPr>
          <w:p w14:paraId="35E6652C">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EC2</w:t>
            </w:r>
          </w:p>
        </w:tc>
        <w:tc>
          <w:tcPr>
            <w:tcW w:w="1304" w:type="dxa"/>
            <w:tcBorders>
              <w:top w:val="nil"/>
              <w:left w:val="nil"/>
              <w:bottom w:val="nil"/>
              <w:right w:val="nil"/>
            </w:tcBorders>
            <w:shd w:val="clear" w:color="auto" w:fill="auto"/>
          </w:tcPr>
          <w:p w14:paraId="67D24CD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repeat</w:t>
            </w:r>
          </w:p>
        </w:tc>
        <w:tc>
          <w:tcPr>
            <w:tcW w:w="6422" w:type="dxa"/>
            <w:tcBorders>
              <w:top w:val="nil"/>
              <w:left w:val="nil"/>
              <w:bottom w:val="nil"/>
              <w:right w:val="nil"/>
            </w:tcBorders>
            <w:shd w:val="clear" w:color="auto" w:fill="auto"/>
          </w:tcPr>
          <w:p w14:paraId="72BB0F6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Duplicate publication of the same study or document</w:t>
            </w:r>
          </w:p>
        </w:tc>
      </w:tr>
      <w:tr w14:paraId="192E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nil"/>
              <w:left w:val="nil"/>
              <w:bottom w:val="nil"/>
              <w:right w:val="nil"/>
            </w:tcBorders>
            <w:shd w:val="clear" w:color="auto" w:fill="auto"/>
          </w:tcPr>
          <w:p w14:paraId="05B9A89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EC3</w:t>
            </w:r>
          </w:p>
        </w:tc>
        <w:tc>
          <w:tcPr>
            <w:tcW w:w="1304" w:type="dxa"/>
            <w:tcBorders>
              <w:top w:val="nil"/>
              <w:left w:val="nil"/>
              <w:bottom w:val="nil"/>
              <w:right w:val="nil"/>
            </w:tcBorders>
            <w:shd w:val="clear" w:color="auto" w:fill="auto"/>
          </w:tcPr>
          <w:p w14:paraId="54699A4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Scope mismatch</w:t>
            </w:r>
          </w:p>
        </w:tc>
        <w:tc>
          <w:tcPr>
            <w:tcW w:w="6422" w:type="dxa"/>
            <w:tcBorders>
              <w:top w:val="nil"/>
              <w:left w:val="nil"/>
              <w:bottom w:val="nil"/>
              <w:right w:val="nil"/>
            </w:tcBorders>
            <w:shd w:val="clear" w:color="auto" w:fill="auto"/>
          </w:tcPr>
          <w:p w14:paraId="0B8AA6A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Focusing solely on drug corruption while remaining irrelevant to medical consumables or medical devices</w:t>
            </w:r>
          </w:p>
        </w:tc>
      </w:tr>
      <w:tr w14:paraId="7CAB5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796" w:type="dxa"/>
            <w:tcBorders>
              <w:top w:val="nil"/>
              <w:left w:val="nil"/>
              <w:bottom w:val="nil"/>
              <w:right w:val="nil"/>
            </w:tcBorders>
            <w:shd w:val="clear" w:color="auto" w:fill="auto"/>
          </w:tcPr>
          <w:p w14:paraId="78C960DC">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EC4</w:t>
            </w:r>
          </w:p>
        </w:tc>
        <w:tc>
          <w:tcPr>
            <w:tcW w:w="1304" w:type="dxa"/>
            <w:tcBorders>
              <w:top w:val="nil"/>
              <w:left w:val="nil"/>
              <w:bottom w:val="nil"/>
              <w:right w:val="nil"/>
            </w:tcBorders>
            <w:shd w:val="clear" w:color="auto" w:fill="auto"/>
          </w:tcPr>
          <w:p w14:paraId="381B982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time frame</w:t>
            </w:r>
          </w:p>
        </w:tc>
        <w:tc>
          <w:tcPr>
            <w:tcW w:w="6422" w:type="dxa"/>
            <w:tcBorders>
              <w:top w:val="nil"/>
              <w:left w:val="nil"/>
              <w:bottom w:val="nil"/>
              <w:right w:val="nil"/>
            </w:tcBorders>
            <w:shd w:val="clear" w:color="auto" w:fill="auto"/>
          </w:tcPr>
          <w:p w14:paraId="0B29CAD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Published before January 1980</w:t>
            </w:r>
          </w:p>
        </w:tc>
      </w:tr>
      <w:tr w14:paraId="6F99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tcBorders>
              <w:top w:val="nil"/>
              <w:left w:val="nil"/>
              <w:bottom w:val="single" w:color="000000" w:sz="12" w:space="0"/>
              <w:right w:val="nil"/>
            </w:tcBorders>
            <w:shd w:val="clear" w:color="auto" w:fill="auto"/>
          </w:tcPr>
          <w:p w14:paraId="06F668D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EC5</w:t>
            </w:r>
            <w:r>
              <w:rPr>
                <w:rFonts w:hint="eastAsia" w:ascii="Times New Roman" w:hAnsi="Times New Roman" w:eastAsia="微软雅黑" w:cs="Times New Roman"/>
                <w:b w:val="0"/>
                <w:color w:val="000000"/>
                <w:kern w:val="2"/>
                <w:sz w:val="21"/>
                <w:szCs w:val="24"/>
                <w:lang w:val="en-US" w:eastAsia="zh-CN" w:bidi="ar-SA"/>
              </w:rPr>
              <w:tab/>
            </w:r>
          </w:p>
        </w:tc>
        <w:tc>
          <w:tcPr>
            <w:tcW w:w="1304" w:type="dxa"/>
            <w:tcBorders>
              <w:top w:val="nil"/>
              <w:left w:val="nil"/>
              <w:bottom w:val="single" w:color="000000" w:sz="12" w:space="0"/>
              <w:right w:val="nil"/>
            </w:tcBorders>
            <w:shd w:val="clear" w:color="auto" w:fill="auto"/>
          </w:tcPr>
          <w:p w14:paraId="35E8095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Insufficient information</w:t>
            </w:r>
          </w:p>
        </w:tc>
        <w:tc>
          <w:tcPr>
            <w:tcW w:w="6422" w:type="dxa"/>
            <w:tcBorders>
              <w:top w:val="nil"/>
              <w:left w:val="nil"/>
              <w:bottom w:val="single" w:color="000000" w:sz="12" w:space="0"/>
              <w:right w:val="nil"/>
            </w:tcBorders>
            <w:shd w:val="clear" w:color="auto" w:fill="auto"/>
          </w:tcPr>
          <w:p w14:paraId="5E94CC8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Lacks sufficient methodological or analytical details to support effective extraction.</w:t>
            </w:r>
          </w:p>
        </w:tc>
      </w:tr>
    </w:tbl>
    <w:p w14:paraId="14D218A5">
      <w:pPr>
        <w:numPr>
          <w:ilvl w:val="0"/>
          <w:numId w:val="0"/>
        </w:numPr>
        <w:rPr>
          <w:rFonts w:hint="default" w:ascii="Times New Roman" w:hAnsi="Times New Roman" w:cs="Times New Roman"/>
          <w:lang w:val="en-US" w:eastAsia="zh-CN"/>
        </w:rPr>
      </w:pPr>
    </w:p>
    <w:p w14:paraId="6EA1FB0B">
      <w:pPr>
        <w:numPr>
          <w:ilvl w:val="0"/>
          <w:numId w:val="1"/>
        </w:numPr>
        <w:ind w:left="0" w:leftChars="0" w:firstLine="0" w:firstLineChars="0"/>
        <w:rPr>
          <w:rFonts w:hint="default" w:ascii="Times New Roman" w:hAnsi="Times New Roman" w:cs="Times New Roman"/>
          <w:b/>
          <w:bCs/>
          <w:sz w:val="22"/>
          <w:szCs w:val="28"/>
          <w:lang w:val="en-US" w:eastAsia="zh-CN"/>
        </w:rPr>
      </w:pPr>
      <w:r>
        <w:rPr>
          <w:rFonts w:hint="eastAsia" w:ascii="Times New Roman" w:hAnsi="Times New Roman" w:eastAsia="微软雅黑" w:cs="Times New Roman"/>
          <w:b/>
          <w:bCs/>
          <w:kern w:val="2"/>
          <w:sz w:val="22"/>
          <w:szCs w:val="28"/>
          <w:lang w:val="en-US" w:eastAsia="zh-CN" w:bidi="ar-SA"/>
        </w:rPr>
        <w:t>Extracted PESTEL factors</w:t>
      </w:r>
    </w:p>
    <w:p w14:paraId="61596CD7">
      <w:pPr>
        <w:numPr>
          <w:ilvl w:val="0"/>
          <w:numId w:val="0"/>
        </w:num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3.1 Political Factors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5248"/>
        <w:gridCol w:w="2346"/>
      </w:tblGrid>
      <w:tr w14:paraId="4F63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3" w:hRule="atLeast"/>
        </w:trPr>
        <w:tc>
          <w:tcPr>
            <w:tcW w:w="860" w:type="dxa"/>
            <w:tcBorders>
              <w:top w:val="single" w:color="000000" w:sz="12" w:space="0"/>
              <w:left w:val="nil"/>
              <w:bottom w:val="single" w:color="000000" w:sz="4" w:space="0"/>
              <w:right w:val="nil"/>
              <w:tl2br w:val="nil"/>
            </w:tcBorders>
            <w:shd w:val="clear" w:color="auto" w:fill="auto"/>
          </w:tcPr>
          <w:p w14:paraId="7E1B2275">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number</w:t>
            </w:r>
          </w:p>
        </w:tc>
        <w:tc>
          <w:tcPr>
            <w:tcW w:w="5296" w:type="dxa"/>
            <w:tcBorders>
              <w:top w:val="single" w:color="000000" w:sz="12" w:space="0"/>
              <w:left w:val="nil"/>
              <w:bottom w:val="single" w:color="000000" w:sz="4" w:space="0"/>
              <w:right w:val="nil"/>
            </w:tcBorders>
            <w:shd w:val="clear" w:color="auto" w:fill="auto"/>
          </w:tcPr>
          <w:p w14:paraId="0459C7A6">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Factor Description</w:t>
            </w:r>
          </w:p>
        </w:tc>
        <w:tc>
          <w:tcPr>
            <w:tcW w:w="2366" w:type="dxa"/>
            <w:tcBorders>
              <w:top w:val="single" w:color="000000" w:sz="12" w:space="0"/>
              <w:left w:val="nil"/>
              <w:bottom w:val="single" w:color="000000" w:sz="4" w:space="0"/>
              <w:right w:val="nil"/>
            </w:tcBorders>
            <w:shd w:val="clear" w:color="auto" w:fill="auto"/>
          </w:tcPr>
          <w:p w14:paraId="4ACD77A5">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Source Type</w:t>
            </w:r>
          </w:p>
        </w:tc>
      </w:tr>
      <w:tr w14:paraId="6FBE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60" w:type="dxa"/>
            <w:tcBorders>
              <w:top w:val="single" w:color="000000" w:sz="4" w:space="0"/>
              <w:left w:val="nil"/>
              <w:bottom w:val="nil"/>
              <w:right w:val="nil"/>
            </w:tcBorders>
            <w:shd w:val="clear" w:color="auto" w:fill="auto"/>
          </w:tcPr>
          <w:p w14:paraId="0519A0C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PF1</w:t>
            </w:r>
          </w:p>
        </w:tc>
        <w:tc>
          <w:tcPr>
            <w:tcW w:w="5296" w:type="dxa"/>
            <w:tcBorders>
              <w:top w:val="single" w:color="000000" w:sz="4" w:space="0"/>
              <w:left w:val="nil"/>
              <w:bottom w:val="nil"/>
              <w:right w:val="nil"/>
            </w:tcBorders>
            <w:shd w:val="clear" w:color="auto" w:fill="auto"/>
          </w:tcPr>
          <w:p w14:paraId="112ED62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regulatory functions of multiple government departments (the National Health Commission, the National Healthcare Security Administration, the National Medical Products Administration, and the Discipline Inspection and Supervision Commission) are fragmented.</w:t>
            </w:r>
          </w:p>
        </w:tc>
        <w:tc>
          <w:tcPr>
            <w:tcW w:w="2366" w:type="dxa"/>
            <w:tcBorders>
              <w:top w:val="single" w:color="000000" w:sz="4" w:space="0"/>
              <w:left w:val="nil"/>
              <w:bottom w:val="nil"/>
              <w:right w:val="nil"/>
            </w:tcBorders>
            <w:shd w:val="clear" w:color="auto" w:fill="auto"/>
          </w:tcPr>
          <w:p w14:paraId="20A6574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Policy + Expert Exchange</w:t>
            </w:r>
          </w:p>
        </w:tc>
      </w:tr>
      <w:tr w14:paraId="6C8C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60" w:type="dxa"/>
            <w:tcBorders>
              <w:top w:val="nil"/>
              <w:left w:val="nil"/>
              <w:bottom w:val="nil"/>
              <w:right w:val="nil"/>
            </w:tcBorders>
            <w:shd w:val="clear" w:color="auto" w:fill="auto"/>
          </w:tcPr>
          <w:p w14:paraId="6ED0F62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PF2</w:t>
            </w:r>
          </w:p>
        </w:tc>
        <w:tc>
          <w:tcPr>
            <w:tcW w:w="5296" w:type="dxa"/>
            <w:tcBorders>
              <w:top w:val="nil"/>
              <w:left w:val="nil"/>
              <w:bottom w:val="nil"/>
              <w:right w:val="nil"/>
            </w:tcBorders>
            <w:shd w:val="clear" w:color="auto" w:fill="auto"/>
          </w:tcPr>
          <w:p w14:paraId="44DEF36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Lack of a cross-departmental coordination mechanism</w:t>
            </w:r>
          </w:p>
        </w:tc>
        <w:tc>
          <w:tcPr>
            <w:tcW w:w="2366" w:type="dxa"/>
            <w:tcBorders>
              <w:top w:val="nil"/>
              <w:left w:val="nil"/>
              <w:bottom w:val="nil"/>
              <w:right w:val="nil"/>
            </w:tcBorders>
            <w:shd w:val="clear" w:color="auto" w:fill="auto"/>
          </w:tcPr>
          <w:p w14:paraId="6D388D6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r w14:paraId="2CDAE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nil"/>
              <w:left w:val="nil"/>
              <w:bottom w:val="nil"/>
              <w:right w:val="nil"/>
            </w:tcBorders>
            <w:shd w:val="clear" w:color="auto" w:fill="auto"/>
          </w:tcPr>
          <w:p w14:paraId="797AF033">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PF3</w:t>
            </w:r>
          </w:p>
        </w:tc>
        <w:tc>
          <w:tcPr>
            <w:tcW w:w="5296" w:type="dxa"/>
            <w:tcBorders>
              <w:top w:val="nil"/>
              <w:left w:val="nil"/>
              <w:bottom w:val="nil"/>
              <w:right w:val="nil"/>
            </w:tcBorders>
            <w:shd w:val="clear" w:color="auto" w:fill="auto"/>
          </w:tcPr>
          <w:p w14:paraId="35E6997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Lack of clear accountability mechanisms and traceable procedures</w:t>
            </w:r>
          </w:p>
        </w:tc>
        <w:tc>
          <w:tcPr>
            <w:tcW w:w="2366" w:type="dxa"/>
            <w:tcBorders>
              <w:top w:val="nil"/>
              <w:left w:val="nil"/>
              <w:bottom w:val="nil"/>
              <w:right w:val="nil"/>
            </w:tcBorders>
            <w:shd w:val="clear" w:color="auto" w:fill="auto"/>
          </w:tcPr>
          <w:p w14:paraId="783F917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r w14:paraId="443D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nil"/>
              <w:left w:val="nil"/>
              <w:bottom w:val="single" w:color="000000" w:sz="12" w:space="0"/>
              <w:right w:val="nil"/>
            </w:tcBorders>
            <w:shd w:val="clear" w:color="auto" w:fill="auto"/>
          </w:tcPr>
          <w:p w14:paraId="1C107A2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PF4</w:t>
            </w:r>
          </w:p>
        </w:tc>
        <w:tc>
          <w:tcPr>
            <w:tcW w:w="5296" w:type="dxa"/>
            <w:tcBorders>
              <w:top w:val="nil"/>
              <w:left w:val="nil"/>
              <w:bottom w:val="single" w:color="000000" w:sz="12" w:space="0"/>
              <w:right w:val="nil"/>
            </w:tcBorders>
            <w:shd w:val="clear" w:color="auto" w:fill="auto"/>
          </w:tcPr>
          <w:p w14:paraId="201B871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gap between policy density and implementation understanding—there is a high volume of policy documents, yet understanding among grassroots levels varies significantly.</w:t>
            </w:r>
          </w:p>
        </w:tc>
        <w:tc>
          <w:tcPr>
            <w:tcW w:w="2366" w:type="dxa"/>
            <w:tcBorders>
              <w:top w:val="nil"/>
              <w:left w:val="nil"/>
              <w:bottom w:val="single" w:color="000000" w:sz="12" w:space="0"/>
              <w:right w:val="nil"/>
            </w:tcBorders>
            <w:shd w:val="clear" w:color="auto" w:fill="auto"/>
          </w:tcPr>
          <w:p w14:paraId="52EB3B9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Policy + Expert Exchange</w:t>
            </w:r>
          </w:p>
        </w:tc>
      </w:tr>
    </w:tbl>
    <w:p w14:paraId="3FF4AD97">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p w14:paraId="1EF541A1">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3.2 Economic Factors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4797"/>
        <w:gridCol w:w="2797"/>
      </w:tblGrid>
      <w:tr w14:paraId="15BB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02" w:type="dxa"/>
            <w:tcBorders>
              <w:top w:val="single" w:color="000000" w:sz="12" w:space="0"/>
              <w:left w:val="nil"/>
              <w:bottom w:val="single" w:color="000000" w:sz="4" w:space="0"/>
              <w:right w:val="nil"/>
              <w:tl2br w:val="nil"/>
            </w:tcBorders>
            <w:shd w:val="clear" w:color="auto" w:fill="auto"/>
          </w:tcPr>
          <w:p w14:paraId="61B12C3C">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number</w:t>
            </w:r>
          </w:p>
        </w:tc>
        <w:tc>
          <w:tcPr>
            <w:tcW w:w="4879" w:type="dxa"/>
            <w:tcBorders>
              <w:top w:val="single" w:color="000000" w:sz="12" w:space="0"/>
              <w:left w:val="nil"/>
              <w:bottom w:val="single" w:color="000000" w:sz="4" w:space="0"/>
              <w:right w:val="nil"/>
            </w:tcBorders>
            <w:shd w:val="clear" w:color="auto" w:fill="auto"/>
          </w:tcPr>
          <w:p w14:paraId="070394A3">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Factor Description</w:t>
            </w:r>
          </w:p>
        </w:tc>
        <w:tc>
          <w:tcPr>
            <w:tcW w:w="2841" w:type="dxa"/>
            <w:tcBorders>
              <w:top w:val="single" w:color="000000" w:sz="12" w:space="0"/>
              <w:left w:val="nil"/>
              <w:bottom w:val="single" w:color="000000" w:sz="4" w:space="0"/>
              <w:right w:val="nil"/>
            </w:tcBorders>
            <w:shd w:val="clear" w:color="auto" w:fill="auto"/>
          </w:tcPr>
          <w:p w14:paraId="7F681C54">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Source Type</w:t>
            </w:r>
          </w:p>
        </w:tc>
      </w:tr>
      <w:tr w14:paraId="76E9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02" w:type="dxa"/>
            <w:tcBorders>
              <w:top w:val="single" w:color="000000" w:sz="4" w:space="0"/>
              <w:left w:val="nil"/>
              <w:bottom w:val="nil"/>
              <w:right w:val="nil"/>
            </w:tcBorders>
            <w:shd w:val="clear" w:color="auto" w:fill="auto"/>
          </w:tcPr>
          <w:p w14:paraId="4DF5239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EF1</w:t>
            </w:r>
          </w:p>
        </w:tc>
        <w:tc>
          <w:tcPr>
            <w:tcW w:w="4879" w:type="dxa"/>
            <w:tcBorders>
              <w:top w:val="single" w:color="000000" w:sz="4" w:space="0"/>
              <w:left w:val="nil"/>
              <w:bottom w:val="nil"/>
              <w:right w:val="nil"/>
            </w:tcBorders>
            <w:shd w:val="clear" w:color="auto" w:fill="auto"/>
          </w:tcPr>
          <w:p w14:paraId="2C26B01B">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Misalignment between healthcare professionals' compensation and their technical service value</w:t>
            </w:r>
          </w:p>
        </w:tc>
        <w:tc>
          <w:tcPr>
            <w:tcW w:w="2841" w:type="dxa"/>
            <w:tcBorders>
              <w:top w:val="single" w:color="000000" w:sz="4" w:space="0"/>
              <w:left w:val="nil"/>
              <w:bottom w:val="nil"/>
              <w:right w:val="nil"/>
            </w:tcBorders>
            <w:shd w:val="clear" w:color="auto" w:fill="auto"/>
          </w:tcPr>
          <w:p w14:paraId="2997BD3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Literature Review + Expert Exchange</w:t>
            </w:r>
          </w:p>
        </w:tc>
      </w:tr>
      <w:tr w14:paraId="5E21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02" w:type="dxa"/>
            <w:tcBorders>
              <w:top w:val="nil"/>
              <w:left w:val="nil"/>
              <w:bottom w:val="nil"/>
              <w:right w:val="nil"/>
            </w:tcBorders>
            <w:shd w:val="clear" w:color="auto" w:fill="auto"/>
          </w:tcPr>
          <w:p w14:paraId="7F8A19EC">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EF2</w:t>
            </w:r>
          </w:p>
        </w:tc>
        <w:tc>
          <w:tcPr>
            <w:tcW w:w="4879" w:type="dxa"/>
            <w:tcBorders>
              <w:top w:val="nil"/>
              <w:left w:val="nil"/>
              <w:bottom w:val="nil"/>
              <w:right w:val="nil"/>
            </w:tcBorders>
            <w:shd w:val="clear" w:color="auto" w:fill="auto"/>
          </w:tcPr>
          <w:p w14:paraId="45A8541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Following the implementation of zero markup policies for pharmaceuticals and medical consumables, public hospitals are facing insufficient financial compensation.</w:t>
            </w:r>
          </w:p>
        </w:tc>
        <w:tc>
          <w:tcPr>
            <w:tcW w:w="2841" w:type="dxa"/>
            <w:tcBorders>
              <w:top w:val="nil"/>
              <w:left w:val="nil"/>
              <w:bottom w:val="nil"/>
              <w:right w:val="nil"/>
            </w:tcBorders>
            <w:shd w:val="clear" w:color="auto" w:fill="auto"/>
          </w:tcPr>
          <w:p w14:paraId="6FF851C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Policy + Expert Exchange</w:t>
            </w:r>
          </w:p>
        </w:tc>
      </w:tr>
      <w:tr w14:paraId="6871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02" w:type="dxa"/>
            <w:tcBorders>
              <w:top w:val="nil"/>
              <w:left w:val="nil"/>
              <w:bottom w:val="nil"/>
              <w:right w:val="nil"/>
            </w:tcBorders>
            <w:shd w:val="clear" w:color="auto" w:fill="auto"/>
          </w:tcPr>
          <w:p w14:paraId="00437ACB">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EF3</w:t>
            </w:r>
          </w:p>
        </w:tc>
        <w:tc>
          <w:tcPr>
            <w:tcW w:w="4879" w:type="dxa"/>
            <w:tcBorders>
              <w:top w:val="nil"/>
              <w:left w:val="nil"/>
              <w:bottom w:val="nil"/>
              <w:right w:val="nil"/>
            </w:tcBorders>
            <w:shd w:val="clear" w:color="auto" w:fill="auto"/>
          </w:tcPr>
          <w:p w14:paraId="24F49D7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Approximately 90% of hospital operations rely on self-generated revenue.</w:t>
            </w:r>
          </w:p>
        </w:tc>
        <w:tc>
          <w:tcPr>
            <w:tcW w:w="2841" w:type="dxa"/>
            <w:tcBorders>
              <w:top w:val="nil"/>
              <w:left w:val="nil"/>
              <w:bottom w:val="nil"/>
              <w:right w:val="nil"/>
            </w:tcBorders>
            <w:shd w:val="clear" w:color="auto" w:fill="auto"/>
          </w:tcPr>
          <w:p w14:paraId="23575E03">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Policy</w:t>
            </w:r>
          </w:p>
        </w:tc>
      </w:tr>
      <w:tr w14:paraId="4183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02" w:type="dxa"/>
            <w:tcBorders>
              <w:top w:val="nil"/>
              <w:left w:val="nil"/>
              <w:bottom w:val="single" w:color="000000" w:sz="12" w:space="0"/>
              <w:right w:val="nil"/>
            </w:tcBorders>
            <w:shd w:val="clear" w:color="auto" w:fill="auto"/>
          </w:tcPr>
          <w:p w14:paraId="1436DC3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EF4</w:t>
            </w:r>
          </w:p>
        </w:tc>
        <w:tc>
          <w:tcPr>
            <w:tcW w:w="4879" w:type="dxa"/>
            <w:tcBorders>
              <w:top w:val="nil"/>
              <w:left w:val="nil"/>
              <w:bottom w:val="single" w:color="000000" w:sz="12" w:space="0"/>
              <w:right w:val="nil"/>
            </w:tcBorders>
            <w:shd w:val="clear" w:color="auto" w:fill="auto"/>
          </w:tcPr>
          <w:p w14:paraId="370CB60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Financial pressures drive hospitals toward profit-driven behavior.</w:t>
            </w:r>
          </w:p>
        </w:tc>
        <w:tc>
          <w:tcPr>
            <w:tcW w:w="2841" w:type="dxa"/>
            <w:tcBorders>
              <w:top w:val="nil"/>
              <w:left w:val="nil"/>
              <w:bottom w:val="single" w:color="000000" w:sz="12" w:space="0"/>
              <w:right w:val="nil"/>
            </w:tcBorders>
            <w:shd w:val="clear" w:color="auto" w:fill="auto"/>
          </w:tcPr>
          <w:p w14:paraId="60615C4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bl>
    <w:p w14:paraId="4C630438">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p w14:paraId="0056651A">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3.3 Social Factors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4768"/>
        <w:gridCol w:w="2826"/>
      </w:tblGrid>
      <w:tr w14:paraId="0BDFD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3" w:type="dxa"/>
            <w:tcBorders>
              <w:top w:val="single" w:color="000000" w:sz="12" w:space="0"/>
              <w:left w:val="nil"/>
              <w:bottom w:val="single" w:color="000000" w:sz="4" w:space="0"/>
              <w:right w:val="nil"/>
              <w:tl2br w:val="nil"/>
            </w:tcBorders>
            <w:shd w:val="clear" w:color="auto" w:fill="auto"/>
          </w:tcPr>
          <w:p w14:paraId="576C7CCE">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number</w:t>
            </w:r>
          </w:p>
        </w:tc>
        <w:tc>
          <w:tcPr>
            <w:tcW w:w="4798" w:type="dxa"/>
            <w:tcBorders>
              <w:top w:val="single" w:color="000000" w:sz="12" w:space="0"/>
              <w:left w:val="nil"/>
              <w:bottom w:val="single" w:color="000000" w:sz="4" w:space="0"/>
              <w:right w:val="nil"/>
            </w:tcBorders>
            <w:shd w:val="clear" w:color="auto" w:fill="auto"/>
          </w:tcPr>
          <w:p w14:paraId="3BF85649">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Factor Description</w:t>
            </w:r>
          </w:p>
        </w:tc>
        <w:tc>
          <w:tcPr>
            <w:tcW w:w="2841" w:type="dxa"/>
            <w:tcBorders>
              <w:top w:val="single" w:color="000000" w:sz="12" w:space="0"/>
              <w:left w:val="nil"/>
              <w:bottom w:val="single" w:color="000000" w:sz="4" w:space="0"/>
              <w:right w:val="nil"/>
            </w:tcBorders>
            <w:shd w:val="clear" w:color="auto" w:fill="auto"/>
          </w:tcPr>
          <w:p w14:paraId="65584242">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Source Type</w:t>
            </w:r>
          </w:p>
        </w:tc>
      </w:tr>
      <w:tr w14:paraId="503B9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3" w:type="dxa"/>
            <w:tcBorders>
              <w:top w:val="single" w:color="000000" w:sz="4" w:space="0"/>
              <w:left w:val="nil"/>
              <w:bottom w:val="nil"/>
              <w:right w:val="nil"/>
            </w:tcBorders>
            <w:shd w:val="clear" w:color="auto" w:fill="auto"/>
          </w:tcPr>
          <w:p w14:paraId="7C684CC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SF1</w:t>
            </w:r>
          </w:p>
        </w:tc>
        <w:tc>
          <w:tcPr>
            <w:tcW w:w="4798" w:type="dxa"/>
            <w:tcBorders>
              <w:top w:val="single" w:color="000000" w:sz="4" w:space="0"/>
              <w:left w:val="nil"/>
              <w:bottom w:val="nil"/>
              <w:right w:val="nil"/>
            </w:tcBorders>
            <w:shd w:val="clear" w:color="auto" w:fill="auto"/>
          </w:tcPr>
          <w:p w14:paraId="4AC3029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Information asymmetry between physicians and patients, as well as between healthcare providers and enterprises.</w:t>
            </w:r>
          </w:p>
        </w:tc>
        <w:tc>
          <w:tcPr>
            <w:tcW w:w="2841" w:type="dxa"/>
            <w:tcBorders>
              <w:top w:val="single" w:color="000000" w:sz="4" w:space="0"/>
              <w:left w:val="nil"/>
              <w:bottom w:val="nil"/>
              <w:right w:val="nil"/>
            </w:tcBorders>
            <w:shd w:val="clear" w:color="auto" w:fill="auto"/>
          </w:tcPr>
          <w:p w14:paraId="61019A8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Literature Review + Expert Exchange</w:t>
            </w:r>
          </w:p>
        </w:tc>
      </w:tr>
      <w:tr w14:paraId="3D02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3" w:type="dxa"/>
            <w:tcBorders>
              <w:top w:val="nil"/>
              <w:left w:val="nil"/>
              <w:bottom w:val="nil"/>
              <w:right w:val="nil"/>
            </w:tcBorders>
            <w:shd w:val="clear" w:color="auto" w:fill="auto"/>
          </w:tcPr>
          <w:p w14:paraId="5FCDFA62">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SF2</w:t>
            </w:r>
          </w:p>
        </w:tc>
        <w:tc>
          <w:tcPr>
            <w:tcW w:w="4798" w:type="dxa"/>
            <w:tcBorders>
              <w:top w:val="nil"/>
              <w:left w:val="nil"/>
              <w:bottom w:val="nil"/>
              <w:right w:val="nil"/>
            </w:tcBorders>
            <w:shd w:val="clear" w:color="auto" w:fill="auto"/>
          </w:tcPr>
          <w:p w14:paraId="0B1D68A6">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power imbalance between physicians and suppliers</w:t>
            </w:r>
          </w:p>
        </w:tc>
        <w:tc>
          <w:tcPr>
            <w:tcW w:w="2841" w:type="dxa"/>
            <w:tcBorders>
              <w:top w:val="nil"/>
              <w:left w:val="nil"/>
              <w:bottom w:val="nil"/>
              <w:right w:val="nil"/>
            </w:tcBorders>
            <w:shd w:val="clear" w:color="auto" w:fill="auto"/>
          </w:tcPr>
          <w:p w14:paraId="31DBCF7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r w14:paraId="3F22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3" w:type="dxa"/>
            <w:tcBorders>
              <w:top w:val="nil"/>
              <w:left w:val="nil"/>
              <w:bottom w:val="nil"/>
              <w:right w:val="nil"/>
            </w:tcBorders>
            <w:shd w:val="clear" w:color="auto" w:fill="auto"/>
          </w:tcPr>
          <w:p w14:paraId="42EBEC3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SF3</w:t>
            </w:r>
          </w:p>
        </w:tc>
        <w:tc>
          <w:tcPr>
            <w:tcW w:w="4798" w:type="dxa"/>
            <w:tcBorders>
              <w:top w:val="nil"/>
              <w:left w:val="nil"/>
              <w:bottom w:val="nil"/>
              <w:right w:val="nil"/>
            </w:tcBorders>
            <w:shd w:val="clear" w:color="auto" w:fill="auto"/>
          </w:tcPr>
          <w:p w14:paraId="02A2808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"red envelope culture," the normalization of informal payments, and their psychological rationalization</w:t>
            </w:r>
          </w:p>
        </w:tc>
        <w:tc>
          <w:tcPr>
            <w:tcW w:w="2841" w:type="dxa"/>
            <w:tcBorders>
              <w:top w:val="nil"/>
              <w:left w:val="nil"/>
              <w:bottom w:val="nil"/>
              <w:right w:val="nil"/>
            </w:tcBorders>
            <w:shd w:val="clear" w:color="auto" w:fill="auto"/>
          </w:tcPr>
          <w:p w14:paraId="5B38485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Document</w:t>
            </w:r>
          </w:p>
        </w:tc>
      </w:tr>
      <w:tr w14:paraId="6EDD7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83" w:type="dxa"/>
            <w:tcBorders>
              <w:top w:val="nil"/>
              <w:left w:val="nil"/>
              <w:bottom w:val="single" w:color="000000" w:sz="12" w:space="0"/>
              <w:right w:val="nil"/>
            </w:tcBorders>
            <w:shd w:val="clear" w:color="auto" w:fill="auto"/>
          </w:tcPr>
          <w:p w14:paraId="501115F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SF4</w:t>
            </w:r>
          </w:p>
        </w:tc>
        <w:tc>
          <w:tcPr>
            <w:tcW w:w="4798" w:type="dxa"/>
            <w:tcBorders>
              <w:top w:val="nil"/>
              <w:left w:val="nil"/>
              <w:bottom w:val="single" w:color="000000" w:sz="12" w:space="0"/>
              <w:right w:val="nil"/>
            </w:tcBorders>
            <w:shd w:val="clear" w:color="auto" w:fill="auto"/>
          </w:tcPr>
          <w:p w14:paraId="71E554E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rapid growth and irrationality of public demand</w:t>
            </w:r>
          </w:p>
        </w:tc>
        <w:tc>
          <w:tcPr>
            <w:tcW w:w="2841" w:type="dxa"/>
            <w:tcBorders>
              <w:top w:val="nil"/>
              <w:left w:val="nil"/>
              <w:bottom w:val="single" w:color="000000" w:sz="12" w:space="0"/>
              <w:right w:val="nil"/>
            </w:tcBorders>
            <w:shd w:val="clear" w:color="auto" w:fill="auto"/>
          </w:tcPr>
          <w:p w14:paraId="14346483">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Document</w:t>
            </w:r>
          </w:p>
        </w:tc>
      </w:tr>
    </w:tbl>
    <w:p w14:paraId="50070ECE">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p w14:paraId="49586920">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3.4 Technical Factors</w:t>
      </w:r>
    </w:p>
    <w:tbl>
      <w:tblPr>
        <w:tblStyle w:val="8"/>
        <w:tblpPr w:leftFromText="180" w:rightFromText="180" w:vertAnchor="text" w:horzAnchor="page" w:tblpX="1755" w:tblpY="22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4778"/>
        <w:gridCol w:w="2816"/>
      </w:tblGrid>
      <w:tr w14:paraId="20AA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54" w:type="dxa"/>
            <w:tcBorders>
              <w:top w:val="single" w:color="000000" w:sz="12" w:space="0"/>
              <w:left w:val="nil"/>
              <w:bottom w:val="single" w:color="000000" w:sz="4" w:space="0"/>
              <w:right w:val="nil"/>
              <w:tl2br w:val="nil"/>
            </w:tcBorders>
            <w:shd w:val="clear" w:color="auto" w:fill="auto"/>
          </w:tcPr>
          <w:p w14:paraId="34B085CD">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number</w:t>
            </w:r>
          </w:p>
        </w:tc>
        <w:tc>
          <w:tcPr>
            <w:tcW w:w="4827" w:type="dxa"/>
            <w:tcBorders>
              <w:top w:val="single" w:color="000000" w:sz="12" w:space="0"/>
              <w:left w:val="nil"/>
              <w:bottom w:val="single" w:color="000000" w:sz="4" w:space="0"/>
              <w:right w:val="nil"/>
            </w:tcBorders>
            <w:shd w:val="clear" w:color="auto" w:fill="auto"/>
          </w:tcPr>
          <w:p w14:paraId="5BE16865">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Factor Description</w:t>
            </w:r>
          </w:p>
        </w:tc>
        <w:tc>
          <w:tcPr>
            <w:tcW w:w="2841" w:type="dxa"/>
            <w:tcBorders>
              <w:top w:val="single" w:color="000000" w:sz="12" w:space="0"/>
              <w:left w:val="nil"/>
              <w:bottom w:val="single" w:color="000000" w:sz="4" w:space="0"/>
              <w:right w:val="nil"/>
            </w:tcBorders>
            <w:shd w:val="clear" w:color="auto" w:fill="auto"/>
          </w:tcPr>
          <w:p w14:paraId="0247DFE7">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Source Type</w:t>
            </w:r>
          </w:p>
        </w:tc>
      </w:tr>
      <w:tr w14:paraId="0CE8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tcBorders>
              <w:top w:val="single" w:color="000000" w:sz="4" w:space="0"/>
              <w:left w:val="nil"/>
              <w:bottom w:val="nil"/>
              <w:right w:val="nil"/>
            </w:tcBorders>
            <w:shd w:val="clear" w:color="auto" w:fill="auto"/>
          </w:tcPr>
          <w:p w14:paraId="37D901A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TF1</w:t>
            </w:r>
          </w:p>
        </w:tc>
        <w:tc>
          <w:tcPr>
            <w:tcW w:w="4827" w:type="dxa"/>
            <w:tcBorders>
              <w:top w:val="single" w:color="000000" w:sz="4" w:space="0"/>
              <w:left w:val="nil"/>
              <w:bottom w:val="nil"/>
              <w:right w:val="nil"/>
            </w:tcBorders>
            <w:shd w:val="clear" w:color="auto" w:fill="auto"/>
          </w:tcPr>
          <w:p w14:paraId="1444CA6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 development of medical consumables lags behind, while certain precision medical devices remain heavily dependent on imports, thereby increasing procurement risks.</w:t>
            </w:r>
          </w:p>
        </w:tc>
        <w:tc>
          <w:tcPr>
            <w:tcW w:w="2841" w:type="dxa"/>
            <w:tcBorders>
              <w:top w:val="single" w:color="000000" w:sz="4" w:space="0"/>
              <w:left w:val="nil"/>
              <w:bottom w:val="nil"/>
              <w:right w:val="nil"/>
            </w:tcBorders>
            <w:shd w:val="clear" w:color="auto" w:fill="auto"/>
          </w:tcPr>
          <w:p w14:paraId="0FDA607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r w14:paraId="26E8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tcBorders>
              <w:top w:val="nil"/>
              <w:left w:val="nil"/>
              <w:bottom w:val="nil"/>
              <w:right w:val="nil"/>
            </w:tcBorders>
            <w:shd w:val="clear" w:color="auto" w:fill="auto"/>
          </w:tcPr>
          <w:p w14:paraId="09083A23">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TF2</w:t>
            </w:r>
          </w:p>
        </w:tc>
        <w:tc>
          <w:tcPr>
            <w:tcW w:w="4827" w:type="dxa"/>
            <w:tcBorders>
              <w:top w:val="nil"/>
              <w:left w:val="nil"/>
              <w:bottom w:val="nil"/>
              <w:right w:val="nil"/>
            </w:tcBorders>
            <w:shd w:val="clear" w:color="auto" w:fill="auto"/>
          </w:tcPr>
          <w:p w14:paraId="5FCA7A0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Fragmented R&amp;D collaboration mechanisms</w:t>
            </w:r>
          </w:p>
        </w:tc>
        <w:tc>
          <w:tcPr>
            <w:tcW w:w="2841" w:type="dxa"/>
            <w:tcBorders>
              <w:top w:val="nil"/>
              <w:left w:val="nil"/>
              <w:bottom w:val="nil"/>
              <w:right w:val="nil"/>
            </w:tcBorders>
            <w:shd w:val="clear" w:color="auto" w:fill="auto"/>
          </w:tcPr>
          <w:p w14:paraId="3BF65EFB">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Policy + Expert Exchange</w:t>
            </w:r>
          </w:p>
        </w:tc>
      </w:tr>
      <w:tr w14:paraId="663F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tcBorders>
              <w:top w:val="nil"/>
              <w:left w:val="nil"/>
              <w:bottom w:val="nil"/>
              <w:right w:val="nil"/>
            </w:tcBorders>
            <w:shd w:val="clear" w:color="auto" w:fill="auto"/>
          </w:tcPr>
          <w:p w14:paraId="3C513DE3">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TF3</w:t>
            </w:r>
          </w:p>
        </w:tc>
        <w:tc>
          <w:tcPr>
            <w:tcW w:w="4827" w:type="dxa"/>
            <w:tcBorders>
              <w:top w:val="nil"/>
              <w:left w:val="nil"/>
              <w:bottom w:val="nil"/>
              <w:right w:val="nil"/>
            </w:tcBorders>
            <w:shd w:val="clear" w:color="auto" w:fill="auto"/>
          </w:tcPr>
          <w:p w14:paraId="27FAA1E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Collaborative policies and institutional frameworks are inadequate.</w:t>
            </w:r>
          </w:p>
        </w:tc>
        <w:tc>
          <w:tcPr>
            <w:tcW w:w="2841" w:type="dxa"/>
            <w:tcBorders>
              <w:top w:val="nil"/>
              <w:left w:val="nil"/>
              <w:bottom w:val="nil"/>
              <w:right w:val="nil"/>
            </w:tcBorders>
            <w:shd w:val="clear" w:color="auto" w:fill="auto"/>
          </w:tcPr>
          <w:p w14:paraId="600621F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r w14:paraId="1ED9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4" w:type="dxa"/>
            <w:tcBorders>
              <w:top w:val="nil"/>
              <w:left w:val="nil"/>
              <w:bottom w:val="single" w:color="000000" w:sz="12" w:space="0"/>
              <w:right w:val="nil"/>
            </w:tcBorders>
            <w:shd w:val="clear" w:color="auto" w:fill="auto"/>
          </w:tcPr>
          <w:p w14:paraId="7503623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TF4</w:t>
            </w:r>
          </w:p>
        </w:tc>
        <w:tc>
          <w:tcPr>
            <w:tcW w:w="4827" w:type="dxa"/>
            <w:tcBorders>
              <w:top w:val="nil"/>
              <w:left w:val="nil"/>
              <w:bottom w:val="single" w:color="000000" w:sz="12" w:space="0"/>
              <w:right w:val="nil"/>
            </w:tcBorders>
            <w:shd w:val="clear" w:color="auto" w:fill="auto"/>
          </w:tcPr>
          <w:p w14:paraId="48D91F05">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Medical consumables lack comprehensive digital traceability capabilities across their entire supply chain, while regulatory systems lag behind increasingly sophisticated forms of corruption.</w:t>
            </w:r>
          </w:p>
        </w:tc>
        <w:tc>
          <w:tcPr>
            <w:tcW w:w="2841" w:type="dxa"/>
            <w:tcBorders>
              <w:top w:val="nil"/>
              <w:left w:val="nil"/>
              <w:bottom w:val="single" w:color="000000" w:sz="12" w:space="0"/>
              <w:right w:val="nil"/>
            </w:tcBorders>
            <w:shd w:val="clear" w:color="auto" w:fill="auto"/>
          </w:tcPr>
          <w:p w14:paraId="56561A0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Document</w:t>
            </w:r>
          </w:p>
        </w:tc>
      </w:tr>
    </w:tbl>
    <w:p w14:paraId="6D308016">
      <w:pPr>
        <w:rPr>
          <w:rFonts w:hint="default" w:ascii="Times New Roman" w:hAnsi="Times New Roman" w:cs="Times New Roman"/>
          <w:lang w:val="en-US" w:eastAsia="zh-CN"/>
        </w:rPr>
      </w:pPr>
    </w:p>
    <w:p w14:paraId="000BE0DC">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3.5 Environmental Factors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928"/>
        <w:gridCol w:w="4784"/>
        <w:gridCol w:w="2810"/>
      </w:tblGrid>
      <w:tr w14:paraId="5FCF3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37" w:type="dxa"/>
            <w:tcBorders>
              <w:top w:val="single" w:color="000000" w:sz="12" w:space="0"/>
              <w:left w:val="nil"/>
              <w:bottom w:val="single" w:color="000000" w:sz="4" w:space="0"/>
              <w:right w:val="nil"/>
              <w:tl2br w:val="nil"/>
            </w:tcBorders>
            <w:shd w:val="clear" w:color="auto" w:fill="auto"/>
          </w:tcPr>
          <w:p w14:paraId="5EA376E6">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number</w:t>
            </w:r>
          </w:p>
        </w:tc>
        <w:tc>
          <w:tcPr>
            <w:tcW w:w="4844" w:type="dxa"/>
            <w:tcBorders>
              <w:top w:val="single" w:color="000000" w:sz="12" w:space="0"/>
              <w:left w:val="nil"/>
              <w:bottom w:val="single" w:color="000000" w:sz="4" w:space="0"/>
              <w:right w:val="nil"/>
            </w:tcBorders>
            <w:shd w:val="clear" w:color="auto" w:fill="auto"/>
          </w:tcPr>
          <w:p w14:paraId="047BBC1B">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Factor Description</w:t>
            </w:r>
          </w:p>
        </w:tc>
        <w:tc>
          <w:tcPr>
            <w:tcW w:w="2841" w:type="dxa"/>
            <w:tcBorders>
              <w:top w:val="single" w:color="000000" w:sz="12" w:space="0"/>
              <w:left w:val="nil"/>
              <w:bottom w:val="single" w:color="000000" w:sz="4" w:space="0"/>
              <w:right w:val="nil"/>
            </w:tcBorders>
            <w:shd w:val="clear" w:color="auto" w:fill="auto"/>
          </w:tcPr>
          <w:p w14:paraId="088CB554">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Source Type</w:t>
            </w:r>
          </w:p>
        </w:tc>
      </w:tr>
      <w:tr w14:paraId="38E83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single" w:color="000000" w:sz="4" w:space="0"/>
              <w:left w:val="nil"/>
              <w:bottom w:val="nil"/>
              <w:right w:val="nil"/>
            </w:tcBorders>
            <w:shd w:val="clear" w:color="auto" w:fill="auto"/>
          </w:tcPr>
          <w:p w14:paraId="1623DA4E">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ENF1</w:t>
            </w:r>
          </w:p>
        </w:tc>
        <w:tc>
          <w:tcPr>
            <w:tcW w:w="4844" w:type="dxa"/>
            <w:tcBorders>
              <w:top w:val="single" w:color="000000" w:sz="4" w:space="0"/>
              <w:left w:val="nil"/>
              <w:bottom w:val="nil"/>
              <w:right w:val="nil"/>
            </w:tcBorders>
            <w:shd w:val="clear" w:color="auto" w:fill="auto"/>
          </w:tcPr>
          <w:p w14:paraId="637264D4">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Regulatory gaps in industry standards</w:t>
            </w:r>
          </w:p>
        </w:tc>
        <w:tc>
          <w:tcPr>
            <w:tcW w:w="2841" w:type="dxa"/>
            <w:tcBorders>
              <w:top w:val="single" w:color="000000" w:sz="4" w:space="0"/>
              <w:left w:val="nil"/>
              <w:bottom w:val="nil"/>
              <w:right w:val="nil"/>
            </w:tcBorders>
            <w:shd w:val="clear" w:color="auto" w:fill="auto"/>
          </w:tcPr>
          <w:p w14:paraId="22924CA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Literature Review + Expert Exchange</w:t>
            </w:r>
          </w:p>
        </w:tc>
      </w:tr>
      <w:tr w14:paraId="4854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7" w:type="dxa"/>
            <w:tcBorders>
              <w:top w:val="nil"/>
              <w:left w:val="nil"/>
              <w:bottom w:val="single" w:color="000000" w:sz="12" w:space="0"/>
              <w:right w:val="nil"/>
            </w:tcBorders>
            <w:shd w:val="clear" w:color="auto" w:fill="auto"/>
          </w:tcPr>
          <w:p w14:paraId="7C7FCDAB">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ENF2</w:t>
            </w:r>
          </w:p>
        </w:tc>
        <w:tc>
          <w:tcPr>
            <w:tcW w:w="4844" w:type="dxa"/>
            <w:tcBorders>
              <w:top w:val="nil"/>
              <w:left w:val="nil"/>
              <w:bottom w:val="single" w:color="000000" w:sz="12" w:space="0"/>
              <w:right w:val="nil"/>
            </w:tcBorders>
            <w:shd w:val="clear" w:color="auto" w:fill="auto"/>
          </w:tcPr>
          <w:p w14:paraId="5BD3A53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There is a lack of mature, standardized benefit assessment mechanisms for both single-use and reusable consumables.</w:t>
            </w:r>
          </w:p>
        </w:tc>
        <w:tc>
          <w:tcPr>
            <w:tcW w:w="2841" w:type="dxa"/>
            <w:tcBorders>
              <w:top w:val="nil"/>
              <w:left w:val="nil"/>
              <w:bottom w:val="single" w:color="000000" w:sz="12" w:space="0"/>
              <w:right w:val="nil"/>
            </w:tcBorders>
            <w:shd w:val="clear" w:color="auto" w:fill="auto"/>
          </w:tcPr>
          <w:p w14:paraId="2114C7EE">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Expert Exchange</w:t>
            </w:r>
          </w:p>
        </w:tc>
      </w:tr>
    </w:tbl>
    <w:p w14:paraId="67FB27B2">
      <w:pPr>
        <w:rPr>
          <w:rFonts w:hint="default" w:ascii="Times New Roman" w:hAnsi="Times New Roman" w:cs="Times New Roman"/>
          <w:lang w:val="en-US" w:eastAsia="zh-CN"/>
        </w:rPr>
      </w:pPr>
    </w:p>
    <w:p w14:paraId="30B4306C">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3.6 Legal Factors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4788"/>
        <w:gridCol w:w="2806"/>
      </w:tblGrid>
      <w:tr w14:paraId="65345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14:paraId="491D943A">
            <w:pPr>
              <w:rPr>
                <w:rFonts w:hint="default" w:ascii="Times New Roman" w:hAnsi="Times New Roman" w:cs="Times New Roman"/>
                <w:b/>
                <w:bCs/>
                <w:vertAlign w:val="baseline"/>
                <w:lang w:val="en-US" w:eastAsia="zh-CN"/>
              </w:rPr>
            </w:pPr>
            <w:r>
              <w:rPr>
                <w:rFonts w:hint="eastAsia" w:ascii="Times New Roman" w:hAnsi="Times New Roman" w:eastAsia="微软雅黑" w:cs="Times New Roman"/>
                <w:b/>
                <w:bCs/>
                <w:kern w:val="2"/>
                <w:sz w:val="21"/>
                <w:szCs w:val="24"/>
                <w:lang w:val="en-US" w:eastAsia="zh-CN" w:bidi="ar-SA"/>
              </w:rPr>
              <w:t>number</w:t>
            </w:r>
          </w:p>
        </w:tc>
        <w:tc>
          <w:tcPr>
            <w:tcW w:w="4858" w:type="dxa"/>
          </w:tcPr>
          <w:p w14:paraId="3791984F">
            <w:pPr>
              <w:rPr>
                <w:rFonts w:hint="default" w:ascii="Times New Roman" w:hAnsi="Times New Roman" w:cs="Times New Roman"/>
                <w:b/>
                <w:bCs/>
                <w:vertAlign w:val="baseline"/>
                <w:lang w:val="en-US" w:eastAsia="zh-CN"/>
              </w:rPr>
            </w:pPr>
            <w:r>
              <w:rPr>
                <w:rFonts w:hint="eastAsia" w:ascii="Times New Roman" w:hAnsi="Times New Roman" w:eastAsia="微软雅黑" w:cs="Times New Roman"/>
                <w:b/>
                <w:bCs/>
                <w:kern w:val="2"/>
                <w:sz w:val="21"/>
                <w:szCs w:val="24"/>
                <w:lang w:val="en-US" w:eastAsia="zh-CN" w:bidi="ar-SA"/>
              </w:rPr>
              <w:t>Factor Description</w:t>
            </w:r>
          </w:p>
        </w:tc>
        <w:tc>
          <w:tcPr>
            <w:tcW w:w="2841" w:type="dxa"/>
          </w:tcPr>
          <w:p w14:paraId="251DB28C">
            <w:pPr>
              <w:rPr>
                <w:rFonts w:hint="default" w:ascii="Times New Roman" w:hAnsi="Times New Roman" w:cs="Times New Roman"/>
                <w:b/>
                <w:bCs/>
                <w:vertAlign w:val="baseline"/>
                <w:lang w:val="en-US" w:eastAsia="zh-CN"/>
              </w:rPr>
            </w:pPr>
            <w:r>
              <w:rPr>
                <w:rFonts w:hint="eastAsia" w:ascii="Times New Roman" w:hAnsi="Times New Roman" w:eastAsia="微软雅黑" w:cs="Times New Roman"/>
                <w:b/>
                <w:bCs/>
                <w:kern w:val="2"/>
                <w:sz w:val="21"/>
                <w:szCs w:val="24"/>
                <w:lang w:val="en-US" w:eastAsia="zh-CN" w:bidi="ar-SA"/>
              </w:rPr>
              <w:t>Source Type</w:t>
            </w:r>
          </w:p>
        </w:tc>
      </w:tr>
      <w:tr w14:paraId="60D8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14:paraId="67006F23">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LF1</w:t>
            </w:r>
            <w:r>
              <w:rPr>
                <w:rFonts w:hint="eastAsia" w:ascii="Times New Roman" w:hAnsi="Times New Roman" w:eastAsia="微软雅黑" w:cs="Times New Roman"/>
                <w:kern w:val="2"/>
                <w:sz w:val="21"/>
                <w:szCs w:val="24"/>
                <w:lang w:val="en-US" w:eastAsia="zh-CN" w:bidi="ar-SA"/>
              </w:rPr>
              <w:tab/>
            </w:r>
          </w:p>
        </w:tc>
        <w:tc>
          <w:tcPr>
            <w:tcW w:w="4858" w:type="dxa"/>
          </w:tcPr>
          <w:p w14:paraId="74F65614">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The cost of corruption and illegal activities is relatively lower than the potential benefits.</w:t>
            </w:r>
          </w:p>
        </w:tc>
        <w:tc>
          <w:tcPr>
            <w:tcW w:w="2841" w:type="dxa"/>
          </w:tcPr>
          <w:p w14:paraId="6D4D117B">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Literature Review + Expert Exchange</w:t>
            </w:r>
          </w:p>
        </w:tc>
      </w:tr>
      <w:tr w14:paraId="5DA6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14:paraId="3B8BE0AB">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LF2</w:t>
            </w:r>
          </w:p>
        </w:tc>
        <w:tc>
          <w:tcPr>
            <w:tcW w:w="4858" w:type="dxa"/>
          </w:tcPr>
          <w:p w14:paraId="1863E762">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There is insufficient coordination between judicial judgments, administrative penalties, and professional qualification penalties.</w:t>
            </w:r>
          </w:p>
        </w:tc>
        <w:tc>
          <w:tcPr>
            <w:tcW w:w="2841" w:type="dxa"/>
          </w:tcPr>
          <w:p w14:paraId="7BDCDFA6">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Expert Exchange</w:t>
            </w:r>
          </w:p>
        </w:tc>
      </w:tr>
      <w:tr w14:paraId="5170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14:paraId="7E369FBB">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LF3</w:t>
            </w:r>
          </w:p>
        </w:tc>
        <w:tc>
          <w:tcPr>
            <w:tcW w:w="4858" w:type="dxa"/>
          </w:tcPr>
          <w:p w14:paraId="01536FD5">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The penalty provisions within medical ethics codes are relatively ambiguous.</w:t>
            </w:r>
          </w:p>
        </w:tc>
        <w:tc>
          <w:tcPr>
            <w:tcW w:w="2841" w:type="dxa"/>
          </w:tcPr>
          <w:p w14:paraId="10E5AA53">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Document</w:t>
            </w:r>
          </w:p>
        </w:tc>
      </w:tr>
      <w:tr w14:paraId="14F00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3" w:type="dxa"/>
          </w:tcPr>
          <w:p w14:paraId="4FBDD642">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LF4</w:t>
            </w:r>
          </w:p>
        </w:tc>
        <w:tc>
          <w:tcPr>
            <w:tcW w:w="4858" w:type="dxa"/>
          </w:tcPr>
          <w:p w14:paraId="48A53B0B">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Increasingly covert bribery methods used to circumvent the existing legal framework</w:t>
            </w:r>
          </w:p>
        </w:tc>
        <w:tc>
          <w:tcPr>
            <w:tcW w:w="2841" w:type="dxa"/>
          </w:tcPr>
          <w:p w14:paraId="34280B7A">
            <w:pPr>
              <w:rPr>
                <w:rFonts w:hint="default" w:ascii="Times New Roman" w:hAnsi="Times New Roman" w:cs="Times New Roman"/>
                <w:vertAlign w:val="baseline"/>
                <w:lang w:val="en-US" w:eastAsia="zh-CN"/>
              </w:rPr>
            </w:pPr>
            <w:r>
              <w:rPr>
                <w:rFonts w:hint="eastAsia" w:ascii="Times New Roman" w:hAnsi="Times New Roman" w:eastAsia="微软雅黑" w:cs="Times New Roman"/>
                <w:kern w:val="2"/>
                <w:sz w:val="21"/>
                <w:szCs w:val="24"/>
                <w:lang w:val="en-US" w:eastAsia="zh-CN" w:bidi="ar-SA"/>
              </w:rPr>
              <w:t>Document</w:t>
            </w:r>
          </w:p>
        </w:tc>
      </w:tr>
    </w:tbl>
    <w:p w14:paraId="519BFF5E">
      <w:pPr>
        <w:rPr>
          <w:rFonts w:hint="default" w:ascii="Times New Roman" w:hAnsi="Times New Roman" w:cs="Times New Roman"/>
          <w:lang w:val="en-US" w:eastAsia="zh-CN"/>
        </w:rPr>
      </w:pPr>
    </w:p>
    <w:p w14:paraId="1454C41A">
      <w:pPr>
        <w:rPr>
          <w:rFonts w:hint="default" w:ascii="Times New Roman" w:hAnsi="Times New Roman" w:cs="Times New Roman"/>
          <w:b/>
          <w:bCs/>
          <w:sz w:val="22"/>
          <w:szCs w:val="28"/>
          <w:lang w:val="en-US" w:eastAsia="zh-CN"/>
        </w:rPr>
      </w:pPr>
      <w:r>
        <w:rPr>
          <w:rFonts w:hint="eastAsia" w:ascii="Times New Roman" w:hAnsi="Times New Roman" w:eastAsia="微软雅黑" w:cs="Times New Roman"/>
          <w:b/>
          <w:bCs/>
          <w:kern w:val="2"/>
          <w:sz w:val="22"/>
          <w:szCs w:val="28"/>
          <w:lang w:val="en-US" w:eastAsia="zh-CN" w:bidi="ar-SA"/>
        </w:rPr>
        <w:t>4. Overview of Expert Consultation</w:t>
      </w:r>
    </w:p>
    <w:p w14:paraId="47778C22">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4.1 Summary of Consultation Expert Panel</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08"/>
        <w:gridCol w:w="928"/>
        <w:gridCol w:w="2460"/>
        <w:gridCol w:w="3426"/>
      </w:tblGrid>
      <w:tr w14:paraId="2A24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22" w:type="dxa"/>
            <w:tcBorders>
              <w:top w:val="single" w:color="000000" w:sz="12" w:space="0"/>
              <w:left w:val="nil"/>
              <w:bottom w:val="single" w:color="000000" w:sz="4" w:space="0"/>
              <w:right w:val="nil"/>
              <w:tl2br w:val="nil"/>
            </w:tcBorders>
            <w:shd w:val="clear" w:color="auto" w:fill="auto"/>
          </w:tcPr>
          <w:p w14:paraId="6AD56A1E">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class</w:t>
            </w:r>
          </w:p>
        </w:tc>
        <w:tc>
          <w:tcPr>
            <w:tcW w:w="744" w:type="dxa"/>
            <w:tcBorders>
              <w:top w:val="single" w:color="000000" w:sz="12" w:space="0"/>
              <w:left w:val="nil"/>
              <w:bottom w:val="single" w:color="000000" w:sz="4" w:space="0"/>
              <w:right w:val="nil"/>
            </w:tcBorders>
            <w:shd w:val="clear" w:color="auto" w:fill="auto"/>
          </w:tcPr>
          <w:p w14:paraId="6AB5F31D">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number of people</w:t>
            </w:r>
          </w:p>
        </w:tc>
        <w:tc>
          <w:tcPr>
            <w:tcW w:w="2511" w:type="dxa"/>
            <w:tcBorders>
              <w:top w:val="single" w:color="000000" w:sz="12" w:space="0"/>
              <w:left w:val="nil"/>
              <w:bottom w:val="single" w:color="000000" w:sz="4" w:space="0"/>
              <w:right w:val="nil"/>
            </w:tcBorders>
            <w:shd w:val="clear" w:color="auto" w:fill="auto"/>
          </w:tcPr>
          <w:p w14:paraId="0E309190">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Affiliated Institution</w:t>
            </w:r>
          </w:p>
        </w:tc>
        <w:tc>
          <w:tcPr>
            <w:tcW w:w="3545" w:type="dxa"/>
            <w:tcBorders>
              <w:top w:val="single" w:color="000000" w:sz="12" w:space="0"/>
              <w:left w:val="nil"/>
              <w:bottom w:val="single" w:color="000000" w:sz="4" w:space="0"/>
              <w:right w:val="nil"/>
            </w:tcBorders>
            <w:shd w:val="clear" w:color="auto" w:fill="auto"/>
          </w:tcPr>
          <w:p w14:paraId="5FCAFC1D">
            <w:pPr>
              <w:rPr>
                <w:rFonts w:hint="default" w:ascii="Times New Roman" w:hAnsi="Times New Roman" w:cs="Times New Roman"/>
                <w:b/>
                <w:bCs w:val="0"/>
                <w:color w:val="000000"/>
                <w:vertAlign w:val="baseline"/>
                <w:lang w:val="en-US" w:eastAsia="zh-CN"/>
              </w:rPr>
            </w:pPr>
            <w:r>
              <w:rPr>
                <w:rFonts w:hint="eastAsia" w:ascii="Times New Roman" w:hAnsi="Times New Roman" w:eastAsia="微软雅黑" w:cs="Times New Roman"/>
                <w:b/>
                <w:bCs w:val="0"/>
                <w:color w:val="000000"/>
                <w:kern w:val="2"/>
                <w:sz w:val="21"/>
                <w:szCs w:val="24"/>
                <w:lang w:val="en-US" w:eastAsia="zh-CN" w:bidi="ar-SA"/>
              </w:rPr>
              <w:t>professional field</w:t>
            </w:r>
          </w:p>
        </w:tc>
      </w:tr>
      <w:tr w14:paraId="2915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22" w:type="dxa"/>
            <w:tcBorders>
              <w:top w:val="single" w:color="000000" w:sz="4" w:space="0"/>
              <w:left w:val="nil"/>
              <w:bottom w:val="nil"/>
              <w:right w:val="nil"/>
            </w:tcBorders>
            <w:shd w:val="clear" w:color="auto" w:fill="auto"/>
          </w:tcPr>
          <w:p w14:paraId="74EF481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Hospital Administrators</w:t>
            </w:r>
          </w:p>
        </w:tc>
        <w:tc>
          <w:tcPr>
            <w:tcW w:w="744" w:type="dxa"/>
            <w:tcBorders>
              <w:top w:val="single" w:color="000000" w:sz="4" w:space="0"/>
              <w:left w:val="nil"/>
              <w:bottom w:val="nil"/>
              <w:right w:val="nil"/>
            </w:tcBorders>
            <w:shd w:val="clear" w:color="auto" w:fill="auto"/>
          </w:tcPr>
          <w:p w14:paraId="3349D4B1">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8</w:t>
            </w:r>
          </w:p>
        </w:tc>
        <w:tc>
          <w:tcPr>
            <w:tcW w:w="2511" w:type="dxa"/>
            <w:tcBorders>
              <w:top w:val="single" w:color="000000" w:sz="4" w:space="0"/>
              <w:left w:val="nil"/>
              <w:bottom w:val="nil"/>
              <w:right w:val="nil"/>
            </w:tcBorders>
            <w:shd w:val="clear" w:color="auto" w:fill="auto"/>
          </w:tcPr>
          <w:p w14:paraId="41F23FD7">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Grade III Public General Hospitals</w:t>
            </w:r>
          </w:p>
        </w:tc>
        <w:tc>
          <w:tcPr>
            <w:tcW w:w="3545" w:type="dxa"/>
            <w:tcBorders>
              <w:top w:val="single" w:color="000000" w:sz="4" w:space="0"/>
              <w:left w:val="nil"/>
              <w:bottom w:val="nil"/>
              <w:right w:val="nil"/>
            </w:tcBorders>
            <w:shd w:val="clear" w:color="auto" w:fill="auto"/>
          </w:tcPr>
          <w:p w14:paraId="624E76F0">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Procurement Management, Consumables Management, and Professional Conduct Improvement</w:t>
            </w:r>
          </w:p>
        </w:tc>
      </w:tr>
      <w:tr w14:paraId="5FFE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22" w:type="dxa"/>
            <w:tcBorders>
              <w:top w:val="nil"/>
              <w:left w:val="nil"/>
              <w:bottom w:val="nil"/>
              <w:right w:val="nil"/>
            </w:tcBorders>
            <w:shd w:val="clear" w:color="auto" w:fill="auto"/>
          </w:tcPr>
          <w:p w14:paraId="348C26DC">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Regulatory Officers</w:t>
            </w:r>
          </w:p>
        </w:tc>
        <w:tc>
          <w:tcPr>
            <w:tcW w:w="744" w:type="dxa"/>
            <w:tcBorders>
              <w:top w:val="nil"/>
              <w:left w:val="nil"/>
              <w:bottom w:val="nil"/>
              <w:right w:val="nil"/>
            </w:tcBorders>
            <w:shd w:val="clear" w:color="auto" w:fill="auto"/>
          </w:tcPr>
          <w:p w14:paraId="71292742">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3</w:t>
            </w:r>
          </w:p>
        </w:tc>
        <w:tc>
          <w:tcPr>
            <w:tcW w:w="2511" w:type="dxa"/>
            <w:tcBorders>
              <w:top w:val="nil"/>
              <w:left w:val="nil"/>
              <w:bottom w:val="nil"/>
              <w:right w:val="nil"/>
            </w:tcBorders>
            <w:shd w:val="clear" w:color="auto" w:fill="auto"/>
          </w:tcPr>
          <w:p w14:paraId="583BE3D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Beijing and Ningxia Medical Insurance Administrations</w:t>
            </w:r>
          </w:p>
        </w:tc>
        <w:tc>
          <w:tcPr>
            <w:tcW w:w="3545" w:type="dxa"/>
            <w:tcBorders>
              <w:top w:val="nil"/>
              <w:left w:val="nil"/>
              <w:bottom w:val="nil"/>
              <w:right w:val="nil"/>
            </w:tcBorders>
            <w:shd w:val="clear" w:color="auto" w:fill="auto"/>
          </w:tcPr>
          <w:p w14:paraId="4C78CC4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Consumable Supplies Policy and Price Regulation</w:t>
            </w:r>
          </w:p>
        </w:tc>
      </w:tr>
      <w:tr w14:paraId="04D8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22" w:type="dxa"/>
            <w:tcBorders>
              <w:top w:val="nil"/>
              <w:left w:val="nil"/>
              <w:bottom w:val="nil"/>
              <w:right w:val="nil"/>
            </w:tcBorders>
            <w:shd w:val="clear" w:color="auto" w:fill="auto"/>
          </w:tcPr>
          <w:p w14:paraId="2D33380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Researcher in Professional Ethics Development</w:t>
            </w:r>
          </w:p>
        </w:tc>
        <w:tc>
          <w:tcPr>
            <w:tcW w:w="744" w:type="dxa"/>
            <w:tcBorders>
              <w:top w:val="nil"/>
              <w:left w:val="nil"/>
              <w:bottom w:val="nil"/>
              <w:right w:val="nil"/>
            </w:tcBorders>
            <w:shd w:val="clear" w:color="auto" w:fill="auto"/>
          </w:tcPr>
          <w:p w14:paraId="7651635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2</w:t>
            </w:r>
          </w:p>
        </w:tc>
        <w:tc>
          <w:tcPr>
            <w:tcW w:w="2511" w:type="dxa"/>
            <w:tcBorders>
              <w:top w:val="nil"/>
              <w:left w:val="nil"/>
              <w:bottom w:val="nil"/>
              <w:right w:val="nil"/>
            </w:tcBorders>
            <w:shd w:val="clear" w:color="auto" w:fill="auto"/>
          </w:tcPr>
          <w:p w14:paraId="03BADED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National Health Commission</w:t>
            </w:r>
          </w:p>
        </w:tc>
        <w:tc>
          <w:tcPr>
            <w:tcW w:w="3545" w:type="dxa"/>
            <w:tcBorders>
              <w:top w:val="nil"/>
              <w:left w:val="nil"/>
              <w:bottom w:val="nil"/>
              <w:right w:val="nil"/>
            </w:tcBorders>
            <w:shd w:val="clear" w:color="auto" w:fill="auto"/>
          </w:tcPr>
          <w:p w14:paraId="6DD66FFB">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Industry Conduct Governance and Health Policy Analysis</w:t>
            </w:r>
          </w:p>
        </w:tc>
      </w:tr>
      <w:tr w14:paraId="5AE1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722" w:type="dxa"/>
            <w:tcBorders>
              <w:top w:val="nil"/>
              <w:left w:val="nil"/>
              <w:bottom w:val="single" w:color="000000" w:sz="12" w:space="0"/>
              <w:right w:val="nil"/>
            </w:tcBorders>
            <w:shd w:val="clear" w:color="auto" w:fill="auto"/>
          </w:tcPr>
          <w:p w14:paraId="6961A71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amount to</w:t>
            </w:r>
          </w:p>
        </w:tc>
        <w:tc>
          <w:tcPr>
            <w:tcW w:w="744" w:type="dxa"/>
            <w:tcBorders>
              <w:top w:val="nil"/>
              <w:left w:val="nil"/>
              <w:bottom w:val="single" w:color="000000" w:sz="12" w:space="0"/>
              <w:right w:val="nil"/>
            </w:tcBorders>
            <w:shd w:val="clear" w:color="auto" w:fill="auto"/>
          </w:tcPr>
          <w:p w14:paraId="5DFD2EC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vertAlign w:val="baseline"/>
                <w:lang w:val="en-US" w:eastAsia="zh-CN" w:bidi="ar-SA"/>
              </w:rPr>
              <w:t>13</w:t>
            </w:r>
          </w:p>
        </w:tc>
        <w:tc>
          <w:tcPr>
            <w:tcW w:w="2511" w:type="dxa"/>
            <w:tcBorders>
              <w:top w:val="nil"/>
              <w:left w:val="nil"/>
              <w:bottom w:val="single" w:color="000000" w:sz="12" w:space="0"/>
              <w:right w:val="nil"/>
            </w:tcBorders>
            <w:shd w:val="clear" w:color="auto" w:fill="auto"/>
          </w:tcPr>
          <w:p w14:paraId="1C4C6FF8">
            <w:pPr>
              <w:rPr>
                <w:rFonts w:hint="default" w:ascii="Times New Roman" w:hAnsi="Times New Roman" w:cs="Times New Roman"/>
                <w:b w:val="0"/>
                <w:color w:val="000000"/>
                <w:lang w:val="en-US" w:eastAsia="zh-CN"/>
              </w:rPr>
            </w:pPr>
          </w:p>
        </w:tc>
        <w:tc>
          <w:tcPr>
            <w:tcW w:w="3545" w:type="dxa"/>
            <w:tcBorders>
              <w:top w:val="nil"/>
              <w:left w:val="nil"/>
              <w:bottom w:val="single" w:color="000000" w:sz="12" w:space="0"/>
              <w:right w:val="nil"/>
            </w:tcBorders>
            <w:shd w:val="clear" w:color="auto" w:fill="auto"/>
          </w:tcPr>
          <w:p w14:paraId="20C3FAE9">
            <w:pPr>
              <w:rPr>
                <w:rFonts w:hint="default" w:ascii="Times New Roman" w:hAnsi="Times New Roman" w:cs="Times New Roman"/>
                <w:b w:val="0"/>
                <w:color w:val="000000"/>
                <w:lang w:val="en-US" w:eastAsia="zh-CN"/>
              </w:rPr>
            </w:pPr>
          </w:p>
        </w:tc>
      </w:tr>
    </w:tbl>
    <w:p w14:paraId="4554CA3F">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ab/>
      </w:r>
      <w:r>
        <w:rPr>
          <w:rFonts w:hint="eastAsia" w:ascii="Times New Roman" w:hAnsi="Times New Roman" w:eastAsia="微软雅黑" w:cs="Times New Roman"/>
          <w:kern w:val="2"/>
          <w:sz w:val="21"/>
          <w:szCs w:val="24"/>
          <w:lang w:val="en-US" w:eastAsia="zh-CN" w:bidi="ar-SA"/>
        </w:rPr>
        <w:tab/>
      </w:r>
    </w:p>
    <w:p w14:paraId="4F45477A">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4.2 Consultation Methods</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01"/>
        <w:gridCol w:w="1156"/>
        <w:gridCol w:w="6065"/>
      </w:tblGrid>
      <w:tr w14:paraId="3146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7" w:type="dxa"/>
            <w:tcBorders>
              <w:top w:val="single" w:color="000000" w:sz="12" w:space="0"/>
              <w:left w:val="nil"/>
              <w:bottom w:val="single" w:color="000000" w:sz="4" w:space="0"/>
              <w:right w:val="nil"/>
              <w:tl2br w:val="nil"/>
            </w:tcBorders>
            <w:shd w:val="clear" w:color="auto" w:fill="auto"/>
          </w:tcPr>
          <w:p w14:paraId="3CCF25DB">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way</w:t>
            </w:r>
          </w:p>
        </w:tc>
        <w:tc>
          <w:tcPr>
            <w:tcW w:w="1156" w:type="dxa"/>
            <w:tcBorders>
              <w:top w:val="single" w:color="000000" w:sz="12" w:space="0"/>
              <w:left w:val="nil"/>
              <w:bottom w:val="single" w:color="000000" w:sz="4" w:space="0"/>
              <w:right w:val="nil"/>
            </w:tcBorders>
            <w:shd w:val="clear" w:color="auto" w:fill="auto"/>
          </w:tcPr>
          <w:p w14:paraId="3A220C9D">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frequency</w:t>
            </w:r>
          </w:p>
        </w:tc>
        <w:tc>
          <w:tcPr>
            <w:tcW w:w="6089" w:type="dxa"/>
            <w:tcBorders>
              <w:top w:val="single" w:color="000000" w:sz="12" w:space="0"/>
              <w:left w:val="nil"/>
              <w:bottom w:val="single" w:color="000000" w:sz="4" w:space="0"/>
              <w:right w:val="nil"/>
            </w:tcBorders>
            <w:shd w:val="clear" w:color="auto" w:fill="auto"/>
          </w:tcPr>
          <w:p w14:paraId="2D6A87F7">
            <w:pPr>
              <w:rPr>
                <w:rFonts w:hint="default" w:ascii="Times New Roman" w:hAnsi="Times New Roman" w:cs="Times New Roman"/>
                <w:b/>
                <w:bCs/>
                <w:color w:val="000000"/>
                <w:vertAlign w:val="baseline"/>
                <w:lang w:val="en-US" w:eastAsia="zh-CN"/>
              </w:rPr>
            </w:pPr>
            <w:r>
              <w:rPr>
                <w:rFonts w:hint="eastAsia" w:ascii="Times New Roman" w:hAnsi="Times New Roman" w:eastAsia="微软雅黑" w:cs="Times New Roman"/>
                <w:b/>
                <w:bCs/>
                <w:color w:val="000000"/>
                <w:kern w:val="2"/>
                <w:sz w:val="21"/>
                <w:szCs w:val="24"/>
                <w:lang w:val="en-US" w:eastAsia="zh-CN" w:bidi="ar-SA"/>
              </w:rPr>
              <w:t>description</w:t>
            </w:r>
          </w:p>
        </w:tc>
      </w:tr>
      <w:tr w14:paraId="626E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7" w:type="dxa"/>
            <w:tcBorders>
              <w:top w:val="single" w:color="000000" w:sz="4" w:space="0"/>
              <w:left w:val="nil"/>
              <w:bottom w:val="nil"/>
              <w:right w:val="nil"/>
            </w:tcBorders>
            <w:shd w:val="clear" w:color="auto" w:fill="auto"/>
          </w:tcPr>
          <w:p w14:paraId="017A30B9">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Participatory Observation</w:t>
            </w:r>
          </w:p>
        </w:tc>
        <w:tc>
          <w:tcPr>
            <w:tcW w:w="1156" w:type="dxa"/>
            <w:tcBorders>
              <w:top w:val="single" w:color="000000" w:sz="4" w:space="0"/>
              <w:left w:val="nil"/>
              <w:bottom w:val="nil"/>
              <w:right w:val="nil"/>
            </w:tcBorders>
            <w:shd w:val="clear" w:color="auto" w:fill="auto"/>
          </w:tcPr>
          <w:p w14:paraId="3D262876">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Continued</w:t>
            </w:r>
          </w:p>
        </w:tc>
        <w:tc>
          <w:tcPr>
            <w:tcW w:w="6089" w:type="dxa"/>
            <w:tcBorders>
              <w:top w:val="single" w:color="000000" w:sz="4" w:space="0"/>
              <w:left w:val="nil"/>
              <w:bottom w:val="nil"/>
              <w:right w:val="nil"/>
            </w:tcBorders>
            <w:shd w:val="clear" w:color="auto" w:fill="auto"/>
          </w:tcPr>
          <w:p w14:paraId="19BD22B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Observations made by members of the research team during their routine participation in policy discussions and on-site hospital visits</w:t>
            </w:r>
          </w:p>
        </w:tc>
      </w:tr>
      <w:tr w14:paraId="6CB9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7" w:type="dxa"/>
            <w:tcBorders>
              <w:top w:val="nil"/>
              <w:left w:val="nil"/>
              <w:bottom w:val="nil"/>
              <w:right w:val="nil"/>
            </w:tcBorders>
            <w:shd w:val="clear" w:color="auto" w:fill="auto"/>
          </w:tcPr>
          <w:p w14:paraId="0DDFE2CF">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panel discussion</w:t>
            </w:r>
          </w:p>
        </w:tc>
        <w:tc>
          <w:tcPr>
            <w:tcW w:w="1156" w:type="dxa"/>
            <w:tcBorders>
              <w:top w:val="nil"/>
              <w:left w:val="nil"/>
              <w:bottom w:val="nil"/>
              <w:right w:val="nil"/>
            </w:tcBorders>
            <w:shd w:val="clear" w:color="auto" w:fill="auto"/>
          </w:tcPr>
          <w:p w14:paraId="01A4D2F3">
            <w:pPr>
              <w:ind w:firstLine="420" w:firstLineChars="200"/>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26 times</w:t>
            </w:r>
          </w:p>
        </w:tc>
        <w:tc>
          <w:tcPr>
            <w:tcW w:w="6089" w:type="dxa"/>
            <w:tcBorders>
              <w:top w:val="nil"/>
              <w:left w:val="nil"/>
              <w:bottom w:val="nil"/>
              <w:right w:val="nil"/>
            </w:tcBorders>
            <w:shd w:val="clear" w:color="auto" w:fill="auto"/>
          </w:tcPr>
          <w:p w14:paraId="6E7C558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Small-group discussions during forums and academic conferences</w:t>
            </w:r>
          </w:p>
        </w:tc>
      </w:tr>
      <w:tr w14:paraId="23C1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7" w:type="dxa"/>
            <w:tcBorders>
              <w:top w:val="nil"/>
              <w:left w:val="nil"/>
              <w:bottom w:val="nil"/>
              <w:right w:val="nil"/>
            </w:tcBorders>
            <w:shd w:val="clear" w:color="auto" w:fill="auto"/>
          </w:tcPr>
          <w:p w14:paraId="5ADCAF86">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Feedback Session</w:t>
            </w:r>
          </w:p>
        </w:tc>
        <w:tc>
          <w:tcPr>
            <w:tcW w:w="1156" w:type="dxa"/>
            <w:tcBorders>
              <w:top w:val="nil"/>
              <w:left w:val="nil"/>
              <w:bottom w:val="nil"/>
              <w:right w:val="nil"/>
            </w:tcBorders>
            <w:shd w:val="clear" w:color="auto" w:fill="auto"/>
          </w:tcPr>
          <w:p w14:paraId="377AB40A">
            <w:pPr>
              <w:ind w:firstLine="420" w:firstLineChars="200"/>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9 times</w:t>
            </w:r>
          </w:p>
        </w:tc>
        <w:tc>
          <w:tcPr>
            <w:tcW w:w="6089" w:type="dxa"/>
            <w:tcBorders>
              <w:top w:val="nil"/>
              <w:left w:val="nil"/>
              <w:bottom w:val="nil"/>
              <w:right w:val="nil"/>
            </w:tcBorders>
            <w:shd w:val="clear" w:color="auto" w:fill="auto"/>
          </w:tcPr>
          <w:p w14:paraId="6A6D8D58">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Feedback exchange following the on-site hospital inspection</w:t>
            </w:r>
          </w:p>
        </w:tc>
      </w:tr>
      <w:tr w14:paraId="4C73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277" w:type="dxa"/>
            <w:tcBorders>
              <w:top w:val="nil"/>
              <w:left w:val="nil"/>
              <w:bottom w:val="single" w:color="000000" w:sz="12" w:space="0"/>
              <w:right w:val="nil"/>
            </w:tcBorders>
            <w:shd w:val="clear" w:color="auto" w:fill="auto"/>
          </w:tcPr>
          <w:p w14:paraId="4C86106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Informal Consultation</w:t>
            </w:r>
          </w:p>
        </w:tc>
        <w:tc>
          <w:tcPr>
            <w:tcW w:w="1156" w:type="dxa"/>
            <w:tcBorders>
              <w:top w:val="nil"/>
              <w:left w:val="nil"/>
              <w:bottom w:val="single" w:color="000000" w:sz="12" w:space="0"/>
              <w:right w:val="nil"/>
            </w:tcBorders>
            <w:shd w:val="clear" w:color="auto" w:fill="auto"/>
          </w:tcPr>
          <w:p w14:paraId="03D32EDA">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Continued</w:t>
            </w:r>
          </w:p>
        </w:tc>
        <w:tc>
          <w:tcPr>
            <w:tcW w:w="6089" w:type="dxa"/>
            <w:tcBorders>
              <w:top w:val="nil"/>
              <w:left w:val="nil"/>
              <w:bottom w:val="single" w:color="000000" w:sz="12" w:space="0"/>
              <w:right w:val="nil"/>
            </w:tcBorders>
            <w:shd w:val="clear" w:color="auto" w:fill="auto"/>
          </w:tcPr>
          <w:p w14:paraId="1319BE5D">
            <w:pPr>
              <w:rPr>
                <w:rFonts w:hint="default" w:ascii="Times New Roman" w:hAnsi="Times New Roman" w:cs="Times New Roman"/>
                <w:b w:val="0"/>
                <w:color w:val="000000"/>
                <w:vertAlign w:val="baseline"/>
                <w:lang w:val="en-US" w:eastAsia="zh-CN"/>
              </w:rPr>
            </w:pPr>
            <w:r>
              <w:rPr>
                <w:rFonts w:hint="eastAsia" w:ascii="Times New Roman" w:hAnsi="Times New Roman" w:eastAsia="微软雅黑" w:cs="Times New Roman"/>
                <w:b w:val="0"/>
                <w:color w:val="000000"/>
                <w:kern w:val="2"/>
                <w:sz w:val="21"/>
                <w:szCs w:val="24"/>
                <w:lang w:val="en-US" w:eastAsia="zh-CN" w:bidi="ar-SA"/>
              </w:rPr>
              <w:t>On-demand professional exchanges during daily work interactions</w:t>
            </w:r>
          </w:p>
        </w:tc>
      </w:tr>
    </w:tbl>
    <w:p w14:paraId="1721DC7C">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Consultation period: December 2020 – December 2025</w:t>
      </w:r>
    </w:p>
    <w:p w14:paraId="38169032">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Note-taking method: Immediately compile notes and analytical memos after each important discussion.</w:t>
      </w:r>
    </w:p>
    <w:p w14:paraId="09991B18">
      <w:pPr>
        <w:rPr>
          <w:rFonts w:hint="default" w:ascii="Times New Roman" w:hAnsi="Times New Roman" w:cs="Times New Roman"/>
          <w:lang w:val="en-US" w:eastAsia="zh-CN"/>
        </w:rPr>
      </w:pPr>
    </w:p>
    <w:p w14:paraId="62972FAE">
      <w:pPr>
        <w:rPr>
          <w:rFonts w:hint="eastAsia" w:ascii="Times New Roman" w:hAnsi="Times New Roman" w:eastAsia="微软雅黑" w:cs="Times New Roman"/>
          <w:b/>
          <w:bCs/>
          <w:kern w:val="2"/>
          <w:sz w:val="21"/>
          <w:szCs w:val="24"/>
          <w:lang w:val="en-US" w:eastAsia="zh-CN" w:bidi="ar-SA"/>
        </w:rPr>
        <w:sectPr>
          <w:pgSz w:w="11906" w:h="16838"/>
          <w:pgMar w:top="1440" w:right="1800" w:bottom="1440" w:left="1800" w:header="851" w:footer="992" w:gutter="0"/>
          <w:cols w:space="425" w:num="1"/>
          <w:docGrid w:type="lines" w:linePitch="312" w:charSpace="0"/>
        </w:sectPr>
      </w:pPr>
    </w:p>
    <w:p w14:paraId="3BD49792">
      <w:pPr>
        <w:rPr>
          <w:rFonts w:hint="default" w:ascii="Times New Roman" w:hAnsi="Times New Roman" w:cs="Times New Roman"/>
          <w:b/>
          <w:bCs/>
          <w:lang w:val="en-US" w:eastAsia="zh-CN"/>
        </w:rPr>
      </w:pPr>
      <w:r>
        <w:rPr>
          <w:rFonts w:hint="eastAsia" w:ascii="Times New Roman" w:hAnsi="Times New Roman" w:eastAsia="微软雅黑" w:cs="Times New Roman"/>
          <w:b/>
          <w:bCs/>
          <w:kern w:val="2"/>
          <w:sz w:val="21"/>
          <w:szCs w:val="24"/>
          <w:lang w:val="en-US" w:eastAsia="zh-CN" w:bidi="ar-SA"/>
        </w:rPr>
        <w:t>5. PESTEL Factor Dimensional Mapping Matrix</w:t>
      </w:r>
    </w:p>
    <w:tbl>
      <w:tblPr>
        <w:tblStyle w:val="7"/>
        <w:tblW w:w="142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816"/>
        <w:gridCol w:w="1309"/>
        <w:gridCol w:w="1487"/>
        <w:gridCol w:w="5786"/>
        <w:gridCol w:w="1842"/>
      </w:tblGrid>
      <w:tr w14:paraId="59F90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3816" w:type="dxa"/>
            <w:tcBorders>
              <w:top w:val="single" w:color="000000" w:sz="12" w:space="0"/>
              <w:bottom w:val="single" w:color="000000" w:sz="4" w:space="0"/>
              <w:tl2br w:val="nil"/>
            </w:tcBorders>
            <w:shd w:val="clear" w:color="auto" w:fill="auto"/>
            <w:tcMar>
              <w:top w:w="100" w:type="dxa"/>
              <w:left w:w="0" w:type="dxa"/>
              <w:bottom w:w="100" w:type="dxa"/>
              <w:right w:w="160" w:type="dxa"/>
            </w:tcMar>
            <w:vAlign w:val="center"/>
          </w:tcPr>
          <w:p w14:paraId="52F68E26">
            <w:pPr>
              <w:jc w:val="center"/>
              <w:rPr>
                <w:rFonts w:hint="default" w:ascii="Times New Roman" w:hAnsi="Times New Roman" w:cs="Times New Roman"/>
                <w:b/>
                <w:bCs w:val="0"/>
                <w:color w:val="000000"/>
                <w:lang w:val="en-US" w:eastAsia="zh-CN"/>
              </w:rPr>
            </w:pPr>
            <w:r>
              <w:rPr>
                <w:rFonts w:hint="eastAsia" w:ascii="Times New Roman" w:hAnsi="Times New Roman" w:eastAsia="微软雅黑" w:cs="Times New Roman"/>
                <w:b/>
                <w:bCs w:val="0"/>
                <w:color w:val="000000"/>
                <w:kern w:val="2"/>
                <w:sz w:val="21"/>
                <w:szCs w:val="24"/>
                <w:lang w:val="en-US" w:eastAsia="zh-CN" w:bidi="ar-SA"/>
              </w:rPr>
              <w:t>Extraction factors</w:t>
            </w:r>
          </w:p>
        </w:tc>
        <w:tc>
          <w:tcPr>
            <w:tcW w:w="1309" w:type="dxa"/>
            <w:tcBorders>
              <w:top w:val="single" w:color="000000" w:sz="12" w:space="0"/>
              <w:bottom w:val="single" w:color="000000" w:sz="4" w:space="0"/>
            </w:tcBorders>
            <w:shd w:val="clear" w:color="auto" w:fill="auto"/>
            <w:tcMar>
              <w:top w:w="100" w:type="dxa"/>
              <w:left w:w="160" w:type="dxa"/>
              <w:bottom w:w="100" w:type="dxa"/>
              <w:right w:w="160" w:type="dxa"/>
            </w:tcMar>
            <w:vAlign w:val="center"/>
          </w:tcPr>
          <w:p w14:paraId="032132FF">
            <w:pPr>
              <w:jc w:val="center"/>
              <w:rPr>
                <w:rFonts w:hint="default" w:ascii="Times New Roman" w:hAnsi="Times New Roman" w:cs="Times New Roman"/>
                <w:b/>
                <w:bCs w:val="0"/>
                <w:color w:val="000000"/>
                <w:lang w:val="en-US" w:eastAsia="zh-CN"/>
              </w:rPr>
            </w:pPr>
            <w:r>
              <w:rPr>
                <w:rFonts w:hint="eastAsia" w:ascii="Times New Roman" w:hAnsi="Times New Roman" w:eastAsia="微软雅黑" w:cs="Times New Roman"/>
                <w:b/>
                <w:bCs w:val="0"/>
                <w:color w:val="000000"/>
                <w:kern w:val="2"/>
                <w:sz w:val="21"/>
                <w:szCs w:val="24"/>
                <w:lang w:val="en-US" w:eastAsia="zh-CN" w:bidi="ar-SA"/>
              </w:rPr>
              <w:t>Main Dimension</w:t>
            </w:r>
          </w:p>
        </w:tc>
        <w:tc>
          <w:tcPr>
            <w:tcW w:w="1487" w:type="dxa"/>
            <w:tcBorders>
              <w:top w:val="single" w:color="000000" w:sz="12" w:space="0"/>
              <w:bottom w:val="single" w:color="000000" w:sz="4" w:space="0"/>
            </w:tcBorders>
            <w:shd w:val="clear" w:color="auto" w:fill="auto"/>
            <w:tcMar>
              <w:top w:w="100" w:type="dxa"/>
              <w:left w:w="160" w:type="dxa"/>
              <w:bottom w:w="100" w:type="dxa"/>
              <w:right w:w="160" w:type="dxa"/>
            </w:tcMar>
            <w:vAlign w:val="center"/>
          </w:tcPr>
          <w:p w14:paraId="0705CEDE">
            <w:pPr>
              <w:jc w:val="center"/>
              <w:rPr>
                <w:rFonts w:hint="default" w:ascii="Times New Roman" w:hAnsi="Times New Roman" w:cs="Times New Roman"/>
                <w:b/>
                <w:bCs w:val="0"/>
                <w:color w:val="000000"/>
                <w:lang w:val="en-US" w:eastAsia="zh-CN"/>
              </w:rPr>
            </w:pPr>
            <w:r>
              <w:rPr>
                <w:rFonts w:hint="eastAsia" w:ascii="Times New Roman" w:hAnsi="Times New Roman" w:eastAsia="微软雅黑" w:cs="Times New Roman"/>
                <w:b/>
                <w:bCs w:val="0"/>
                <w:color w:val="000000"/>
                <w:kern w:val="2"/>
                <w:sz w:val="21"/>
                <w:szCs w:val="24"/>
                <w:lang w:val="en-US" w:eastAsia="zh-CN" w:bidi="ar-SA"/>
              </w:rPr>
              <w:t>Secondary Dimension</w:t>
            </w:r>
          </w:p>
        </w:tc>
        <w:tc>
          <w:tcPr>
            <w:tcW w:w="5786" w:type="dxa"/>
            <w:tcBorders>
              <w:top w:val="single" w:color="000000" w:sz="12" w:space="0"/>
              <w:bottom w:val="single" w:color="000000" w:sz="4" w:space="0"/>
            </w:tcBorders>
            <w:shd w:val="clear" w:color="auto" w:fill="auto"/>
            <w:tcMar>
              <w:top w:w="100" w:type="dxa"/>
              <w:left w:w="160" w:type="dxa"/>
              <w:bottom w:w="100" w:type="dxa"/>
              <w:right w:w="160" w:type="dxa"/>
            </w:tcMar>
            <w:vAlign w:val="center"/>
          </w:tcPr>
          <w:p w14:paraId="424D3290">
            <w:pPr>
              <w:jc w:val="center"/>
              <w:rPr>
                <w:rFonts w:hint="default" w:ascii="Times New Roman" w:hAnsi="Times New Roman" w:cs="Times New Roman"/>
                <w:b/>
                <w:bCs w:val="0"/>
                <w:color w:val="000000"/>
                <w:lang w:val="en-US" w:eastAsia="zh-CN"/>
              </w:rPr>
            </w:pPr>
            <w:r>
              <w:rPr>
                <w:rFonts w:hint="eastAsia" w:ascii="Times New Roman" w:hAnsi="Times New Roman" w:eastAsia="微软雅黑" w:cs="Times New Roman"/>
                <w:b/>
                <w:bCs w:val="0"/>
                <w:color w:val="000000"/>
                <w:kern w:val="2"/>
                <w:sz w:val="21"/>
                <w:szCs w:val="24"/>
                <w:lang w:val="en-US" w:eastAsia="zh-CN" w:bidi="ar-SA"/>
              </w:rPr>
              <w:t>Classification Basis</w:t>
            </w:r>
          </w:p>
        </w:tc>
        <w:tc>
          <w:tcPr>
            <w:tcW w:w="1842" w:type="dxa"/>
            <w:tcBorders>
              <w:top w:val="single" w:color="000000" w:sz="12" w:space="0"/>
              <w:bottom w:val="single" w:color="000000" w:sz="4" w:space="0"/>
            </w:tcBorders>
            <w:shd w:val="clear" w:color="auto" w:fill="auto"/>
            <w:tcMar>
              <w:top w:w="100" w:type="dxa"/>
              <w:left w:w="160" w:type="dxa"/>
              <w:bottom w:w="100" w:type="dxa"/>
              <w:right w:w="160" w:type="dxa"/>
            </w:tcMar>
            <w:vAlign w:val="center"/>
          </w:tcPr>
          <w:p w14:paraId="00BE961C">
            <w:pPr>
              <w:jc w:val="center"/>
              <w:rPr>
                <w:rFonts w:hint="default" w:ascii="Times New Roman" w:hAnsi="Times New Roman" w:cs="Times New Roman"/>
                <w:b/>
                <w:bCs w:val="0"/>
                <w:color w:val="000000"/>
                <w:lang w:val="en-US" w:eastAsia="zh-CN"/>
              </w:rPr>
            </w:pPr>
            <w:r>
              <w:rPr>
                <w:rFonts w:hint="eastAsia" w:ascii="Times New Roman" w:hAnsi="Times New Roman" w:eastAsia="微软雅黑" w:cs="Times New Roman"/>
                <w:b/>
                <w:bCs w:val="0"/>
                <w:color w:val="000000"/>
                <w:kern w:val="2"/>
                <w:sz w:val="21"/>
                <w:szCs w:val="24"/>
                <w:lang w:val="en-US" w:eastAsia="zh-CN" w:bidi="ar-SA"/>
              </w:rPr>
              <w:t>Cross-validation consistency</w:t>
            </w:r>
          </w:p>
        </w:tc>
      </w:tr>
      <w:tr w14:paraId="1B7B8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tcBorders>
              <w:top w:val="single" w:color="000000" w:sz="4" w:space="0"/>
            </w:tcBorders>
            <w:shd w:val="clear" w:color="auto" w:fill="auto"/>
            <w:tcMar>
              <w:top w:w="100" w:type="dxa"/>
              <w:left w:w="0" w:type="dxa"/>
              <w:bottom w:w="100" w:type="dxa"/>
              <w:right w:w="160" w:type="dxa"/>
            </w:tcMar>
            <w:vAlign w:val="center"/>
          </w:tcPr>
          <w:p w14:paraId="4B21C8D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PF1: Fragmentation of regulatory functions across multiple government departments</w:t>
            </w:r>
          </w:p>
        </w:tc>
        <w:tc>
          <w:tcPr>
            <w:tcW w:w="1309" w:type="dxa"/>
            <w:tcBorders>
              <w:top w:val="single" w:color="000000" w:sz="4" w:space="0"/>
            </w:tcBorders>
            <w:shd w:val="clear" w:color="auto" w:fill="auto"/>
            <w:tcMar>
              <w:top w:w="100" w:type="dxa"/>
              <w:left w:w="160" w:type="dxa"/>
              <w:bottom w:w="100" w:type="dxa"/>
              <w:right w:w="160" w:type="dxa"/>
            </w:tcMar>
            <w:vAlign w:val="center"/>
          </w:tcPr>
          <w:p w14:paraId="77A44A9B">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1487" w:type="dxa"/>
            <w:tcBorders>
              <w:top w:val="single" w:color="000000" w:sz="4" w:space="0"/>
            </w:tcBorders>
            <w:shd w:val="clear" w:color="auto" w:fill="auto"/>
            <w:tcMar>
              <w:top w:w="100" w:type="dxa"/>
              <w:left w:w="160" w:type="dxa"/>
              <w:bottom w:w="100" w:type="dxa"/>
              <w:right w:w="160" w:type="dxa"/>
            </w:tcMar>
            <w:vAlign w:val="center"/>
          </w:tcPr>
          <w:p w14:paraId="71CFD7A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5786" w:type="dxa"/>
            <w:tcBorders>
              <w:top w:val="single" w:color="000000" w:sz="4" w:space="0"/>
            </w:tcBorders>
            <w:shd w:val="clear" w:color="auto" w:fill="auto"/>
            <w:tcMar>
              <w:top w:w="100" w:type="dxa"/>
              <w:left w:w="160" w:type="dxa"/>
              <w:bottom w:w="100" w:type="dxa"/>
              <w:right w:w="160" w:type="dxa"/>
            </w:tcMar>
            <w:vAlign w:val="center"/>
          </w:tcPr>
          <w:p w14:paraId="6285B04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This issue pertains to the division of powers and responsibilities among government agencies and their coordination, falling within the realm of political governance; simultaneously, it impacts the consistency of legal enforcement and the accessibility of accountability mechanisms.</w:t>
            </w:r>
          </w:p>
        </w:tc>
        <w:tc>
          <w:tcPr>
            <w:tcW w:w="1842" w:type="dxa"/>
            <w:tcBorders>
              <w:top w:val="single" w:color="000000" w:sz="4" w:space="0"/>
            </w:tcBorders>
            <w:shd w:val="clear" w:color="auto" w:fill="auto"/>
            <w:tcMar>
              <w:top w:w="100" w:type="dxa"/>
              <w:left w:w="160" w:type="dxa"/>
              <w:bottom w:w="100" w:type="dxa"/>
              <w:right w:w="0" w:type="dxa"/>
            </w:tcMar>
            <w:vAlign w:val="center"/>
          </w:tcPr>
          <w:p w14:paraId="57545D9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2CF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1CBAF27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PF2:Lacks a cross-departmental coordination mechanism.</w:t>
            </w:r>
          </w:p>
        </w:tc>
        <w:tc>
          <w:tcPr>
            <w:tcW w:w="1309" w:type="dxa"/>
            <w:shd w:val="clear" w:color="auto" w:fill="auto"/>
            <w:tcMar>
              <w:top w:w="100" w:type="dxa"/>
              <w:left w:w="160" w:type="dxa"/>
              <w:bottom w:w="100" w:type="dxa"/>
              <w:right w:w="160" w:type="dxa"/>
            </w:tcMar>
            <w:vAlign w:val="center"/>
          </w:tcPr>
          <w:p w14:paraId="376D9BF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1487" w:type="dxa"/>
            <w:shd w:val="clear" w:color="auto" w:fill="auto"/>
            <w:tcMar>
              <w:top w:w="100" w:type="dxa"/>
              <w:left w:w="160" w:type="dxa"/>
              <w:bottom w:w="100" w:type="dxa"/>
              <w:right w:w="160" w:type="dxa"/>
            </w:tcMar>
            <w:vAlign w:val="center"/>
          </w:tcPr>
          <w:p w14:paraId="3061C277">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5786" w:type="dxa"/>
            <w:shd w:val="clear" w:color="auto" w:fill="auto"/>
            <w:tcMar>
              <w:top w:w="100" w:type="dxa"/>
              <w:left w:w="160" w:type="dxa"/>
              <w:bottom w:w="100" w:type="dxa"/>
              <w:right w:w="160" w:type="dxa"/>
            </w:tcMar>
            <w:vAlign w:val="center"/>
          </w:tcPr>
          <w:p w14:paraId="5426920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This issue pertains to government organizational structure and operational mechanisms, with its core at the political dimension; its consequences adversely affect trust in regulatory fairness at the societal level.</w:t>
            </w:r>
          </w:p>
        </w:tc>
        <w:tc>
          <w:tcPr>
            <w:tcW w:w="1842" w:type="dxa"/>
            <w:shd w:val="clear" w:color="auto" w:fill="auto"/>
            <w:tcMar>
              <w:top w:w="100" w:type="dxa"/>
              <w:left w:w="160" w:type="dxa"/>
              <w:bottom w:w="100" w:type="dxa"/>
              <w:right w:w="0" w:type="dxa"/>
            </w:tcMar>
            <w:vAlign w:val="center"/>
          </w:tcPr>
          <w:p w14:paraId="64FEA13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694D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3A971E0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PF3: Lack of clear accountability and traceability procedures</w:t>
            </w:r>
          </w:p>
        </w:tc>
        <w:tc>
          <w:tcPr>
            <w:tcW w:w="1309" w:type="dxa"/>
            <w:shd w:val="clear" w:color="auto" w:fill="auto"/>
            <w:tcMar>
              <w:top w:w="100" w:type="dxa"/>
              <w:left w:w="160" w:type="dxa"/>
              <w:bottom w:w="100" w:type="dxa"/>
              <w:right w:w="160" w:type="dxa"/>
            </w:tcMar>
            <w:vAlign w:val="center"/>
          </w:tcPr>
          <w:p w14:paraId="7DFFD10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1487" w:type="dxa"/>
            <w:shd w:val="clear" w:color="auto" w:fill="auto"/>
            <w:tcMar>
              <w:top w:w="100" w:type="dxa"/>
              <w:left w:w="160" w:type="dxa"/>
              <w:bottom w:w="100" w:type="dxa"/>
              <w:right w:w="160" w:type="dxa"/>
            </w:tcMar>
            <w:vAlign w:val="center"/>
          </w:tcPr>
          <w:p w14:paraId="4343939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5786" w:type="dxa"/>
            <w:shd w:val="clear" w:color="auto" w:fill="auto"/>
            <w:tcMar>
              <w:top w:w="100" w:type="dxa"/>
              <w:left w:w="160" w:type="dxa"/>
              <w:bottom w:w="100" w:type="dxa"/>
              <w:right w:w="160" w:type="dxa"/>
            </w:tcMar>
            <w:vAlign w:val="center"/>
          </w:tcPr>
          <w:p w14:paraId="51215CBB">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design and operation of accountability mechanisms fall under political governance arrangements; procedural traceability, meanwhile, encompasses the technical foundation for legal accountability.</w:t>
            </w:r>
          </w:p>
        </w:tc>
        <w:tc>
          <w:tcPr>
            <w:tcW w:w="1842" w:type="dxa"/>
            <w:shd w:val="clear" w:color="auto" w:fill="auto"/>
            <w:tcMar>
              <w:top w:w="100" w:type="dxa"/>
              <w:left w:w="160" w:type="dxa"/>
              <w:bottom w:w="100" w:type="dxa"/>
              <w:right w:w="0" w:type="dxa"/>
            </w:tcMar>
            <w:vAlign w:val="center"/>
          </w:tcPr>
          <w:p w14:paraId="579FF81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50A4F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1DB8527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PF4: Gap between policy density and implementation understanding</w:t>
            </w:r>
          </w:p>
        </w:tc>
        <w:tc>
          <w:tcPr>
            <w:tcW w:w="1309" w:type="dxa"/>
            <w:shd w:val="clear" w:color="auto" w:fill="auto"/>
            <w:tcMar>
              <w:top w:w="100" w:type="dxa"/>
              <w:left w:w="160" w:type="dxa"/>
              <w:bottom w:w="100" w:type="dxa"/>
              <w:right w:w="160" w:type="dxa"/>
            </w:tcMar>
            <w:vAlign w:val="center"/>
          </w:tcPr>
          <w:p w14:paraId="0C5259A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1487" w:type="dxa"/>
            <w:shd w:val="clear" w:color="auto" w:fill="auto"/>
            <w:tcMar>
              <w:top w:w="100" w:type="dxa"/>
              <w:left w:w="160" w:type="dxa"/>
              <w:bottom w:w="100" w:type="dxa"/>
              <w:right w:w="160" w:type="dxa"/>
            </w:tcMar>
            <w:vAlign w:val="center"/>
          </w:tcPr>
          <w:p w14:paraId="0485E20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5786" w:type="dxa"/>
            <w:shd w:val="clear" w:color="auto" w:fill="auto"/>
            <w:tcMar>
              <w:top w:w="100" w:type="dxa"/>
              <w:left w:w="160" w:type="dxa"/>
              <w:bottom w:w="100" w:type="dxa"/>
              <w:right w:w="160" w:type="dxa"/>
            </w:tcMar>
            <w:vAlign w:val="center"/>
          </w:tcPr>
          <w:p w14:paraId="6E9D759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disconnect between policy formulation and implementation constitutes a challenge to political governance efficacy; whereas differences in understanding at the grassroots level pertain to information dissemination and cognition at the societal level.</w:t>
            </w:r>
          </w:p>
        </w:tc>
        <w:tc>
          <w:tcPr>
            <w:tcW w:w="1842" w:type="dxa"/>
            <w:shd w:val="clear" w:color="auto" w:fill="auto"/>
            <w:tcMar>
              <w:top w:w="100" w:type="dxa"/>
              <w:left w:w="160" w:type="dxa"/>
              <w:bottom w:w="100" w:type="dxa"/>
              <w:right w:w="0" w:type="dxa"/>
            </w:tcMar>
            <w:vAlign w:val="center"/>
          </w:tcPr>
          <w:p w14:paraId="170C745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22C3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45AEFA07">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EF1:Discrepancy between the compensation of  healthcare professionals and their technical service value</w:t>
            </w:r>
          </w:p>
        </w:tc>
        <w:tc>
          <w:tcPr>
            <w:tcW w:w="1309" w:type="dxa"/>
            <w:shd w:val="clear" w:color="auto" w:fill="auto"/>
            <w:tcMar>
              <w:top w:w="100" w:type="dxa"/>
              <w:left w:w="160" w:type="dxa"/>
              <w:bottom w:w="100" w:type="dxa"/>
              <w:right w:w="160" w:type="dxa"/>
            </w:tcMar>
            <w:vAlign w:val="center"/>
          </w:tcPr>
          <w:p w14:paraId="39600BD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1487" w:type="dxa"/>
            <w:shd w:val="clear" w:color="auto" w:fill="auto"/>
            <w:tcMar>
              <w:top w:w="100" w:type="dxa"/>
              <w:left w:w="160" w:type="dxa"/>
              <w:bottom w:w="100" w:type="dxa"/>
              <w:right w:w="160" w:type="dxa"/>
            </w:tcMar>
            <w:vAlign w:val="center"/>
          </w:tcPr>
          <w:p w14:paraId="5A28B35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5786" w:type="dxa"/>
            <w:shd w:val="clear" w:color="auto" w:fill="auto"/>
            <w:tcMar>
              <w:top w:w="100" w:type="dxa"/>
              <w:left w:w="160" w:type="dxa"/>
              <w:bottom w:w="100" w:type="dxa"/>
              <w:right w:w="160" w:type="dxa"/>
            </w:tcMar>
            <w:vAlign w:val="center"/>
          </w:tcPr>
          <w:p w14:paraId="5223A3E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Compensation levels and structures fall under economic incentive mechanisms; whereas value misalignment pertains to societal perceptions of professional dignity and fairness.</w:t>
            </w:r>
          </w:p>
        </w:tc>
        <w:tc>
          <w:tcPr>
            <w:tcW w:w="1842" w:type="dxa"/>
            <w:shd w:val="clear" w:color="auto" w:fill="auto"/>
            <w:tcMar>
              <w:top w:w="100" w:type="dxa"/>
              <w:left w:w="160" w:type="dxa"/>
              <w:bottom w:w="100" w:type="dxa"/>
              <w:right w:w="0" w:type="dxa"/>
            </w:tcMar>
            <w:vAlign w:val="center"/>
          </w:tcPr>
          <w:p w14:paraId="37B4605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342E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167A3C5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EF2:Following the implementation of the zero markup policy for  pharmaceuticals and medical consumables, fiscal compensation has proven insufficient.</w:t>
            </w:r>
          </w:p>
        </w:tc>
        <w:tc>
          <w:tcPr>
            <w:tcW w:w="1309" w:type="dxa"/>
            <w:shd w:val="clear" w:color="auto" w:fill="auto"/>
            <w:tcMar>
              <w:top w:w="100" w:type="dxa"/>
              <w:left w:w="160" w:type="dxa"/>
              <w:bottom w:w="100" w:type="dxa"/>
              <w:right w:w="160" w:type="dxa"/>
            </w:tcMar>
            <w:vAlign w:val="center"/>
          </w:tcPr>
          <w:p w14:paraId="08B8189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1487" w:type="dxa"/>
            <w:shd w:val="clear" w:color="auto" w:fill="auto"/>
            <w:tcMar>
              <w:top w:w="100" w:type="dxa"/>
              <w:left w:w="160" w:type="dxa"/>
              <w:bottom w:w="100" w:type="dxa"/>
              <w:right w:w="160" w:type="dxa"/>
            </w:tcMar>
            <w:vAlign w:val="center"/>
          </w:tcPr>
          <w:p w14:paraId="6B1D3A7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04EECEB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Compensation mechanisms fall under health economics and fiscal policy; their shortcomings reflect the extent to which the government's responsibility for healthcare provision is fulfilled and thus belong to the domain of political decision-making.</w:t>
            </w:r>
          </w:p>
        </w:tc>
        <w:tc>
          <w:tcPr>
            <w:tcW w:w="1842" w:type="dxa"/>
            <w:shd w:val="clear" w:color="auto" w:fill="auto"/>
            <w:tcMar>
              <w:top w:w="100" w:type="dxa"/>
              <w:left w:w="160" w:type="dxa"/>
              <w:bottom w:w="100" w:type="dxa"/>
              <w:right w:w="0" w:type="dxa"/>
            </w:tcMar>
            <w:vAlign w:val="center"/>
          </w:tcPr>
          <w:p w14:paraId="270C0FBC">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CEC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6FED1B6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EF3:Approximately 90% of  Hospital's operations rely on self-generated revenue.</w:t>
            </w:r>
          </w:p>
        </w:tc>
        <w:tc>
          <w:tcPr>
            <w:tcW w:w="1309" w:type="dxa"/>
            <w:shd w:val="clear" w:color="auto" w:fill="auto"/>
            <w:tcMar>
              <w:top w:w="100" w:type="dxa"/>
              <w:left w:w="160" w:type="dxa"/>
              <w:bottom w:w="100" w:type="dxa"/>
              <w:right w:w="160" w:type="dxa"/>
            </w:tcMar>
            <w:vAlign w:val="center"/>
          </w:tcPr>
          <w:p w14:paraId="4F35C7D7">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1487" w:type="dxa"/>
            <w:shd w:val="clear" w:color="auto" w:fill="auto"/>
            <w:tcMar>
              <w:top w:w="100" w:type="dxa"/>
              <w:left w:w="160" w:type="dxa"/>
              <w:bottom w:w="100" w:type="dxa"/>
              <w:right w:w="160" w:type="dxa"/>
            </w:tcMar>
            <w:vAlign w:val="center"/>
          </w:tcPr>
          <w:p w14:paraId="37ED5817">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778705A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revenue structure constitutes part of the hospital's economic operational model; its underlying causes stem from the political choices made by the government regarding investment policies for public hospitals.</w:t>
            </w:r>
          </w:p>
        </w:tc>
        <w:tc>
          <w:tcPr>
            <w:tcW w:w="1842" w:type="dxa"/>
            <w:shd w:val="clear" w:color="auto" w:fill="auto"/>
            <w:tcMar>
              <w:top w:w="100" w:type="dxa"/>
              <w:left w:w="160" w:type="dxa"/>
              <w:bottom w:w="100" w:type="dxa"/>
              <w:right w:w="0" w:type="dxa"/>
            </w:tcMar>
            <w:vAlign w:val="center"/>
          </w:tcPr>
          <w:p w14:paraId="237BC3B3">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D332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25B40BD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EF4: Financial pressures drive hospitals toward profit-driven organizational behavior.</w:t>
            </w:r>
          </w:p>
        </w:tc>
        <w:tc>
          <w:tcPr>
            <w:tcW w:w="1309" w:type="dxa"/>
            <w:shd w:val="clear" w:color="auto" w:fill="auto"/>
            <w:tcMar>
              <w:top w:w="100" w:type="dxa"/>
              <w:left w:w="160" w:type="dxa"/>
              <w:bottom w:w="100" w:type="dxa"/>
              <w:right w:w="160" w:type="dxa"/>
            </w:tcMar>
            <w:vAlign w:val="center"/>
          </w:tcPr>
          <w:p w14:paraId="5F675187">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1487" w:type="dxa"/>
            <w:shd w:val="clear" w:color="auto" w:fill="auto"/>
            <w:tcMar>
              <w:top w:w="100" w:type="dxa"/>
              <w:left w:w="160" w:type="dxa"/>
              <w:bottom w:w="100" w:type="dxa"/>
              <w:right w:w="160" w:type="dxa"/>
            </w:tcMar>
            <w:vAlign w:val="center"/>
          </w:tcPr>
          <w:p w14:paraId="7F57FBB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5786" w:type="dxa"/>
            <w:shd w:val="clear" w:color="auto" w:fill="auto"/>
            <w:tcMar>
              <w:top w:w="100" w:type="dxa"/>
              <w:left w:w="160" w:type="dxa"/>
              <w:bottom w:w="100" w:type="dxa"/>
              <w:right w:w="160" w:type="dxa"/>
            </w:tcMar>
            <w:vAlign w:val="center"/>
          </w:tcPr>
          <w:p w14:paraId="5B94356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Financial pressure is an economic issue; profit-seeking behavior, however, involves social norms and professional ethics.</w:t>
            </w:r>
          </w:p>
        </w:tc>
        <w:tc>
          <w:tcPr>
            <w:tcW w:w="1842" w:type="dxa"/>
            <w:shd w:val="clear" w:color="auto" w:fill="auto"/>
            <w:tcMar>
              <w:top w:w="100" w:type="dxa"/>
              <w:left w:w="160" w:type="dxa"/>
              <w:bottom w:w="100" w:type="dxa"/>
              <w:right w:w="0" w:type="dxa"/>
            </w:tcMar>
            <w:vAlign w:val="center"/>
          </w:tcPr>
          <w:p w14:paraId="38BA1F2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D42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3AB88E8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SF1: Information asymmetry between physicians and patients, as well as between healthcare providers and enterprises.</w:t>
            </w:r>
          </w:p>
        </w:tc>
        <w:tc>
          <w:tcPr>
            <w:tcW w:w="1309" w:type="dxa"/>
            <w:shd w:val="clear" w:color="auto" w:fill="auto"/>
            <w:tcMar>
              <w:top w:w="100" w:type="dxa"/>
              <w:left w:w="160" w:type="dxa"/>
              <w:bottom w:w="100" w:type="dxa"/>
              <w:right w:w="160" w:type="dxa"/>
            </w:tcMar>
            <w:vAlign w:val="center"/>
          </w:tcPr>
          <w:p w14:paraId="0D514F3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1487" w:type="dxa"/>
            <w:shd w:val="clear" w:color="auto" w:fill="auto"/>
            <w:tcMar>
              <w:top w:w="100" w:type="dxa"/>
              <w:left w:w="160" w:type="dxa"/>
              <w:bottom w:w="100" w:type="dxa"/>
              <w:right w:w="160" w:type="dxa"/>
            </w:tcMar>
            <w:vAlign w:val="center"/>
          </w:tcPr>
          <w:p w14:paraId="2250C763">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5786" w:type="dxa"/>
            <w:shd w:val="clear" w:color="auto" w:fill="auto"/>
            <w:tcMar>
              <w:top w:w="100" w:type="dxa"/>
              <w:left w:w="160" w:type="dxa"/>
              <w:bottom w:w="100" w:type="dxa"/>
              <w:right w:w="160" w:type="dxa"/>
            </w:tcMar>
            <w:vAlign w:val="center"/>
          </w:tcPr>
          <w:p w14:paraId="2113EA1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essence of information asymmetry lies in the imbalance of power within social relations; improving information transparency depends on technological means.</w:t>
            </w:r>
          </w:p>
        </w:tc>
        <w:tc>
          <w:tcPr>
            <w:tcW w:w="1842" w:type="dxa"/>
            <w:shd w:val="clear" w:color="auto" w:fill="auto"/>
            <w:tcMar>
              <w:top w:w="100" w:type="dxa"/>
              <w:left w:w="160" w:type="dxa"/>
              <w:bottom w:w="100" w:type="dxa"/>
              <w:right w:w="0" w:type="dxa"/>
            </w:tcMar>
            <w:vAlign w:val="center"/>
          </w:tcPr>
          <w:p w14:paraId="7FAC3CE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3DFDF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54ECF0CB">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SF2:The power imbalance between  physicians and suppliers</w:t>
            </w:r>
          </w:p>
        </w:tc>
        <w:tc>
          <w:tcPr>
            <w:tcW w:w="1309" w:type="dxa"/>
            <w:shd w:val="clear" w:color="auto" w:fill="auto"/>
            <w:tcMar>
              <w:top w:w="100" w:type="dxa"/>
              <w:left w:w="160" w:type="dxa"/>
              <w:bottom w:w="100" w:type="dxa"/>
              <w:right w:w="160" w:type="dxa"/>
            </w:tcMar>
            <w:vAlign w:val="center"/>
          </w:tcPr>
          <w:p w14:paraId="2301B63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1487" w:type="dxa"/>
            <w:shd w:val="clear" w:color="auto" w:fill="auto"/>
            <w:tcMar>
              <w:top w:w="100" w:type="dxa"/>
              <w:left w:w="160" w:type="dxa"/>
              <w:bottom w:w="100" w:type="dxa"/>
              <w:right w:w="160" w:type="dxa"/>
            </w:tcMar>
            <w:vAlign w:val="center"/>
          </w:tcPr>
          <w:p w14:paraId="7355A5C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5786" w:type="dxa"/>
            <w:shd w:val="clear" w:color="auto" w:fill="auto"/>
            <w:tcMar>
              <w:top w:w="100" w:type="dxa"/>
              <w:left w:w="160" w:type="dxa"/>
              <w:bottom w:w="100" w:type="dxa"/>
              <w:right w:w="160" w:type="dxa"/>
            </w:tcMar>
            <w:vAlign w:val="center"/>
          </w:tcPr>
          <w:p w14:paraId="0B94410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Power relations fall within the domain of social structure; their asymmetry in economic terms stems from suppliers' use of various means to secure commercial benefits.</w:t>
            </w:r>
          </w:p>
        </w:tc>
        <w:tc>
          <w:tcPr>
            <w:tcW w:w="1842" w:type="dxa"/>
            <w:shd w:val="clear" w:color="auto" w:fill="auto"/>
            <w:tcMar>
              <w:top w:w="100" w:type="dxa"/>
              <w:left w:w="160" w:type="dxa"/>
              <w:bottom w:w="100" w:type="dxa"/>
              <w:right w:w="0" w:type="dxa"/>
            </w:tcMar>
            <w:vAlign w:val="center"/>
          </w:tcPr>
          <w:p w14:paraId="7D6A90C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088E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0397D86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SF3: The "Red Envelope Culture" and the normalization of informal payments</w:t>
            </w:r>
          </w:p>
        </w:tc>
        <w:tc>
          <w:tcPr>
            <w:tcW w:w="1309" w:type="dxa"/>
            <w:shd w:val="clear" w:color="auto" w:fill="auto"/>
            <w:tcMar>
              <w:top w:w="100" w:type="dxa"/>
              <w:left w:w="160" w:type="dxa"/>
              <w:bottom w:w="100" w:type="dxa"/>
              <w:right w:w="160" w:type="dxa"/>
            </w:tcMar>
            <w:vAlign w:val="center"/>
          </w:tcPr>
          <w:p w14:paraId="4B040A7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society</w:t>
            </w:r>
          </w:p>
        </w:tc>
        <w:tc>
          <w:tcPr>
            <w:tcW w:w="1487" w:type="dxa"/>
            <w:shd w:val="clear" w:color="auto" w:fill="auto"/>
            <w:tcMar>
              <w:top w:w="100" w:type="dxa"/>
              <w:left w:w="160" w:type="dxa"/>
              <w:bottom w:w="100" w:type="dxa"/>
              <w:right w:w="160" w:type="dxa"/>
            </w:tcMar>
            <w:vAlign w:val="center"/>
          </w:tcPr>
          <w:p w14:paraId="47FFD17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5786" w:type="dxa"/>
            <w:shd w:val="clear" w:color="auto" w:fill="auto"/>
            <w:tcMar>
              <w:top w:w="100" w:type="dxa"/>
              <w:left w:w="160" w:type="dxa"/>
              <w:bottom w:w="100" w:type="dxa"/>
              <w:right w:w="160" w:type="dxa"/>
            </w:tcMar>
            <w:vAlign w:val="center"/>
          </w:tcPr>
          <w:p w14:paraId="35000DAC">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red envelope culture represents a confluence of social customs and professional ethics; its persistent existence is driven by inadequate compensation.</w:t>
            </w:r>
          </w:p>
        </w:tc>
        <w:tc>
          <w:tcPr>
            <w:tcW w:w="1842" w:type="dxa"/>
            <w:shd w:val="clear" w:color="auto" w:fill="auto"/>
            <w:tcMar>
              <w:top w:w="100" w:type="dxa"/>
              <w:left w:w="160" w:type="dxa"/>
              <w:bottom w:w="100" w:type="dxa"/>
              <w:right w:w="0" w:type="dxa"/>
            </w:tcMar>
            <w:vAlign w:val="center"/>
          </w:tcPr>
          <w:p w14:paraId="5228E78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3710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top"/>
          </w:tcPr>
          <w:p w14:paraId="2B4FD11B">
            <w:pPr>
              <w:rPr>
                <w:rFonts w:hint="eastAsia" w:ascii="Times New Roman" w:hAnsi="Times New Roman" w:cs="Times New Roman" w:eastAsiaTheme="minorEastAsia"/>
                <w:b w:val="0"/>
                <w:color w:val="000000"/>
                <w:kern w:val="2"/>
                <w:sz w:val="21"/>
                <w:szCs w:val="24"/>
                <w:vertAlign w:val="baseline"/>
                <w:lang w:val="en-US" w:eastAsia="zh-CN" w:bidi="ar-SA"/>
              </w:rPr>
            </w:pPr>
            <w:r>
              <w:rPr>
                <w:rFonts w:hint="eastAsia" w:ascii="Times New Roman" w:hAnsi="Times New Roman" w:eastAsia="微软雅黑" w:cs="Times New Roman"/>
                <w:b w:val="0"/>
                <w:color w:val="000000"/>
                <w:kern w:val="2"/>
                <w:sz w:val="21"/>
                <w:szCs w:val="24"/>
                <w:lang w:val="en-US" w:eastAsia="zh-CN" w:bidi="ar-SA"/>
              </w:rPr>
              <w:t>SF4:The rapid growth and irrationality of public demand</w:t>
            </w:r>
          </w:p>
        </w:tc>
        <w:tc>
          <w:tcPr>
            <w:tcW w:w="1309" w:type="dxa"/>
            <w:shd w:val="clear" w:color="auto" w:fill="auto"/>
            <w:tcMar>
              <w:top w:w="100" w:type="dxa"/>
              <w:left w:w="160" w:type="dxa"/>
              <w:bottom w:w="100" w:type="dxa"/>
              <w:right w:w="160" w:type="dxa"/>
            </w:tcMar>
            <w:vAlign w:val="center"/>
          </w:tcPr>
          <w:p w14:paraId="43742264">
            <w:pPr>
              <w:jc w:val="both"/>
              <w:rPr>
                <w:rFonts w:hint="eastAsia" w:ascii="Times New Roman" w:hAnsi="Times New Roman" w:cs="Times New Roman" w:eastAsiaTheme="minorEastAsia"/>
                <w:b w:val="0"/>
                <w:color w:val="000000"/>
                <w:kern w:val="2"/>
                <w:sz w:val="21"/>
                <w:szCs w:val="24"/>
                <w:vertAlign w:val="baseline"/>
                <w:lang w:val="en-US" w:eastAsia="zh-CN" w:bidi="ar-SA"/>
              </w:rPr>
            </w:pPr>
            <w:r>
              <w:rPr>
                <w:rFonts w:hint="eastAsia" w:ascii="Times New Roman" w:hAnsi="Times New Roman" w:eastAsia="微软雅黑" w:cs="Times New Roman"/>
                <w:b w:val="0"/>
                <w:color w:val="000000"/>
                <w:kern w:val="2"/>
                <w:sz w:val="21"/>
                <w:szCs w:val="24"/>
                <w:lang w:val="en-US" w:eastAsia="zh-CN" w:bidi="ar-SA"/>
              </w:rPr>
              <w:t>society</w:t>
            </w:r>
          </w:p>
        </w:tc>
        <w:tc>
          <w:tcPr>
            <w:tcW w:w="1487" w:type="dxa"/>
            <w:shd w:val="clear" w:color="auto" w:fill="auto"/>
            <w:tcMar>
              <w:top w:w="100" w:type="dxa"/>
              <w:left w:w="160" w:type="dxa"/>
              <w:bottom w:w="100" w:type="dxa"/>
              <w:right w:w="160" w:type="dxa"/>
            </w:tcMar>
            <w:vAlign w:val="center"/>
          </w:tcPr>
          <w:p w14:paraId="67433086">
            <w:pPr>
              <w:jc w:val="both"/>
              <w:rPr>
                <w:rFonts w:hint="eastAsia" w:ascii="Times New Roman" w:hAnsi="Times New Roman" w:eastAsia="微软雅黑" w:cs="Times New Roman"/>
                <w:b w:val="0"/>
                <w:color w:val="000000"/>
                <w:kern w:val="2"/>
                <w:sz w:val="21"/>
                <w:szCs w:val="24"/>
                <w:lang w:val="en-US" w:eastAsia="zh-CN" w:bidi="ar-SA"/>
              </w:rPr>
            </w:pPr>
            <w:r>
              <w:rPr>
                <w:rFonts w:hint="eastAsia" w:ascii="Times New Roman" w:hAnsi="Times New Roman" w:eastAsia="微软雅黑" w:cs="Times New Roman"/>
                <w:b w:val="0"/>
                <w:color w:val="000000"/>
                <w:kern w:val="2"/>
                <w:sz w:val="21"/>
                <w:szCs w:val="24"/>
                <w:lang w:val="en-US" w:eastAsia="zh-CN" w:bidi="ar-SA"/>
              </w:rPr>
              <w:t>economy</w:t>
            </w:r>
          </w:p>
        </w:tc>
        <w:tc>
          <w:tcPr>
            <w:tcW w:w="5786" w:type="dxa"/>
            <w:shd w:val="clear" w:color="auto" w:fill="auto"/>
            <w:tcMar>
              <w:top w:w="100" w:type="dxa"/>
              <w:left w:w="160" w:type="dxa"/>
              <w:bottom w:w="100" w:type="dxa"/>
              <w:right w:w="160" w:type="dxa"/>
            </w:tcMar>
            <w:vAlign w:val="center"/>
          </w:tcPr>
          <w:p w14:paraId="126143EE">
            <w:pPr>
              <w:rPr>
                <w:rFonts w:hint="eastAsia" w:ascii="Times New Roman" w:hAnsi="Times New Roman" w:eastAsia="微软雅黑" w:cs="Times New Roman"/>
                <w:b w:val="0"/>
                <w:color w:val="000000"/>
                <w:kern w:val="2"/>
                <w:sz w:val="21"/>
                <w:szCs w:val="24"/>
                <w:lang w:val="en-US" w:eastAsia="zh-CN" w:bidi="ar-SA"/>
              </w:rPr>
            </w:pPr>
            <w:r>
              <w:rPr>
                <w:rFonts w:hint="eastAsia" w:ascii="Times New Roman" w:hAnsi="Times New Roman" w:eastAsia="微软雅黑" w:cs="Times New Roman"/>
                <w:b w:val="0"/>
                <w:color w:val="000000"/>
                <w:kern w:val="2"/>
                <w:sz w:val="21"/>
                <w:szCs w:val="24"/>
                <w:lang w:val="en-US" w:eastAsia="zh-CN" w:bidi="ar-SA"/>
              </w:rPr>
              <w:t>The primary dimension concerns socio-psychological and public perception phenomena; the secondary dimension refers to how blind demand drives up procurement scales and creates the economic conditions conducive to corruption.</w:t>
            </w:r>
          </w:p>
        </w:tc>
        <w:tc>
          <w:tcPr>
            <w:tcW w:w="1842" w:type="dxa"/>
            <w:shd w:val="clear" w:color="auto" w:fill="auto"/>
            <w:tcMar>
              <w:top w:w="100" w:type="dxa"/>
              <w:left w:w="160" w:type="dxa"/>
              <w:bottom w:w="100" w:type="dxa"/>
              <w:right w:w="0" w:type="dxa"/>
            </w:tcMar>
            <w:vAlign w:val="center"/>
          </w:tcPr>
          <w:p w14:paraId="0D9FF3C5">
            <w:pPr>
              <w:rPr>
                <w:rFonts w:hint="eastAsia" w:ascii="Times New Roman" w:hAnsi="Times New Roman" w:eastAsia="微软雅黑" w:cs="Times New Roman"/>
                <w:b w:val="0"/>
                <w:color w:val="000000"/>
                <w:kern w:val="2"/>
                <w:sz w:val="21"/>
                <w:szCs w:val="24"/>
                <w:lang w:val="en-US" w:eastAsia="zh-CN" w:bidi="ar-SA"/>
              </w:rPr>
            </w:pPr>
            <w:r>
              <w:rPr>
                <w:rFonts w:hint="eastAsia" w:ascii="Times New Roman" w:hAnsi="Times New Roman" w:eastAsia="微软雅黑" w:cs="Times New Roman"/>
                <w:b w:val="0"/>
                <w:color w:val="000000"/>
                <w:kern w:val="2"/>
                <w:sz w:val="21"/>
                <w:szCs w:val="24"/>
                <w:lang w:val="en-US" w:eastAsia="zh-CN" w:bidi="ar-SA"/>
              </w:rPr>
              <w:t>yes</w:t>
            </w:r>
          </w:p>
        </w:tc>
      </w:tr>
      <w:tr w14:paraId="7B560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7134530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TF1:The development of medical consumables lags behind, while certain precision medical devices remain heavily dependent on imports, thereby increasing procurement risks</w:t>
            </w:r>
          </w:p>
        </w:tc>
        <w:tc>
          <w:tcPr>
            <w:tcW w:w="1309" w:type="dxa"/>
            <w:shd w:val="clear" w:color="auto" w:fill="auto"/>
            <w:tcMar>
              <w:top w:w="100" w:type="dxa"/>
              <w:left w:w="160" w:type="dxa"/>
              <w:bottom w:w="100" w:type="dxa"/>
              <w:right w:w="160" w:type="dxa"/>
            </w:tcMar>
            <w:vAlign w:val="center"/>
          </w:tcPr>
          <w:p w14:paraId="15F1BC3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1487" w:type="dxa"/>
            <w:shd w:val="clear" w:color="auto" w:fill="auto"/>
            <w:tcMar>
              <w:top w:w="100" w:type="dxa"/>
              <w:left w:w="160" w:type="dxa"/>
              <w:bottom w:w="100" w:type="dxa"/>
              <w:right w:w="160" w:type="dxa"/>
            </w:tcMar>
            <w:vAlign w:val="center"/>
          </w:tcPr>
          <w:p w14:paraId="605E579D">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5786" w:type="dxa"/>
            <w:shd w:val="clear" w:color="auto" w:fill="auto"/>
            <w:tcMar>
              <w:top w:w="100" w:type="dxa"/>
              <w:left w:w="160" w:type="dxa"/>
              <w:bottom w:w="100" w:type="dxa"/>
              <w:right w:w="160" w:type="dxa"/>
            </w:tcMar>
            <w:vAlign w:val="center"/>
          </w:tcPr>
          <w:p w14:paraId="7025556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primary dimension reflects shortcomings in technical capabilities; the secondary dimension points to the economic transmission pathway: import dependence $ightarrow$ high-price procurement $ightarrow$ room for kickbacks.</w:t>
            </w:r>
          </w:p>
        </w:tc>
        <w:tc>
          <w:tcPr>
            <w:tcW w:w="1842" w:type="dxa"/>
            <w:shd w:val="clear" w:color="auto" w:fill="auto"/>
            <w:tcMar>
              <w:top w:w="100" w:type="dxa"/>
              <w:left w:w="160" w:type="dxa"/>
              <w:bottom w:w="100" w:type="dxa"/>
              <w:right w:w="0" w:type="dxa"/>
            </w:tcMar>
            <w:vAlign w:val="center"/>
          </w:tcPr>
          <w:p w14:paraId="31ACBDD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7F82B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0A0236A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TF2:Fragmented R&amp;D collaboration mechanisms</w:t>
            </w:r>
          </w:p>
        </w:tc>
        <w:tc>
          <w:tcPr>
            <w:tcW w:w="1309" w:type="dxa"/>
            <w:shd w:val="clear" w:color="auto" w:fill="auto"/>
            <w:tcMar>
              <w:top w:w="100" w:type="dxa"/>
              <w:left w:w="160" w:type="dxa"/>
              <w:bottom w:w="100" w:type="dxa"/>
              <w:right w:w="160" w:type="dxa"/>
            </w:tcMar>
            <w:vAlign w:val="center"/>
          </w:tcPr>
          <w:p w14:paraId="29BAB75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1487" w:type="dxa"/>
            <w:shd w:val="clear" w:color="auto" w:fill="auto"/>
            <w:tcMar>
              <w:top w:w="100" w:type="dxa"/>
              <w:left w:w="160" w:type="dxa"/>
              <w:bottom w:w="100" w:type="dxa"/>
              <w:right w:w="160" w:type="dxa"/>
            </w:tcMar>
            <w:vAlign w:val="center"/>
          </w:tcPr>
          <w:p w14:paraId="6360A692">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3832AF3B">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primary dimension concerns the organizational structure of the technological innovation system; the secondary dimension addresses the political roots of interdepartmental coordination failures.</w:t>
            </w:r>
          </w:p>
        </w:tc>
        <w:tc>
          <w:tcPr>
            <w:tcW w:w="1842" w:type="dxa"/>
            <w:shd w:val="clear" w:color="auto" w:fill="auto"/>
            <w:tcMar>
              <w:top w:w="100" w:type="dxa"/>
              <w:left w:w="160" w:type="dxa"/>
              <w:bottom w:w="100" w:type="dxa"/>
              <w:right w:w="0" w:type="dxa"/>
            </w:tcMar>
            <w:vAlign w:val="center"/>
          </w:tcPr>
          <w:p w14:paraId="1D4E60CC">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44027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6D12431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TF3:Collaborative policies and institutional frameworks are inadequate.</w:t>
            </w:r>
          </w:p>
        </w:tc>
        <w:tc>
          <w:tcPr>
            <w:tcW w:w="1309" w:type="dxa"/>
            <w:shd w:val="clear" w:color="auto" w:fill="auto"/>
            <w:tcMar>
              <w:top w:w="100" w:type="dxa"/>
              <w:left w:w="160" w:type="dxa"/>
              <w:bottom w:w="100" w:type="dxa"/>
              <w:right w:w="160" w:type="dxa"/>
            </w:tcMar>
            <w:vAlign w:val="center"/>
          </w:tcPr>
          <w:p w14:paraId="6852AD0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1487" w:type="dxa"/>
            <w:shd w:val="clear" w:color="auto" w:fill="auto"/>
            <w:tcMar>
              <w:top w:w="100" w:type="dxa"/>
              <w:left w:w="160" w:type="dxa"/>
              <w:bottom w:w="100" w:type="dxa"/>
              <w:right w:w="160" w:type="dxa"/>
            </w:tcMar>
            <w:vAlign w:val="center"/>
          </w:tcPr>
          <w:p w14:paraId="1B8FF8E2">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74E68C6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primary dimension is the institutional environment for technological innovation; the secondary dimension points to the political root cause of fragmented policy provision.</w:t>
            </w:r>
          </w:p>
        </w:tc>
        <w:tc>
          <w:tcPr>
            <w:tcW w:w="1842" w:type="dxa"/>
            <w:shd w:val="clear" w:color="auto" w:fill="auto"/>
            <w:tcMar>
              <w:top w:w="100" w:type="dxa"/>
              <w:left w:w="160" w:type="dxa"/>
              <w:bottom w:w="100" w:type="dxa"/>
              <w:right w:w="0" w:type="dxa"/>
            </w:tcMar>
            <w:vAlign w:val="center"/>
          </w:tcPr>
          <w:p w14:paraId="0B39DB03">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4C264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432ED99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TF4: Medical consumables lack comprehensive digital traceability capabilities across their entire supply chain, while regulatory systems lag behind increasingly sophisticated forms of corruption.</w:t>
            </w:r>
          </w:p>
        </w:tc>
        <w:tc>
          <w:tcPr>
            <w:tcW w:w="1309" w:type="dxa"/>
            <w:shd w:val="clear" w:color="auto" w:fill="auto"/>
            <w:tcMar>
              <w:top w:w="100" w:type="dxa"/>
              <w:left w:w="160" w:type="dxa"/>
              <w:bottom w:w="100" w:type="dxa"/>
              <w:right w:w="160" w:type="dxa"/>
            </w:tcMar>
            <w:vAlign w:val="center"/>
          </w:tcPr>
          <w:p w14:paraId="0FF4714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1487" w:type="dxa"/>
            <w:shd w:val="clear" w:color="auto" w:fill="auto"/>
            <w:tcMar>
              <w:top w:w="100" w:type="dxa"/>
              <w:left w:w="160" w:type="dxa"/>
              <w:bottom w:w="100" w:type="dxa"/>
              <w:right w:w="160" w:type="dxa"/>
            </w:tcMar>
            <w:vAlign w:val="center"/>
          </w:tcPr>
          <w:p w14:paraId="0B6CA5C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5786" w:type="dxa"/>
            <w:shd w:val="clear" w:color="auto" w:fill="auto"/>
            <w:tcMar>
              <w:top w:w="100" w:type="dxa"/>
              <w:left w:w="160" w:type="dxa"/>
              <w:bottom w:w="100" w:type="dxa"/>
              <w:right w:w="160" w:type="dxa"/>
            </w:tcMar>
            <w:vAlign w:val="center"/>
          </w:tcPr>
          <w:p w14:paraId="6DCA033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"arms race" between technological means and corrupt practices falls under the domain of technological governance; meanwhile, lagging regulatory mechanisms undermine the actual effectiveness of legal deterrence.</w:t>
            </w:r>
          </w:p>
        </w:tc>
        <w:tc>
          <w:tcPr>
            <w:tcW w:w="1842" w:type="dxa"/>
            <w:shd w:val="clear" w:color="auto" w:fill="auto"/>
            <w:tcMar>
              <w:top w:w="100" w:type="dxa"/>
              <w:left w:w="160" w:type="dxa"/>
              <w:bottom w:w="100" w:type="dxa"/>
              <w:right w:w="0" w:type="dxa"/>
            </w:tcMar>
            <w:vAlign w:val="center"/>
          </w:tcPr>
          <w:p w14:paraId="51CD8DA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1C26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4140D9D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ENF1:Regulatory gaps in  industry standards</w:t>
            </w:r>
          </w:p>
        </w:tc>
        <w:tc>
          <w:tcPr>
            <w:tcW w:w="1309" w:type="dxa"/>
            <w:shd w:val="clear" w:color="auto" w:fill="auto"/>
            <w:tcMar>
              <w:top w:w="100" w:type="dxa"/>
              <w:left w:w="160" w:type="dxa"/>
              <w:bottom w:w="100" w:type="dxa"/>
              <w:right w:w="160" w:type="dxa"/>
            </w:tcMar>
            <w:vAlign w:val="center"/>
          </w:tcPr>
          <w:p w14:paraId="4DB5C97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environment</w:t>
            </w:r>
          </w:p>
        </w:tc>
        <w:tc>
          <w:tcPr>
            <w:tcW w:w="1487" w:type="dxa"/>
            <w:shd w:val="clear" w:color="auto" w:fill="auto"/>
            <w:tcMar>
              <w:top w:w="100" w:type="dxa"/>
              <w:left w:w="160" w:type="dxa"/>
              <w:bottom w:w="100" w:type="dxa"/>
              <w:right w:w="160" w:type="dxa"/>
            </w:tcMar>
            <w:vAlign w:val="center"/>
          </w:tcPr>
          <w:p w14:paraId="3B3E7D3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399610A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primary dimension refers to industry standards as part of the market environment's infrastructure; the secondary dimension points to the decentralized authority for standard-setting as its political root cause.</w:t>
            </w:r>
          </w:p>
        </w:tc>
        <w:tc>
          <w:tcPr>
            <w:tcW w:w="1842" w:type="dxa"/>
            <w:shd w:val="clear" w:color="auto" w:fill="auto"/>
            <w:tcMar>
              <w:top w:w="100" w:type="dxa"/>
              <w:left w:w="160" w:type="dxa"/>
              <w:bottom w:w="100" w:type="dxa"/>
              <w:right w:w="0" w:type="dxa"/>
            </w:tcMar>
            <w:vAlign w:val="center"/>
          </w:tcPr>
          <w:p w14:paraId="7B085260">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0BC3B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23C8891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ENF2: Lacks a mature, standardized benefit evaluation mechanism for both single-use and reusable consumables.</w:t>
            </w:r>
          </w:p>
        </w:tc>
        <w:tc>
          <w:tcPr>
            <w:tcW w:w="1309" w:type="dxa"/>
            <w:shd w:val="clear" w:color="auto" w:fill="auto"/>
            <w:tcMar>
              <w:top w:w="100" w:type="dxa"/>
              <w:left w:w="160" w:type="dxa"/>
              <w:bottom w:w="100" w:type="dxa"/>
              <w:right w:w="160" w:type="dxa"/>
            </w:tcMar>
            <w:vAlign w:val="center"/>
          </w:tcPr>
          <w:p w14:paraId="7A1BF5B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environment</w:t>
            </w:r>
          </w:p>
        </w:tc>
        <w:tc>
          <w:tcPr>
            <w:tcW w:w="1487" w:type="dxa"/>
            <w:shd w:val="clear" w:color="auto" w:fill="auto"/>
            <w:tcMar>
              <w:top w:w="100" w:type="dxa"/>
              <w:left w:w="160" w:type="dxa"/>
              <w:bottom w:w="100" w:type="dxa"/>
              <w:right w:w="160" w:type="dxa"/>
            </w:tcMar>
            <w:vAlign w:val="center"/>
          </w:tcPr>
          <w:p w14:paraId="4A2DC72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technical economy</w:t>
            </w:r>
          </w:p>
        </w:tc>
        <w:tc>
          <w:tcPr>
            <w:tcW w:w="5786" w:type="dxa"/>
            <w:shd w:val="clear" w:color="auto" w:fill="auto"/>
            <w:tcMar>
              <w:top w:w="100" w:type="dxa"/>
              <w:left w:w="160" w:type="dxa"/>
              <w:bottom w:w="100" w:type="dxa"/>
              <w:right w:w="160" w:type="dxa"/>
            </w:tcMar>
            <w:vAlign w:val="center"/>
          </w:tcPr>
          <w:p w14:paraId="743A928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primary dimension pertains to classification management and evaluation, which falls under the industry standard system; the secondary dimension refers to the dual intersection of the absence of technical standards and difficulties in economic accounting.</w:t>
            </w:r>
          </w:p>
        </w:tc>
        <w:tc>
          <w:tcPr>
            <w:tcW w:w="1842" w:type="dxa"/>
            <w:shd w:val="clear" w:color="auto" w:fill="auto"/>
            <w:tcMar>
              <w:top w:w="100" w:type="dxa"/>
              <w:left w:w="160" w:type="dxa"/>
              <w:bottom w:w="100" w:type="dxa"/>
              <w:right w:w="0" w:type="dxa"/>
            </w:tcMar>
            <w:vAlign w:val="center"/>
          </w:tcPr>
          <w:p w14:paraId="54CB8590">
            <w:pPr>
              <w:rPr>
                <w:rFonts w:hint="eastAsia" w:ascii="Times New Roman" w:hAnsi="Times New Roman" w:eastAsia="微软雅黑" w:cs="Times New Roman"/>
                <w:b w:val="0"/>
                <w:color w:val="000000"/>
                <w:kern w:val="2"/>
                <w:sz w:val="21"/>
                <w:szCs w:val="24"/>
                <w:lang w:val="en-US" w:eastAsia="zh-CN" w:bidi="ar-SA"/>
              </w:rPr>
            </w:pPr>
            <w:r>
              <w:rPr>
                <w:rFonts w:hint="eastAsia" w:ascii="Times New Roman" w:hAnsi="Times New Roman" w:eastAsia="微软雅黑" w:cs="Times New Roman"/>
                <w:b w:val="0"/>
                <w:color w:val="000000"/>
                <w:kern w:val="2"/>
                <w:sz w:val="21"/>
                <w:szCs w:val="24"/>
                <w:lang w:val="en-US" w:eastAsia="zh-CN" w:bidi="ar-SA"/>
              </w:rPr>
              <w:t xml:space="preserve">yes </w:t>
            </w:r>
          </w:p>
          <w:p w14:paraId="24040298">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(after discussion)</w:t>
            </w:r>
          </w:p>
        </w:tc>
      </w:tr>
      <w:tr w14:paraId="283C3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20994D1A">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LF1:</w:t>
            </w:r>
            <w:r>
              <w:rPr>
                <w:rFonts w:hint="eastAsia" w:ascii="Times New Roman" w:hAnsi="Times New Roman" w:eastAsia="微软雅黑" w:cs="Times New Roman"/>
                <w:kern w:val="2"/>
                <w:sz w:val="21"/>
                <w:szCs w:val="24"/>
                <w:lang w:val="en-US" w:eastAsia="zh-CN" w:bidi="ar-SA"/>
              </w:rPr>
              <w:t>The cost of corruption and illegal activities is relatively lower than the potential benefits.</w:t>
            </w:r>
          </w:p>
        </w:tc>
        <w:tc>
          <w:tcPr>
            <w:tcW w:w="1309" w:type="dxa"/>
            <w:shd w:val="clear" w:color="auto" w:fill="auto"/>
            <w:tcMar>
              <w:top w:w="100" w:type="dxa"/>
              <w:left w:w="160" w:type="dxa"/>
              <w:bottom w:w="100" w:type="dxa"/>
              <w:right w:w="160" w:type="dxa"/>
            </w:tcMar>
            <w:vAlign w:val="center"/>
          </w:tcPr>
          <w:p w14:paraId="5115BDA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1487" w:type="dxa"/>
            <w:shd w:val="clear" w:color="auto" w:fill="auto"/>
            <w:tcMar>
              <w:top w:w="100" w:type="dxa"/>
              <w:left w:w="160" w:type="dxa"/>
              <w:bottom w:w="100" w:type="dxa"/>
              <w:right w:w="160" w:type="dxa"/>
            </w:tcMar>
            <w:vAlign w:val="center"/>
          </w:tcPr>
          <w:p w14:paraId="30975D0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economy</w:t>
            </w:r>
          </w:p>
        </w:tc>
        <w:tc>
          <w:tcPr>
            <w:tcW w:w="5786" w:type="dxa"/>
            <w:shd w:val="clear" w:color="auto" w:fill="auto"/>
            <w:tcMar>
              <w:top w:w="100" w:type="dxa"/>
              <w:left w:w="160" w:type="dxa"/>
              <w:bottom w:w="100" w:type="dxa"/>
              <w:right w:w="160" w:type="dxa"/>
            </w:tcMar>
            <w:vAlign w:val="center"/>
          </w:tcPr>
          <w:p w14:paraId="16CA3D5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severity of legal sanctions falls within the legal dimension; the calculation of the costs and benefits associated with violations is, in essence, an economic analysis.</w:t>
            </w:r>
          </w:p>
        </w:tc>
        <w:tc>
          <w:tcPr>
            <w:tcW w:w="1842" w:type="dxa"/>
            <w:shd w:val="clear" w:color="auto" w:fill="auto"/>
            <w:tcMar>
              <w:top w:w="100" w:type="dxa"/>
              <w:left w:w="160" w:type="dxa"/>
              <w:bottom w:w="100" w:type="dxa"/>
              <w:right w:w="0" w:type="dxa"/>
            </w:tcMar>
            <w:vAlign w:val="center"/>
          </w:tcPr>
          <w:p w14:paraId="3A3C949F">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379B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129BCA2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LF2:There is insufficient linkage between  judicial judgments, administrative penalties, and professional qualification penalties.</w:t>
            </w:r>
          </w:p>
        </w:tc>
        <w:tc>
          <w:tcPr>
            <w:tcW w:w="1309" w:type="dxa"/>
            <w:shd w:val="clear" w:color="auto" w:fill="auto"/>
            <w:tcMar>
              <w:top w:w="100" w:type="dxa"/>
              <w:left w:w="160" w:type="dxa"/>
              <w:bottom w:w="100" w:type="dxa"/>
              <w:right w:w="160" w:type="dxa"/>
            </w:tcMar>
            <w:vAlign w:val="center"/>
          </w:tcPr>
          <w:p w14:paraId="303EDBE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1487" w:type="dxa"/>
            <w:shd w:val="clear" w:color="auto" w:fill="auto"/>
            <w:tcMar>
              <w:top w:w="100" w:type="dxa"/>
              <w:left w:w="160" w:type="dxa"/>
              <w:bottom w:w="100" w:type="dxa"/>
              <w:right w:w="160" w:type="dxa"/>
            </w:tcMar>
            <w:vAlign w:val="center"/>
          </w:tcPr>
          <w:p w14:paraId="0A7D2C74">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39BEF02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integration of different disciplinary measures falls under the domain of legal system design; its refinement, in turn, involves political governance arrangements requiring coordination among multiple departments.</w:t>
            </w:r>
          </w:p>
        </w:tc>
        <w:tc>
          <w:tcPr>
            <w:tcW w:w="1842" w:type="dxa"/>
            <w:shd w:val="clear" w:color="auto" w:fill="auto"/>
            <w:tcMar>
              <w:top w:w="100" w:type="dxa"/>
              <w:left w:w="160" w:type="dxa"/>
              <w:bottom w:w="100" w:type="dxa"/>
              <w:right w:w="0" w:type="dxa"/>
            </w:tcMar>
            <w:vAlign w:val="center"/>
          </w:tcPr>
          <w:p w14:paraId="03C9E17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6E846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3816" w:type="dxa"/>
            <w:shd w:val="clear" w:color="auto" w:fill="auto"/>
            <w:tcMar>
              <w:top w:w="100" w:type="dxa"/>
              <w:left w:w="0" w:type="dxa"/>
              <w:bottom w:w="100" w:type="dxa"/>
              <w:right w:w="160" w:type="dxa"/>
            </w:tcMar>
            <w:vAlign w:val="center"/>
          </w:tcPr>
          <w:p w14:paraId="0FE46B6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LF3:</w:t>
            </w:r>
            <w:r>
              <w:rPr>
                <w:rFonts w:hint="eastAsia" w:ascii="Times New Roman" w:hAnsi="Times New Roman" w:eastAsia="微软雅黑" w:cs="Times New Roman"/>
                <w:kern w:val="2"/>
                <w:sz w:val="21"/>
                <w:szCs w:val="24"/>
                <w:lang w:val="en-US" w:eastAsia="zh-CN" w:bidi="ar-SA"/>
              </w:rPr>
              <w:t>The penalty provisions within medical ethics codes are relatively ambiguous.</w:t>
            </w:r>
          </w:p>
        </w:tc>
        <w:tc>
          <w:tcPr>
            <w:tcW w:w="1309" w:type="dxa"/>
            <w:shd w:val="clear" w:color="auto" w:fill="auto"/>
            <w:tcMar>
              <w:top w:w="100" w:type="dxa"/>
              <w:left w:w="160" w:type="dxa"/>
              <w:bottom w:w="100" w:type="dxa"/>
              <w:right w:w="160" w:type="dxa"/>
            </w:tcMar>
            <w:vAlign w:val="center"/>
          </w:tcPr>
          <w:p w14:paraId="653890A1">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1487" w:type="dxa"/>
            <w:shd w:val="clear" w:color="auto" w:fill="auto"/>
            <w:tcMar>
              <w:top w:w="100" w:type="dxa"/>
              <w:left w:w="160" w:type="dxa"/>
              <w:bottom w:w="100" w:type="dxa"/>
              <w:right w:w="160" w:type="dxa"/>
            </w:tcMar>
            <w:vAlign w:val="center"/>
          </w:tcPr>
          <w:p w14:paraId="479104C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politics</w:t>
            </w:r>
          </w:p>
        </w:tc>
        <w:tc>
          <w:tcPr>
            <w:tcW w:w="5786" w:type="dxa"/>
            <w:shd w:val="clear" w:color="auto" w:fill="auto"/>
            <w:tcMar>
              <w:top w:w="100" w:type="dxa"/>
              <w:left w:w="160" w:type="dxa"/>
              <w:bottom w:w="100" w:type="dxa"/>
              <w:right w:w="160" w:type="dxa"/>
            </w:tcMar>
            <w:vAlign w:val="center"/>
          </w:tcPr>
          <w:p w14:paraId="4EB04835">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Coordination within the legal system falls under the domain of legal issues; whereas the articulation between norms at different levels involves the political allocation of legislative authority.</w:t>
            </w:r>
          </w:p>
        </w:tc>
        <w:tc>
          <w:tcPr>
            <w:tcW w:w="1842" w:type="dxa"/>
            <w:shd w:val="clear" w:color="auto" w:fill="auto"/>
            <w:tcMar>
              <w:top w:w="100" w:type="dxa"/>
              <w:left w:w="160" w:type="dxa"/>
              <w:bottom w:w="100" w:type="dxa"/>
              <w:right w:w="0" w:type="dxa"/>
            </w:tcMar>
            <w:vAlign w:val="center"/>
          </w:tcPr>
          <w:p w14:paraId="275128E2">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r w14:paraId="3851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3816" w:type="dxa"/>
            <w:tcBorders>
              <w:bottom w:val="single" w:color="000000" w:sz="12" w:space="0"/>
            </w:tcBorders>
            <w:shd w:val="clear" w:color="auto" w:fill="auto"/>
            <w:tcMar>
              <w:top w:w="100" w:type="dxa"/>
              <w:left w:w="0" w:type="dxa"/>
              <w:bottom w:w="100" w:type="dxa"/>
              <w:right w:w="160" w:type="dxa"/>
            </w:tcMar>
            <w:vAlign w:val="center"/>
          </w:tcPr>
          <w:p w14:paraId="45C679C6">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 xml:space="preserve">LF4: </w:t>
            </w:r>
            <w:r>
              <w:rPr>
                <w:rFonts w:hint="eastAsia" w:ascii="Times New Roman" w:hAnsi="Times New Roman" w:eastAsia="微软雅黑" w:cs="Times New Roman"/>
                <w:kern w:val="2"/>
                <w:sz w:val="21"/>
                <w:szCs w:val="24"/>
                <w:lang w:val="en-US" w:eastAsia="zh-CN" w:bidi="ar-SA"/>
              </w:rPr>
              <w:t>Increasingly covert bribery methods used to circumvent the existing legal framework</w:t>
            </w:r>
          </w:p>
        </w:tc>
        <w:tc>
          <w:tcPr>
            <w:tcW w:w="1309" w:type="dxa"/>
            <w:tcBorders>
              <w:bottom w:val="single" w:color="000000" w:sz="12" w:space="0"/>
            </w:tcBorders>
            <w:shd w:val="clear" w:color="auto" w:fill="auto"/>
            <w:tcMar>
              <w:top w:w="100" w:type="dxa"/>
              <w:left w:w="160" w:type="dxa"/>
              <w:bottom w:w="100" w:type="dxa"/>
              <w:right w:w="160" w:type="dxa"/>
            </w:tcMar>
            <w:vAlign w:val="center"/>
          </w:tcPr>
          <w:p w14:paraId="0D1A3CAE">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law</w:t>
            </w:r>
          </w:p>
        </w:tc>
        <w:tc>
          <w:tcPr>
            <w:tcW w:w="1487" w:type="dxa"/>
            <w:tcBorders>
              <w:bottom w:val="single" w:color="000000" w:sz="12" w:space="0"/>
            </w:tcBorders>
            <w:shd w:val="clear" w:color="auto" w:fill="auto"/>
            <w:tcMar>
              <w:top w:w="100" w:type="dxa"/>
              <w:left w:w="160" w:type="dxa"/>
              <w:bottom w:w="100" w:type="dxa"/>
              <w:right w:w="160" w:type="dxa"/>
            </w:tcMar>
            <w:vAlign w:val="center"/>
          </w:tcPr>
          <w:p w14:paraId="6AAB9E93">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technology</w:t>
            </w:r>
          </w:p>
        </w:tc>
        <w:tc>
          <w:tcPr>
            <w:tcW w:w="5786" w:type="dxa"/>
            <w:tcBorders>
              <w:bottom w:val="single" w:color="000000" w:sz="12" w:space="0"/>
            </w:tcBorders>
            <w:shd w:val="clear" w:color="auto" w:fill="auto"/>
            <w:tcMar>
              <w:top w:w="100" w:type="dxa"/>
              <w:left w:w="160" w:type="dxa"/>
              <w:bottom w:w="100" w:type="dxa"/>
              <w:right w:w="160" w:type="dxa"/>
            </w:tcMar>
            <w:vAlign w:val="center"/>
          </w:tcPr>
          <w:p w14:paraId="20CBFC5B">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The competition between legal lag and the evolution of corrupt methods constitutes a legal issue; the identification of covert methods relies on technical investigative capabilities.</w:t>
            </w:r>
          </w:p>
        </w:tc>
        <w:tc>
          <w:tcPr>
            <w:tcW w:w="1842" w:type="dxa"/>
            <w:tcBorders>
              <w:bottom w:val="single" w:color="000000" w:sz="12" w:space="0"/>
            </w:tcBorders>
            <w:shd w:val="clear" w:color="auto" w:fill="auto"/>
            <w:tcMar>
              <w:top w:w="100" w:type="dxa"/>
              <w:left w:w="160" w:type="dxa"/>
              <w:bottom w:w="100" w:type="dxa"/>
              <w:right w:w="0" w:type="dxa"/>
            </w:tcMar>
            <w:vAlign w:val="center"/>
          </w:tcPr>
          <w:p w14:paraId="55154BD9">
            <w:pPr>
              <w:rPr>
                <w:rFonts w:hint="default" w:ascii="Times New Roman" w:hAnsi="Times New Roman" w:cs="Times New Roman"/>
                <w:b w:val="0"/>
                <w:color w:val="000000"/>
                <w:lang w:val="en-US" w:eastAsia="zh-CN"/>
              </w:rPr>
            </w:pPr>
            <w:r>
              <w:rPr>
                <w:rFonts w:hint="eastAsia" w:ascii="Times New Roman" w:hAnsi="Times New Roman" w:eastAsia="微软雅黑" w:cs="Times New Roman"/>
                <w:b w:val="0"/>
                <w:color w:val="000000"/>
                <w:kern w:val="2"/>
                <w:sz w:val="21"/>
                <w:szCs w:val="24"/>
                <w:lang w:val="en-US" w:eastAsia="zh-CN" w:bidi="ar-SA"/>
              </w:rPr>
              <w:t>yes</w:t>
            </w:r>
          </w:p>
        </w:tc>
      </w:tr>
    </w:tbl>
    <w:p w14:paraId="5D0E23CC">
      <w:pPr>
        <w:rPr>
          <w:rFonts w:hint="default" w:ascii="Times New Roman" w:hAnsi="Times New Roman" w:cs="Times New Roman"/>
          <w:lang w:val="en-US" w:eastAsia="zh-CN"/>
        </w:rPr>
      </w:pPr>
      <w:r>
        <w:rPr>
          <w:rFonts w:hint="eastAsia" w:ascii="Times New Roman" w:hAnsi="Times New Roman" w:eastAsia="微软雅黑" w:cs="Times New Roman"/>
          <w:kern w:val="2"/>
          <w:sz w:val="21"/>
          <w:szCs w:val="24"/>
          <w:lang w:val="en-US" w:eastAsia="zh-CN" w:bidi="ar-SA"/>
        </w:rPr>
        <w:t>Inter-coder agreement rate: 95% (based on an 10% subset of cases independently classified by the second investigator; discrepancies were resolved through discussion to reach consensus).</w:t>
      </w:r>
    </w:p>
    <w:p w14:paraId="3CE39B3C">
      <w:pPr>
        <w:rPr>
          <w:rFonts w:hint="default" w:ascii="Times New Roman" w:hAnsi="Times New Roman" w:cs="Times New Roman"/>
          <w:highlight w:val="none"/>
          <w:lang w:val="en-US" w:eastAsia="zh-CN"/>
        </w:rPr>
      </w:pPr>
    </w:p>
    <w:p w14:paraId="2FD523B9">
      <w:pPr>
        <w:rPr>
          <w:rFonts w:hint="eastAsia" w:ascii="Times New Roman" w:hAnsi="Times New Roman" w:eastAsia="微软雅黑" w:cs="Times New Roman"/>
          <w:kern w:val="2"/>
          <w:sz w:val="21"/>
          <w:szCs w:val="24"/>
          <w:highlight w:val="none"/>
          <w:lang w:val="en-US" w:eastAsia="zh-CN" w:bidi="ar-SA"/>
        </w:rPr>
        <w:sectPr>
          <w:pgSz w:w="16838" w:h="11906" w:orient="landscape"/>
          <w:pgMar w:top="1803" w:right="1440" w:bottom="1803" w:left="1440" w:header="851" w:footer="992" w:gutter="0"/>
          <w:paperSrc/>
          <w:cols w:space="0" w:num="1"/>
          <w:rtlGutter w:val="0"/>
          <w:docGrid w:type="lines" w:linePitch="319" w:charSpace="0"/>
        </w:sectPr>
      </w:pPr>
    </w:p>
    <w:p w14:paraId="082885B1">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6. Risk Transmission Mechanism: Coding Example</w:t>
      </w:r>
    </w:p>
    <w:p w14:paraId="7FB022EB">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6.1 Institutional Gap</w:t>
      </w:r>
    </w:p>
    <w:p w14:paraId="54C94C79">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"Different departments are responsible for specific areas: the National Health Commission sets the management requirements; the Medical Insurance Bureau oversees pricing and reimbursement; and the Discipline Inspection and Supervision Commission only intervenes when issues arise. There must be a mechanism that enables all parties to share information." — Hospital Administrator</w:t>
      </w:r>
    </w:p>
    <w:p w14:paraId="72F1FDF6">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Coding note: This theme appears in 21 out of 34 consultation records and has been identified as the primary mechanism through which political fragmentation translates into operational vulnerabilities.</w:t>
      </w:r>
    </w:p>
    <w:p w14:paraId="19DBF1FB">
      <w:pPr>
        <w:rPr>
          <w:rFonts w:hint="default" w:ascii="Times New Roman" w:hAnsi="Times New Roman" w:cs="Times New Roman"/>
          <w:highlight w:val="none"/>
          <w:lang w:val="en-US" w:eastAsia="zh-CN"/>
        </w:rPr>
      </w:pPr>
    </w:p>
    <w:p w14:paraId="723C50B5">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6.2 Incentive Distortion</w:t>
      </w:r>
    </w:p>
    <w:p w14:paraId="4C09CBA4">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"For physicians to achieve incomes as respectable as those of their counterparts in other countries, medical performance is one aspect; there may also be other sources of income, such as research income. This highlights areas where current policies are somewhat ambiguous and regulatory oversight is inadequate" —Conference Expert</w:t>
      </w:r>
    </w:p>
    <w:p w14:paraId="41731690">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Coding note: This theme appears in 16 out of 34 consultation records and has been identified as the primary mechanism through which economic pressure translates into individual corruption behavior.</w:t>
      </w:r>
    </w:p>
    <w:p w14:paraId="2080209D">
      <w:pPr>
        <w:rPr>
          <w:rFonts w:hint="default" w:ascii="Times New Roman" w:hAnsi="Times New Roman" w:cs="Times New Roman"/>
          <w:highlight w:val="none"/>
          <w:lang w:val="en-US" w:eastAsia="zh-CN"/>
        </w:rPr>
      </w:pPr>
    </w:p>
    <w:p w14:paraId="60AD48CF">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6.3 Information Concealment</w:t>
      </w:r>
    </w:p>
    <w:p w14:paraId="1550413B">
      <w:pPr>
        <w:rPr>
          <w:rFonts w:hint="default" w:ascii="Times New Roman" w:hAnsi="Times New Roman" w:cs="Times New Roman"/>
          <w:highlight w:val="none"/>
          <w:lang w:val="en-US" w:eastAsia="zh-CN"/>
        </w:rPr>
      </w:pPr>
      <w:r>
        <w:rPr>
          <w:rFonts w:hint="eastAsia" w:ascii="Times New Roman" w:hAnsi="Times New Roman" w:eastAsia="微软雅黑" w:cs="Times New Roman"/>
          <w:kern w:val="2"/>
          <w:sz w:val="21"/>
          <w:szCs w:val="24"/>
          <w:highlight w:val="none"/>
          <w:lang w:val="en-US" w:eastAsia="zh-CN" w:bidi="ar-SA"/>
        </w:rPr>
        <w:t>"The clinical department operates on one system, medical insurance settlement on another, inpatient consumables logistics on yet another, while procurement remains a siloed process. If anyone wishes to conceal certain information, they only need to exploit the gaps or time discrepancies between these systems." — Conference Expert</w:t>
      </w:r>
    </w:p>
    <w:p w14:paraId="636EE3AE">
      <w:pPr>
        <w:rPr>
          <w:rFonts w:hint="eastAsia" w:ascii="Times New Roman" w:hAnsi="Times New Roman" w:eastAsia="微软雅黑" w:cs="Times New Roman"/>
          <w:kern w:val="2"/>
          <w:sz w:val="21"/>
          <w:szCs w:val="24"/>
          <w:highlight w:val="none"/>
          <w:lang w:val="en-US" w:eastAsia="zh-CN" w:bidi="ar-SA"/>
        </w:rPr>
      </w:pPr>
      <w:r>
        <w:rPr>
          <w:rFonts w:hint="eastAsia" w:ascii="Times New Roman" w:hAnsi="Times New Roman" w:eastAsia="微软雅黑" w:cs="Times New Roman"/>
          <w:kern w:val="2"/>
          <w:sz w:val="21"/>
          <w:szCs w:val="24"/>
          <w:highlight w:val="none"/>
          <w:lang w:val="en-US" w:eastAsia="zh-CN" w:bidi="ar-SA"/>
        </w:rPr>
        <w:t>Coding note: This theme appears in 19 out of 34 consultation records; it has been identified as the primary mechanism through which overlapping technical and institutional deficiencies give rise to hidden transactions.</w:t>
      </w:r>
    </w:p>
    <w:p w14:paraId="3690F502">
      <w:pPr>
        <w:rPr>
          <w:rFonts w:hint="eastAsia" w:ascii="Times New Roman" w:hAnsi="Times New Roman" w:eastAsia="微软雅黑" w:cs="Times New Roman"/>
          <w:kern w:val="2"/>
          <w:sz w:val="21"/>
          <w:szCs w:val="24"/>
          <w:highlight w:val="none"/>
          <w:lang w:val="en-US" w:eastAsia="zh-CN" w:bidi="ar-SA"/>
        </w:rPr>
      </w:pPr>
    </w:p>
    <w:p w14:paraId="3734252B">
      <w:pPr>
        <w:rPr>
          <w:rFonts w:hint="default" w:ascii="Times New Roman" w:hAnsi="Times New Roman" w:eastAsia="微软雅黑" w:cs="Times New Roman"/>
          <w:kern w:val="2"/>
          <w:sz w:val="21"/>
          <w:szCs w:val="24"/>
          <w:highlight w:val="none"/>
          <w:lang w:val="en-US" w:eastAsia="zh-CN" w:bidi="ar-SA"/>
        </w:rPr>
      </w:pPr>
      <w:r>
        <w:rPr>
          <w:rFonts w:hint="default" w:ascii="Times New Roman" w:hAnsi="Times New Roman" w:eastAsia="微软雅黑" w:cs="Times New Roman"/>
          <w:kern w:val="2"/>
          <w:sz w:val="21"/>
          <w:szCs w:val="24"/>
          <w:highlight w:val="none"/>
          <w:lang w:val="en-US" w:eastAsia="zh-CN" w:bidi="ar-SA"/>
        </w:rPr>
        <w:t>Appendix: References</w:t>
      </w:r>
    </w:p>
    <w:p w14:paraId="58BB91D3">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Fu J, Xu J Y, Wang Y. Risk Identification and Regulation for China's Anti-Commercial Bribery in Medical Device Procurement and Sales Industry[J]. Chinese Medical Sciences Journal, 2025, 40(2): 144-149. https://doi.org/10.24920/004450.</w:t>
      </w:r>
    </w:p>
    <w:p w14:paraId="78CE069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Wei C H. Research on "Micro-corruption" and its refined governance in the medical field[D]. Nanning: Guangxi University, 2025. https://doi-org-443.webvpn.bjmu.edu.cn/10.27034/d.cnki.ggxiu.2025.002905.</w:t>
      </w:r>
    </w:p>
    <w:p w14:paraId="651A247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Cai F F. Research on legal governance of corruption in medical device procurement in public hospitals[D]. Haikou: Hainan University, 2025. https://kns-cnki-net-443.webvpn.bjmu.edu.cn/kcms2/article/abstract?v=Jwx2WJw7wUGHntTZEGZYxqjQwLJusYT4QtwHVHteTJzuoT4qjTLf_9ah6AGY3KdkwuRhuwdYQbf2jA5U9Uk0_iT8yK62kW41nQItN3LJthSEwHY0SPnH40hjayhvTpvpnHjl1dI0__9OVTHzQggwPMWUch4GARqHlBZ8NLRm_1l9X4BcvBLCmA==&amp;uniplatform=NZKPT&amp;language=CHS.</w:t>
      </w:r>
    </w:p>
    <w:p w14:paraId="5C63CAE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Zhang T Y, Tang X. Audit response ideas for corruption in medical field[J]. Audit Observation, 2025, (5): 45-48.</w:t>
      </w:r>
    </w:p>
    <w:p w14:paraId="7A97636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Wu L. A case study of corruption governance in S Provincial People's Hospital[D]. Chengdu: University of Electronic Science and Technology of China, 2025. https://doi-org-443.webvpn.bjmu.edu.cn/10.27005/d.cnki.gdzku.2025.006112.</w:t>
      </w:r>
    </w:p>
    <w:p w14:paraId="57FBDAE9">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Zhu Y G. Construction and practice of honesty risk prevention and control system for hospital procurement[J]. Modern Hospital Management, 2024, 22(6): 129-132.</w:t>
      </w:r>
    </w:p>
    <w:p w14:paraId="059F1C29">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T T. Research on identification and prevention of integrity risk in public hospitals based on WBS-RBS method[D]. Mianyang: Southwest University of Science and Technology, 2024. https://kns-cnki-net-443.webvpn.bjmu.edu.cn/kcms2/article/abstract?v=Jwx2WJw7wUG7HLgq4M5VX7Fg5rTcPIslYsARj7U0TJejgG7qspCEqjsU3lWndYLKOJl6cSEfW4XBFHYuWrPO7w2EoIsO9qOiFxsbuY8EoLRNzmdp3LtjFfS09f1v565sQSuIS7EWK_ysihLkVavr22l7szDTCsAgiDcHxCn_mB_cyuU-kxiRRA==&amp;uniplatform=NZKPT&amp;language=CHS.</w:t>
      </w:r>
    </w:p>
    <w:p w14:paraId="7988B90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Zhou Y C. Types of medical corruption and integrated governance mechanism[J]. Chinese Cadres Tribune, 2024, (10): 65-69. https://doi-org-443.webvpn.bjmu.edu.cn/10.14117/j.cnki.cn11-3331/d.2024.10.007.</w:t>
      </w:r>
    </w:p>
    <w:p w14:paraId="37199D9D">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Gao J. Research on prevention and control of medical corruption in public hospitals in H City[D]. Xuzhou: China University of Mining and Technology, 2024. https://doi-org-443.webvpn.bjmu.edu.cn/10.27623/d.cnki.gzkyu.2024.002747.</w:t>
      </w:r>
    </w:p>
    <w:p w14:paraId="1BBF98B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S F. Research on IPO audit risk of biomedical enterprises under registration system[D]. Zhenjiang: Jiangsu University of Science and Technology, 2024. https://doi-org-443.webvpn.bjmu.edu.cn/10.27171/d.cnki.ghdcc.2024.000161.</w:t>
      </w:r>
    </w:p>
    <w:p w14:paraId="60634B2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Deng Y, Gao W H. Why has the clinical laboratory become a disaster area of corruption[J]. China Hospital CEO, 2023, 19(20): 76-79.</w:t>
      </w:r>
    </w:p>
    <w:p w14:paraId="03B84E5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Deng H W. Practice and discussion of informatization helping hospital prevent consumables corruption system construction[J]. Hospital Management Forum, 2023, 40(8): 37-39.</w:t>
      </w:r>
    </w:p>
    <w:p w14:paraId="2CEEB42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Sun Y H. Research on the causes and prevention of medical corruption in public hospitals in China[D]. Kunming: Yunnan University of Finance and Economics, 2023. https://doi-org-443.webvpn.bjmu.edu.cn/10.27455/d.cnki.gycmc.2023.000708.</w:t>
      </w:r>
    </w:p>
    <w:p w14:paraId="64ED465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Hu X D. Research on the operation of honest government supervision platform under the background of big data[D]. Nanjing: Southeast University, 2023. https://doi-org-443.webvpn.bjmu.edu.cn/10.27014/d.cnki.gdnau.2023.004403.</w:t>
      </w:r>
    </w:p>
    <w:p w14:paraId="502CF5A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Cui Y S. Research on governance of bribery crime under the background of medical anti-corruption[D]. Guiyang: Guizhou University of Finance and Economics, 2022. https://doi-org-443.webvpn.bjmu.edu.cn/10.27731/d.cnki.ggzcj.2022.000640.</w:t>
      </w:r>
    </w:p>
    <w:p w14:paraId="46E95C0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Wei Y, Yan H Z, Liu W, Gu Z M. Exploration on the construction of "Don't dare to corrupt, can't corrupt, don't want to corrupt" mechanism in public hospitals—taking the supervision of high-value medical consumables as an example[J]. Time-honored Brand Marketing, 2022, (5): 102-104.</w:t>
      </w:r>
    </w:p>
    <w:p w14:paraId="3507908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Zhou K. Research on centralized procurement system of medical devices in large public hospitals[D]. Chongqing: Chongqing University, 2021. https://doi-org-443.webvpn.bjmu.edu.cn/10.27670/d.cnki.gcqdu.2021.004586.</w:t>
      </w:r>
    </w:p>
    <w:p w14:paraId="29F525A3">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Liu H W, Deng Z H, Yan J, Zhang R, Zhang D N. Discussion and thinking on constructing special governance system for drugs and consumables[J]. Modern Hospitals, 2021, 21(1): 78-81.</w:t>
      </w:r>
    </w:p>
    <w:p w14:paraId="6C0541B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Zhang H Z, Yan H Z, Lu F, Wei Y. Application of supervision recommendation letter in supervision of high-value medical consumables in hospitals[J]. Chinese Medical Management Science, 2021, 11(1): 6-9.</w:t>
      </w:r>
    </w:p>
    <w:p w14:paraId="34A3C78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Yunnan Provincial Market Supervision Administration. Maintain fair competition order and optimize business environment[J]. China Price Regulation and Anti-monopoly, 2020, (8): 61.</w:t>
      </w:r>
    </w:p>
    <w:p w14:paraId="617C434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Fu Y. Empirical research on prevention of duty crime in bidding[D]. Chongqing: Southwest University of Political Science and Law, 2020. https://doi-org-443.webvpn.bjmu.edu.cn/10.27422/d.cnki.gxzfu.2020.001687.</w:t>
      </w:r>
    </w:p>
    <w:p w14:paraId="34CC62C6">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Song W T. Research on crime of producing and selling counterfeit and shoddy medical devices in China[D]. Beijing: People's Public Security University of China, 2019. https://kns-cnki-net-443.webvpn.bjmu.edu.cn/kcms2/article/abstract?v=Jwx2WJw7wUHLjsSfUYf29579ws3lwjnypKcbmUHg2aW9VRe24ZYDi0Giv-9tTc3i3-ebqeP4yZ6S_RVvC1vrSwrMBBpZiKWHzInkcXa945iSpQq7ILgLOJwiSLCHVaXqJI9xq443-jN6dHpdhlUf5iSndz4oFz9a8tA5Jv6JiSsk06xjjaDKkQ==&amp;uniplatform=NZKPT&amp;language=CHS.</w:t>
      </w:r>
    </w:p>
    <w:p w14:paraId="6BA32BA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Y. Research on prevention and control of honest government risk in medical and health field in the new era[D]. Hohhot: Inner Mongolia University, 2019. https://kns-cnki-net-443.webvpn.bjmu.edu.cn/kcms2/article/abstract?v=Jwx2WJw7wUHSBRleI22aOMGiCqk3TmgzEehujjciZtcnBRbjUZSeD4CadDvBen9gjHyjcGVXa_Pt-pYOmJsb6sdrDohOreS4zSMnGTGotF-4zrmcPsEB29LtH4x0gI_6NLF6l75aIe8dl9_Gfy4dJp0A5HGDHkqVV7UfMxNXO9USpjYFZizkfA==&amp;uniplatform=NZKPT&amp;language=CHS.</w:t>
      </w:r>
    </w:p>
    <w:p w14:paraId="120C331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Yu X. Research on commercial bribery crime in pharmaceutical industry[D]. Wuhan: Zhongnan University of Economics and Law, 2019. https://kns-cnki-net-443.webvpn.bjmu.edu.cn/kcms2/article/abstract?v=Jwx2WJw7wUHHVlUrjGe3bGMrPt60y0yGX4YMJAeKjrnaaCTp_fPOrGqipNc7QB773IC-5PdHQT0c7Jis1L_u8TBdAbafil2_9Yj1gOlRQvPKJBM41ZTrMAdXm4iukUBYor8u62uzaIQdgpP71gAI1cb4m6M9kOEAbSXftpayY53WeOqUuyvMmA==&amp;uniplatform=NZKPT&amp;language=CHS.</w:t>
      </w:r>
    </w:p>
    <w:p w14:paraId="62CA5485">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Q P. Deepen the construction of clean government and strive to create a clean medical environment[J]. Management Observer, 2018, (24): 78-80.</w:t>
      </w:r>
    </w:p>
    <w:p w14:paraId="6B487C7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Gao M. Analysis of commercial bribery in medical industry[J]. Journal of Anhui Vocational College of Police Officers, 2018, 17(4): 43-48+64.</w:t>
      </w:r>
    </w:p>
    <w:p w14:paraId="4A33F40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J J. Establishment and effect of the file management system for medical institution's conduct construction[J]. World Latest Medicine Information, 2018, 18(44): 200-201+203. https://doi-org-443.webvpn.bjmu.edu.cn/10.19613/j.cnki.1671-3141.2018.44.140.</w:t>
      </w:r>
    </w:p>
    <w:p w14:paraId="09DE8E26">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Ding R. Research on prevention and control of honest government risk[D]. Zhenjiang: Jiangsu University of Science and Technology, 2018. https://kns-cnki-net-443.webvpn.bjmu.edu.cn/kcms2/article/abstract?v=Jwx2WJw7wUGtvOBU8WAmPeORmxN8yXQCU-MdEc5SE-O_NTwaG-Z0KjE_o7bLImLFCJjDSJWxEG9Ngla7cV1Uws-W4gre6wTIymZPNx5xl8TNmVhfri5foSQnxEwT9_1hg0TWSuDF3DWuq_vNW3mW9CUCUXg5JJ9FKrTpMaTyYcm55NzwQGVllA==&amp;uniplatform=NZKPT&amp;language=CHS.</w:t>
      </w:r>
    </w:p>
    <w:p w14:paraId="66C8D12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Ou X. Research on the construction of clean risk prevention and control management system in public hospitals under the background of new medical reform[D]. Chengdu: Southwest Jiaotong University, 2018. https://kns-cnki-net-443.webvpn.bjmu.edu.cn/kcms2/article/abstract?v=Jwx2WJw7wUHcGZ4QIrmb2jnvgExYane4fLk7YsC8f9nTOMA_2yLlTqF0fBDDBLKjj8jzxmnprJsACCFz5NwroRFFjMFjGtHjzQYd8wTtzBhx5MrVCMqgftkuC-F0bZYhCOJp_AysPrPerhdBAcqeTe5bYbhFGPjYtSgukY5E1tyxTEb9-4yuCw==&amp;uniplatform=NZKPT&amp;language=CHS.</w:t>
      </w:r>
    </w:p>
    <w:p w14:paraId="173CB24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Gui J. An empirical study on related issues of corruption of embezzlement and bribery in medical and health field[D]. Hefei: Anhui University, 2016. https://kns-cnki-net-443.webvpn.bjmu.edu.cn/kcms2/article/abstract?v=Jwx2WJw7wUH4JXRBvVd7lMuEKK-I5G3S3FnASKoE3GSu7cJgs10v_sezdO_tf_2QxuQIvDo1LJk0_-Eclj84ZsZOJyWt-SELTaGoAPcNjC7IQ5bx2LajPdUJfolGkQemhm_wUTMrkYICRLC1pmN5KkuJwuJHMAv5DnbXFFdqA5jbHaMI1eN31g==&amp;uniplatform=NZKPT&amp;language=CHS.</w:t>
      </w:r>
    </w:p>
    <w:p w14:paraId="39B292B3">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Xie X H. Corruption prevention of pharmaceutical purchase and sale in Guangdong Province[D]. Guangzhou: South China University of Technology, 2016. https://kns-cnki-net-443.webvpn.bjmu.edu.cn/kcms2/article/abstract?v=Jwx2WJw7wUHQfFw04EwsGkeI75lAjKHR830EJyVSt1mBREDdAUT1aNvJI7MxndKS0B8vH2HfnSTbmJSme2TJmbEzusUtKGHSmEolyAnA-I8MHpbdjd9Yn9Rz_4n0cN7jWpJ3C29-mEtdkn_ldfLxjaKb9OcaBteoRzi5040nNTf6y-P3JZgbKg==&amp;uniplatform=NZKPT&amp;language=CHS.</w:t>
      </w:r>
    </w:p>
    <w:p w14:paraId="23500463">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Y Y. Research on prevention and control mechanism of medical corruption[D]. Shijiazhuang: Hebei Normal University, 2015. https://kns-cnki-net-443.webvpn.bjmu.edu.cn/kcms2/article/abstract?v=Jwx2WJw7wUEbNrRlsVqSaQTZbGH23UhhGgc-7mQD_vvFmPN9JGvoFioUno14fqvS1UC6kiFmS9R577MprrPZrw5ugHMJ9mXhqgC3XgswjMGfrSVDnzEbRNAKXncvUEm6CD_bd-MoewpVcMNDXwkBzDiBq_QozEMIR_2krok2lYO5WfK7EkcG5Q==&amp;uniplatform=NZKPT&amp;language=CHS.</w:t>
      </w:r>
    </w:p>
    <w:p w14:paraId="3A6588A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Mai H Z. Research on rent-seeking behavior in medical and health field of Dongguan City[D]. Wuhan: Huazhong University of Science and Technology, 2015. https://kns-cnki-net-443.webvpn.bjmu.edu.cn/kcms2/article/abstract?v=Jwx2WJw7wUHU4IYnfFCq4uWst0iZtovFZMwt-zeGwQSBsdCQNiIDLasgPd1aEHapiejCpQl_VDL-kxmHFdt5MF8wyE8AK8FlrLM8D4WrG06vfnm9Id4oUySOTMKe6OEH1xUtOJoNe3zaJk5SCwAkS2HXkXe-a9KCZCnRkJexdhKJ21Dwl3dYHA==&amp;uniplatform=NZKPT&amp;language=CHS.</w:t>
      </w:r>
    </w:p>
    <w:p w14:paraId="61A1DAF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Fu X T. Research on commercial bribery in medical products field of hospitals[D]. Tangshan: North China University of Science and Technology, 2015. https://kns-cnki-net-443.webvpn.bjmu.edu.cn/kcms2/article/abstract?v=Jwx2WJw7wUEvrSqcBSlvgremlsNI_jksQTuQSrh9jCV2BduHnozlYLahfF2b7Jc_f3BRoxoNKEmQPtEOKBarqJW1GWTOX7NMg5vp7f4-j6oRVT83gRDOOTvizoKWeNhQwb__-deONgnHLHWpHL_TBBNmB5M8b-LJiPaFirjU7fGmhpOXazMmIQ==&amp;uniplatform=NZKPT&amp;language=CHS.</w:t>
      </w:r>
    </w:p>
    <w:p w14:paraId="11146A3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Zhang H Z, Guo P Y. Is it directional donation to social public welfare or commercial bribery[J]. Industrial and Commercial Administration, 2014, (22): 36-37.</w:t>
      </w:r>
    </w:p>
    <w:p w14:paraId="601E59C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X P. Thoughts on commercial bribery of multinational pharmaceutical companies[J]. Journal of Nanjing University of Traditional Chinese Medicine (Social Science Edition), 2014, 15(2): 123-126. https://doi-org-443.webvpn.bjmu.edu.cn/10.20060/j.cnki.issn1009-3222.2014.02.013.</w:t>
      </w:r>
    </w:p>
    <w:p w14:paraId="2685504D">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Cheng C. Research on prevention and control countermeasures of medical corruption under the background of China's medical reform[D]. Tianjin: Tianjin University, 2014. https://kns-cnki-net-443.webvpn.bjmu.edu.cn/kcms2/article/abstract?v=Jwx2WJw7wUEkuwiAaVaGNn1W44uZVBNCtnWgvu6BMlBuWE5Rv8w0YN0pH_S9lUTV4m9T-MsWi94HVAeIJSqq2vYjKxl7R2EOeZinJrFr2lM16Uj1gTPeSFPQXaL-29rKFONMS5qw1eET7ecpZlPFXqxncuqhEYKH4JaXn5dmcNtN_9emMt_s3g==&amp;uniplatform=NZKPT&amp;language=CHS.</w:t>
      </w:r>
    </w:p>
    <w:p w14:paraId="67DBE56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Zhao J W. GlaxoSmithKline's "bribery gate" ferments[J]. Legal Person, 2013, (8): 38-40+96.</w:t>
      </w:r>
    </w:p>
    <w:p w14:paraId="79C3BDC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L R. Discussion on governance countermeasures of commercial bribery in medical device industry[J]. Modern Business Trade Industry, 2013, 25(14): 162. https://doi-org-443.webvpn.bjmu.edu.cn/10.19311/j.cnki.1672-3198.2013.14.084.</w:t>
      </w:r>
    </w:p>
    <w:p w14:paraId="47A8C7A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An J J. Analysis on countermeasures of preventing bribery crime in drug procurement[J]. Legal System and Society, 2013, (12): 253+255. https://doi-org-443.webvpn.bjmu.edu.cn/10.19387/j.cnki.1009-0592.2013.12.128.</w:t>
      </w:r>
    </w:p>
    <w:p w14:paraId="59A2CF9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J P, Lei Y, Chao J. Conflict of interests and governance in the "three public" fields of medical and health industry[J]. Journal of Guangzhou University (Social Science Edition), 2011, 10(12): 5-9.</w:t>
      </w:r>
    </w:p>
    <w:p w14:paraId="6EDB6CA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Lu Y J, Bi M X. Thoughts on the construction of clean risk prevention mechanism in hospitals[J]. Medical Information, 2011, 24(9): 6014-6016.</w:t>
      </w:r>
    </w:p>
    <w:p w14:paraId="427BFB6F">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Chen Z J. Research on prevention and control of official crime in medical system[D]. Nanjing: Nanjing University, 2011. https://kns-cnki-net-443.webvpn.bjmu.edu.cn/kcms2/article/abstract?v=Jwx2WJw7wUFmXLpeXjJDm2zfIeiB9PlzGrVYizZd2yP1FcIgTnKipApRkysh5XV3Qgz5JV85kGzd2r0yWYwz88K-F40nnk8VnZRviXtYczNj9B_mYa7RXUoCi3dEw2a6xHi-qEcL05P2S3ZcWAQTiS6uAXhKgivLEGeH2hCbH-bRfib2Vw0eNQOW9NVpYKoG&amp;uniplatform=NZKPT&amp;language=CHS.</w:t>
      </w:r>
    </w:p>
    <w:p w14:paraId="649B2CC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Yang L. Analysis of China's medical device market and supervision[D]. Harbin: Heilongjiang University of Chinese Medicine, 2011. https://kns-cnki-net-443.webvpn.bjmu.edu.cn/kcms2/article/abstract?v=Jwx2WJw7wUFVG4qKdOZ_V3KvBRIROoB0kQze_iV3VHc3AD2g66zQt6Fw8Rr5TojlSOsn2dL1EhoRW5mlDLvNu-pZ-9AMhuw4V2KUUz0um93oekMiriL4uqMhf0U2BVDoraP4KhFi8TyZlAs9Ln8EhkzXJ0SYS3iq2fiyABxtFynpvGAnykaX7A==&amp;uniplatform=NZKPT&amp;language=CHS.</w:t>
      </w:r>
    </w:p>
    <w:p w14:paraId="44130C9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Xue L N. Legal regulation of commercial bribery[D]. Shanghai: East China University of Political Science and Law, 2011. https://kns-cnki-net-443.webvpn.bjmu.edu.cn/kcms2/article/abstract?v=Jwx2WJw7wUF1blgMzBXKVmjjVbe8S0qlaH4WtQP4poz8_Uzlxxda7cY-seuAPWhYuG4YT2_P_n_K5ReX5qVJPL_zt0TEBmnl8IehgYYjx7kqviJVh98k7djPzlpKgWJAdSCzeh4TSq_JI9EdC_RWy0pA23z1BkmynaLkdBRvERnBBnRCNwAeyg==&amp;uniplatform=NZKPT&amp;language=CHS.</w:t>
      </w:r>
    </w:p>
    <w:p w14:paraId="5AF2EE1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Gong X. Analysis of commercial bribery in medical field[J]. Legal System and Society, 2011, (9): 119. https://doi-org-443.webvpn.bjmu.edu.cn/10.19387/j.cnki.1009-0592.2011.09.066.</w:t>
      </w:r>
    </w:p>
    <w:p w14:paraId="77A35DB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Zhang Y N, Zhang J. Internal control system for medical device enterprises to avoid improper payment[J]. Economic Research Guide, 2011, (7): 49-50.</w:t>
      </w:r>
    </w:p>
    <w:p w14:paraId="7C4981E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Han X M. Pay attention to education, thoroughly govern commercial bribery, strengthen supervision and standardize medical equipment procurement[J]. Medical Information, 2010, 5(12): 3790-3791.</w:t>
      </w:r>
    </w:p>
    <w:p w14:paraId="1A9EB863">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Sun L. How innovation is not killed by corruption[J]. IT Manager World, 2010, (19): 80-81.</w:t>
      </w:r>
    </w:p>
    <w:p w14:paraId="0B01E4F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X D. Strive to create honest procurement and honest business atmosphere in health centralized procurement[J]. Chinese Medical Innovation, 2010, 7(21): 174-175.</w:t>
      </w:r>
    </w:p>
    <w:p w14:paraId="42ED3FC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Qiu Y H. Regulation of medical commercial bribery by anti-unfair competition law[D]. Changsha: Hunan Normal University, 2010. https://kns-cnki-net-443.webvpn.bjmu.edu.cn/kcms2/article/abstract?v=Jwx2WJw7wUFkVolUaGb1pzFesyQzJQucAxehR_fr4cIFzUCy5Cgvcu4N_0Yh9Pqqf0t8MOGqJtlrEqHiWXpimL2B5O-Yos9S6JvIVrJa0wRbFBNaqr26E_7M5hds9pQmSw_Y8uBvDSXrKpGcLcc8eU_8X6a3ma-RBfnYuVt04M9wiH3idPqxJg==&amp;uniplatform=NZKPT&amp;language=CHS.</w:t>
      </w:r>
    </w:p>
    <w:p w14:paraId="47C2769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L. Research on countermeasures of governing commercial bribery in pharmaceutical industry[D]. Changsha: Hunan University, 2009. https://kns-cnki-net-443.webvpn.bjmu.edu.cn/kcms2/article/abstract?v=Jwx2WJw7wUEiGZaZ29sarN4tXVZToXlKUMhfci8yGazYXBmzDhGGCSgLg49Cd4XVYxlxd4EVlB_9bjEGpEBohs57xI5VEKTa38L4pzrJgxbk_Ckk-yRV3ZZ9HhJTqzhgL7QIAeB5nCJVopb39NaGFFCcFYNzeYig1ChNe3t3vkUoWYYrz_luCA==&amp;uniplatform=NZKPT&amp;language=CHS.</w:t>
      </w:r>
    </w:p>
    <w:p w14:paraId="7DEFCA2F">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Y M. Characteristics and causes analysis of commercial bribery in medical device field[J]. Shanghai Economic Research, 2008, (8): 92-96. https://doi-org-443.webvpn.bjmu.edu.cn/10.19626/j.cnki.cn31-1163/f.2008.08.015.</w:t>
      </w:r>
    </w:p>
    <w:p w14:paraId="76A42F89">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Y. An empirical study on commercial bribery crime in pharmaceutical purchase and sale[D]. Chongqing: Southwest University of Political Science and Law, 2008. https://kns-cnki-net-443.webvpn.bjmu.edu.cn/kcms2/article/abstract?v=Jwx2WJw7wUGvOdqbkcsDdadhTK6WgU0btuIfFmPrag9pTIkKS-nWhf46eXWRiiXhhn-mkCZEhKn4rKOiKbqJ_aVUFMUvdGdsu-XNxThsqtZ8Cr3g_tynlAYXm4wDJ7HgPRN7zDgtoUiHKPLLrTZg2_mrfnNifI2e_MLEPPipuyD6Qab7l_GCig==&amp;uniplatform=NZKPT&amp;language=CHS.</w:t>
      </w:r>
    </w:p>
    <w:p w14:paraId="339A485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Jiang J, Li M X, Cui W. Strengthen system construction and build a long-term mechanism for managing commercial bribery[J]. Chinese Journal of Hospital Administration, 2008, (4): 276-278.</w:t>
      </w:r>
    </w:p>
    <w:p w14:paraId="16F8776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X P. Governance of commercial bribery in pharmaceutical industry and purification of medical and health service environment[J]. Anhui Journal of Health Vocational and Technical College, 2008, (1): 9-10.</w:t>
      </w:r>
    </w:p>
    <w:p w14:paraId="4181AB1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Zhen C D. Thoughts and countermeasures on governing commercial bribery in colleges and universities[J]. Journal of Foshan University (Natural Science Edition), 2007, (6): 70-73.</w:t>
      </w:r>
    </w:p>
    <w:p w14:paraId="00B25C99">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Liu Q E. Research on the benefit of Chinese government procurement from the perspective of technical and economic analysis[D]. Changchun: Jilin University, 2007. https://kns-cnki-net-443.webvpn.bjmu.edu.cn/kcms2/article/abstract?v=Jwx2WJw7wUE4X6dJW5gFm8RxTYoE5SF3JeYFWSWlTOXwCXf9HBUB1VPpzMCHYaLGmyrv7xcQ3fdDMN3UKUYsc67mpIMdsuPmcQ0lQZU1WCpGULkR9v3TOWN4p-gcwns9R9B8B-s-Sua4EHeh1Tb8_AcMhP4nfXa9JODrN1QymsGEiWHkna7RPw==&amp;uniplatform=NZKPT&amp;language=CHS.</w:t>
      </w:r>
    </w:p>
    <w:p w14:paraId="02A059B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Zheng D X. The interest relationship among commercial bribery, rebate and pharmaceutical enterprises[J]. Modern Hospital Management, 2007, (5): 9-13.</w:t>
      </w:r>
    </w:p>
    <w:p w14:paraId="0B032B8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Y H. New medical reform can't bind drug price with planned economy system——Gu Xin, senior research fellow of Peking University Center for Economic and Human Development, talks about drug price and medical system reform[J]. Capital Medicine, 2007, (19): 27-29.</w:t>
      </w:r>
    </w:p>
    <w:p w14:paraId="09FA3238">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 S S. Thoughts on strengthening anti-commercial bribery work in medical and health system[J]. Journal of Yinchuan Municipal Party School of CPC, 2007, (4): 91-93.</w:t>
      </w:r>
    </w:p>
    <w:p w14:paraId="218E217F">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Ma L L. On pharmaceutical commercial bribery and its legal regulation[D]. Changchun: Jilin University, 2007. https://kns-cnki-net-443.webvpn.bjmu.edu.cn/kcms2/article/abstract?v=Jwx2WJw7wUGrdNyHL7vPBltJ3tAR7XSIfRN9onZisI09sbTN5c0EjSCkc6at7tO2Z9Hoh6XJm-awbdlzqZInG5vQsl2c-6cAAQ_qMfRmC8eoiFDJOxaYg_lU2_7BLqf0_5wKDoT5jzWuz64Ve-tivbjGIAojmnRoX0vtJBypL1XC91u2bpu2Cw==&amp;uniplatform=NZKPT&amp;language=CHS.</w:t>
      </w:r>
    </w:p>
    <w:p w14:paraId="1588460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Shao M L. Practice scientific supervision to promote social harmony and strive to create a new situation in food and drug supervision work-summary of work report at the 2007 National Food and Drug Supervision Work and Party Style and Clean Government Construction Conference (Abstract)[J]. China Food Drug Administration, 2007, (2): 7-11.</w:t>
      </w:r>
    </w:p>
    <w:p w14:paraId="749D2E9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Beijing Municipal Medical Products Administration. Beijing Drug Administration's anti-bribery work was highly praised by the municipal anti-bribery inspection team[J]. Capital Medicine, 2007, (4): 4.</w:t>
      </w:r>
    </w:p>
    <w:p w14:paraId="69FA16E6">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Wu Y. What are the relevant policies and regulations on governance of commercial bribery in China's pharmaceutical industry[J]. Capital Medicine, 2007, (4): 4.</w:t>
      </w:r>
    </w:p>
    <w:p w14:paraId="24B39A6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Feng G A. Scientific supervision and harmonious development push the capital drug supervision to a new level[J]. Capital Medicine, 2007, (3): 22-24.</w:t>
      </w:r>
    </w:p>
    <w:p w14:paraId="783D849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Baima R Z, Yi L. Harm and prevention of commercial bribery in pharmaceutical industry[J]. Tibetan Medical Journal, 2007, (1): 40-43.</w:t>
      </w:r>
    </w:p>
    <w:p w14:paraId="15EFDDC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Bao X A. Cut off the chain of medical bribery and corruption[J]. Rural. Agriculture. Farmers (Edition B), 2007, (2): 16-19.</w:t>
      </w:r>
    </w:p>
    <w:p w14:paraId="7863F67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Wei C F, Chen J R, Zhan Y. Several legal issues on governance of commercial bribery in pharmaceutical purchase and sale[J]. Modern Hospitals, 2007, (1): 103-105.</w:t>
      </w:r>
    </w:p>
    <w:p w14:paraId="4B54017F">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He Y J. Based on supervision functions to promote in-depth development of commercial bribery governance[J]. China Food Drug Administration, 2006, (12): 39-40.</w:t>
      </w:r>
    </w:p>
    <w:p w14:paraId="3362903C">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Mu Yi. Inadequate regulation contributes to the spread of commercial bribery[J]. Contemporary Medicine, 2006, (12): 22-25.</w:t>
      </w:r>
    </w:p>
    <w:p w14:paraId="74A76D4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Qin G D, Yu R J. Analysis of commercial bribery in medical and health field[J]. Chinese Health Economics, 2006, (11): 28-31.</w:t>
      </w:r>
    </w:p>
    <w:p w14:paraId="5A5C6D4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Ye L J, Jin X M. Thoughts on establishing and improving the long-term mechanism for governing commercial bribery in pharmaceutical purchase and sale field[J]. Medicine &amp; Philosophy (Humanistic &amp; Social Medicine Edition), 2006, (10): 5-7.</w:t>
      </w:r>
    </w:p>
    <w:p w14:paraId="7334B2C8">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Mao Q A. Persevere and strive for practical results——on governing commercial bribery in pharmaceutical purchase and sale field in health system[J]. China Today Forum, 2006, (10): 76-78.</w:t>
      </w:r>
    </w:p>
    <w:p w14:paraId="4F86303E">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Pharmaceutical Regulation[J]. Shanghai Medical &amp; Pharmaceutical Journal, 2006, (8): 382-383.</w:t>
      </w:r>
    </w:p>
    <w:p w14:paraId="5790DD28">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Chu X. Governance of commercial bribery sets up a tight net——various departments in our province lock key areas[J]. Sichuan Party Construction (Urban Edition), 2006, (6): 13-14.</w:t>
      </w:r>
    </w:p>
    <w:p w14:paraId="4CBB844D">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Anti-commercial Bribery[J]. Shanghai Medical &amp; Pharmaceutical Journal, 2006, (6): 287-288.</w:t>
      </w:r>
    </w:p>
    <w:p w14:paraId="69D5FAA6">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Mao J W. 2006: The first year of governing medical commercial bribery?[J]. Contemporary Medicine, 2006, (6): 47-53.</w:t>
      </w:r>
    </w:p>
    <w:p w14:paraId="594C6D0F">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Editorial Board of This Journal. Seriously govern commercial bribery[J]. China Food Drug Administration, 2006, (5): 1.</w:t>
      </w:r>
    </w:p>
    <w:p w14:paraId="356D5BA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State Food and Drug Administration. Governance of commercial bribery, deepen anti-corruption and promote clean government: State Food and Drug Administration deploys special work to govern commercial bribery in drug and medical device manufacturing and marketing enterprises[J]. China Food Drug Administration, 2006, (5): 4-6.</w:t>
      </w:r>
    </w:p>
    <w:p w14:paraId="13FFD657">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Strengthen leadership, pay close attention to implementation, ensure results[J]. China Food Drug Administration, 2006, (5): 7.</w:t>
      </w:r>
    </w:p>
    <w:p w14:paraId="3A56F138">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Unify thoughts, make careful arrangements and organize scientifically: The special work of governing commercial bribery in drug and medical device production and operation enterprises in Beijing has been fully launched[J]. Capital Medicine, 2006, (10): 1.</w:t>
      </w:r>
    </w:p>
    <w:p w14:paraId="345CA796">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Feng G A. Make careful arrangements, address both symptoms and root causes, and steadily carry out special work on commercial bribery governance[J]. Capital Medicine, 2006, (10): 1-3.</w:t>
      </w:r>
    </w:p>
    <w:p w14:paraId="7CE762E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Wen J. Ensure the safety of public medication and conscientiously carry out special work on commercial bribery governance[J]. Chinese Medical Guide, 2006, (5): 10-12. https://doi-org-443.webvpn.bjmu.edu.cn/10.15912/j.cnki.gocm.2006.05.003.</w:t>
      </w:r>
    </w:p>
    <w:p w14:paraId="3A859C0C">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Director Shao Mingli of State Food and Drug Administration pointed out that there are six key points for governance of commercial bribery[J]. Chinese Journal of Ethnomedicine and Ethnopharmacy, 2006, (4): 45.</w:t>
      </w:r>
    </w:p>
    <w:p w14:paraId="01F0783D">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Liu H. Health system governance of commercial bribery focuses on five kinds of behaviors[J]. Chinese Health, 2006, (4): 4.</w:t>
      </w:r>
    </w:p>
    <w:p w14:paraId="7A3408C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Strengthen supervision and establish a good health order[J]. Medical Industry Information, 2006, (10): 17.</w:t>
      </w:r>
    </w:p>
    <w:p w14:paraId="06A85CA4">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Commentary Editor of This Journal. Governance of commercial bribery in medical field is urgent[J]. China Pharmaceuticals, 2006, (7): 1-2.</w:t>
      </w:r>
    </w:p>
    <w:p w14:paraId="054FCCB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Wang Y. Medical corruption harms the country and the people, promotes clean and diligent government construction——heavy fist hits medical corruption[J]. Medical World, 2006, (2): 30-41.</w:t>
      </w:r>
    </w:p>
    <w:p w14:paraId="3195C2B5">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Tang Y Q. Implement responsibilities, strengthen measures, crack down on governance and promote the work of correcting unhealthy tendencies in the health industry[J]. Chinese Health Service Management, 2004, (10): 630-631+636.</w:t>
      </w:r>
    </w:p>
    <w:p w14:paraId="47D5181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Zhang W K. Comprehensive management of unhealthy tendencies in health industry[J]. China Inspection, 2003, (8): 12-13.</w:t>
      </w:r>
    </w:p>
    <w:p w14:paraId="045E9BF1">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Fu J, Xu J Y, Wang Y. Risk Identification and Regulation for China's Anti-Commercial Bribery in Medical Device Procurement and Sales Industry[J]. Chin Med Sci J, 2025, 40(2): 144-149. doi: 10.24920/004450. PMID: 40985063.</w:t>
      </w:r>
    </w:p>
    <w:p w14:paraId="012B47DA">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Saeed G, Kohler J C. Corruption risks in COVID-19 vaccine deployment: lessons learned for future pandemic preparedness[J]. Global Health, 2025, 21(1): 8. doi: 10.1186/s12992-025-01096-6. PMID: 40055685; PMCID: PMC11887148.</w:t>
      </w:r>
    </w:p>
    <w:p w14:paraId="2D19111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Kohler J C, Wright T. The Urgent Need for Transparent and Accountable Procurement of Medicine and Medical Supplies in Times of COVID-19 Pandemic[J]. J Pharm Policy Pract, 2020, 13: 58. doi: 10.1186/s40545-020-00256-w. PMID: 32934820; PMCID: PMC7485191.</w:t>
      </w:r>
    </w:p>
    <w:p w14:paraId="153B74AB">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Meciar S, Gleeson D, Pizzino S, Teimouri N, Cullerton K. Commercial practices of the arms industry and implications for global public health: a scoping review[J]. Global Health, 2026, 22(1): 52. doi: 10.1186/s12992-026-01215-x. PMID: 42204628; PMCID: PMC13217944.</w:t>
      </w:r>
    </w:p>
    <w:p w14:paraId="05D40812">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Perakslis E, Nolen K, Fricklas E, Tubb T. Striking a Balance: Innovation, Equity, and Consistency in AI Health Technologies[J]. JMIR AI, 2025, 4: e57421. DOI: 10.2196/57421. URL: https://ai.jmir.org/2025/1/e57421.</w:t>
      </w:r>
    </w:p>
    <w:p w14:paraId="05C5D300">
      <w:pPr>
        <w:numPr>
          <w:ilvl w:val="0"/>
          <w:numId w:val="2"/>
        </w:numPr>
        <w:ind w:left="425" w:leftChars="0" w:hanging="425" w:firstLineChars="0"/>
        <w:rPr>
          <w:rFonts w:hint="default" w:ascii="Times New Roman" w:hAnsi="Times New Roman" w:cs="Times New Roman"/>
        </w:rPr>
      </w:pPr>
      <w:r>
        <w:rPr>
          <w:rFonts w:hint="default" w:ascii="Times New Roman" w:hAnsi="Times New Roman" w:cs="Times New Roman"/>
        </w:rPr>
        <w:t>King M W. Health Care Efficiencies[J]. American Journal of Law &amp; Medicine, 2017, 43(4): 426–467. doi:10.1177/0098858817753407.</w:t>
      </w:r>
    </w:p>
    <w:p w14:paraId="4EF497D9">
      <w:pPr>
        <w:rPr>
          <w:rFonts w:hint="default" w:ascii="Times New Roman" w:hAnsi="Times New Roman" w:cs="Times New Roman"/>
        </w:rPr>
      </w:pPr>
    </w:p>
    <w:p w14:paraId="07BB0F32">
      <w:pPr>
        <w:rPr>
          <w:rFonts w:hint="default" w:ascii="Times New Roman" w:hAnsi="Times New Roman" w:cs="Times New Roman"/>
        </w:rPr>
      </w:pPr>
    </w:p>
    <w:p w14:paraId="726E192F">
      <w:pPr>
        <w:rPr>
          <w:rFonts w:hint="default" w:ascii="Times New Roman" w:hAnsi="Times New Roman" w:cs="Times New Roman"/>
          <w:lang w:val="en-US" w:eastAsia="zh-CN"/>
        </w:rPr>
      </w:pPr>
    </w:p>
    <w:sectPr>
      <w:pgSz w:w="11906" w:h="16838"/>
      <w:pgMar w:top="1440" w:right="1803" w:bottom="1440" w:left="1803" w:header="851" w:footer="992" w:gutter="0"/>
      <w:paperSrc/>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E0F976"/>
    <w:multiLevelType w:val="singleLevel"/>
    <w:tmpl w:val="8CE0F976"/>
    <w:lvl w:ilvl="0" w:tentative="0">
      <w:start w:val="1"/>
      <w:numFmt w:val="decimal"/>
      <w:lvlText w:val="%1."/>
      <w:lvlJc w:val="left"/>
      <w:pPr>
        <w:ind w:left="425" w:hanging="425"/>
      </w:pPr>
      <w:rPr>
        <w:rFonts w:hint="default"/>
      </w:rPr>
    </w:lvl>
  </w:abstractNum>
  <w:abstractNum w:abstractNumId="1">
    <w:nsid w:val="D523335D"/>
    <w:multiLevelType w:val="singleLevel"/>
    <w:tmpl w:val="D523335D"/>
    <w:lvl w:ilvl="0" w:tentative="0">
      <w:start w:val="3"/>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dit="readOnly"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2056BA"/>
    <w:rsid w:val="00CC50E7"/>
    <w:rsid w:val="0151562F"/>
    <w:rsid w:val="01537FBC"/>
    <w:rsid w:val="079D1734"/>
    <w:rsid w:val="09665BC4"/>
    <w:rsid w:val="097C6F09"/>
    <w:rsid w:val="09E63931"/>
    <w:rsid w:val="09E9384C"/>
    <w:rsid w:val="0A434869"/>
    <w:rsid w:val="0A912FE2"/>
    <w:rsid w:val="0B166AA0"/>
    <w:rsid w:val="109B6730"/>
    <w:rsid w:val="112E2AB2"/>
    <w:rsid w:val="153671E2"/>
    <w:rsid w:val="17230CDC"/>
    <w:rsid w:val="1871125E"/>
    <w:rsid w:val="1B577360"/>
    <w:rsid w:val="1D652C0D"/>
    <w:rsid w:val="226F27F2"/>
    <w:rsid w:val="229E0D7F"/>
    <w:rsid w:val="242056BA"/>
    <w:rsid w:val="25EA7D5D"/>
    <w:rsid w:val="27C76E96"/>
    <w:rsid w:val="285B6D66"/>
    <w:rsid w:val="28D2057D"/>
    <w:rsid w:val="2A19294B"/>
    <w:rsid w:val="2B3B6BBC"/>
    <w:rsid w:val="2D8C104E"/>
    <w:rsid w:val="2E431002"/>
    <w:rsid w:val="2E5D2975"/>
    <w:rsid w:val="2F41367A"/>
    <w:rsid w:val="2FFD165A"/>
    <w:rsid w:val="34206904"/>
    <w:rsid w:val="39813425"/>
    <w:rsid w:val="39D40D34"/>
    <w:rsid w:val="3BE7369C"/>
    <w:rsid w:val="3D3C74BC"/>
    <w:rsid w:val="3D724EDC"/>
    <w:rsid w:val="3EBA585A"/>
    <w:rsid w:val="3F0E38D8"/>
    <w:rsid w:val="43451FC3"/>
    <w:rsid w:val="44020C04"/>
    <w:rsid w:val="45872044"/>
    <w:rsid w:val="45B03238"/>
    <w:rsid w:val="4722278E"/>
    <w:rsid w:val="47647309"/>
    <w:rsid w:val="4812704D"/>
    <w:rsid w:val="4A4C2239"/>
    <w:rsid w:val="4C117473"/>
    <w:rsid w:val="4C46287F"/>
    <w:rsid w:val="4C970E9A"/>
    <w:rsid w:val="4CD102B5"/>
    <w:rsid w:val="4F2E0E0B"/>
    <w:rsid w:val="4F95455D"/>
    <w:rsid w:val="551925CD"/>
    <w:rsid w:val="55AF786E"/>
    <w:rsid w:val="592E0FE4"/>
    <w:rsid w:val="595C508C"/>
    <w:rsid w:val="5AC24236"/>
    <w:rsid w:val="5CC232BE"/>
    <w:rsid w:val="64F9595C"/>
    <w:rsid w:val="66E130AD"/>
    <w:rsid w:val="690C7956"/>
    <w:rsid w:val="6F224C2B"/>
    <w:rsid w:val="70E5118F"/>
    <w:rsid w:val="715E11BB"/>
    <w:rsid w:val="71797124"/>
    <w:rsid w:val="73867D80"/>
    <w:rsid w:val="73ED49CA"/>
    <w:rsid w:val="76143E0D"/>
    <w:rsid w:val="79EC6F0D"/>
    <w:rsid w:val="7C51449B"/>
    <w:rsid w:val="7DA92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871</Words>
  <Characters>6319</Characters>
  <Lines>0</Lines>
  <Paragraphs>0</Paragraphs>
  <TotalTime>1</TotalTime>
  <ScaleCrop>false</ScaleCrop>
  <LinksUpToDate>false</LinksUpToDate>
  <CharactersWithSpaces>7050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2026-07-24T15:44:00Z</dcterms:created>
  <dc:creator>郭晓培</dc:creator>
  <cp:lastModifiedBy>郭晓培</cp:lastModifiedBy>
  <dcterms:modified xsi:type="dcterms:W3CDTF">2026-08-05T10:25:26Z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1933C025C1D64E2DB3AAD29DFF2FCDA3_11</vt:lpwstr>
  </property>
  <property fmtid="{D5CDD505-2E9C-101B-9397-08002B2CF9AE}" pid="4" name="KSOTemplateDocerSaveRecord">
    <vt:lpwstr>eyJoZGlkIjoiMGU3MGJlMGU3YWM0MjBkOWUxM2U3MjYxOTQyZjRmMGMiLCJ1c2VySWQiOiIxODY5NjMyNTU3In0=</vt:lpwstr>
  </property>
</Properties>
</file>