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CB092" w14:textId="5ADC0342" w:rsidR="00CF6EE6" w:rsidRPr="00074C12" w:rsidRDefault="00CF6EE6" w:rsidP="00CF6EE6">
      <w:pPr>
        <w:spacing w:line="480" w:lineRule="auto"/>
        <w:rPr>
          <w:rFonts w:ascii="Times New Roman" w:hAnsi="Times New Roman" w:cs="Times New Roman"/>
        </w:rPr>
      </w:pPr>
      <w:r w:rsidRPr="00074C12">
        <w:rPr>
          <w:rFonts w:ascii="Times New Roman" w:hAnsi="Times New Roman" w:cs="Times New Roman"/>
        </w:rPr>
        <w:t xml:space="preserve">Appendix </w:t>
      </w:r>
      <w:r w:rsidR="00C30E09">
        <w:rPr>
          <w:rFonts w:ascii="Times New Roman" w:hAnsi="Times New Roman" w:cs="Times New Roman"/>
        </w:rPr>
        <w:t>2</w:t>
      </w:r>
      <w:r w:rsidRPr="00074C12">
        <w:rPr>
          <w:rFonts w:ascii="Times New Roman" w:hAnsi="Times New Roman" w:cs="Times New Roman"/>
        </w:rPr>
        <w:t>. Table of themes and subthemes with the corresponding definitions.</w:t>
      </w:r>
    </w:p>
    <w:tbl>
      <w:tblPr>
        <w:tblStyle w:val="TableGrid"/>
        <w:tblW w:w="9805" w:type="dxa"/>
        <w:tblLook w:val="04A0" w:firstRow="1" w:lastRow="0" w:firstColumn="1" w:lastColumn="0" w:noHBand="0" w:noVBand="1"/>
      </w:tblPr>
      <w:tblGrid>
        <w:gridCol w:w="2425"/>
        <w:gridCol w:w="7380"/>
      </w:tblGrid>
      <w:tr w:rsidR="00CF6EE6" w:rsidRPr="00074C12" w14:paraId="26305043" w14:textId="77777777" w:rsidTr="00602FA9">
        <w:trPr>
          <w:cantSplit/>
        </w:trPr>
        <w:tc>
          <w:tcPr>
            <w:tcW w:w="2425" w:type="dxa"/>
          </w:tcPr>
          <w:p w14:paraId="597EC0E8" w14:textId="77777777" w:rsidR="00CF6EE6" w:rsidRPr="00074C12" w:rsidRDefault="00CF6EE6" w:rsidP="00602FA9">
            <w:pPr>
              <w:rPr>
                <w:rFonts w:ascii="Times New Roman" w:hAnsi="Times New Roman" w:cs="Times New Roman"/>
                <w:b/>
                <w:bCs/>
              </w:rPr>
            </w:pPr>
            <w:r w:rsidRPr="00074C12">
              <w:rPr>
                <w:rFonts w:ascii="Times New Roman" w:hAnsi="Times New Roman" w:cs="Times New Roman"/>
                <w:b/>
                <w:bCs/>
              </w:rPr>
              <w:t>Term</w:t>
            </w:r>
          </w:p>
        </w:tc>
        <w:tc>
          <w:tcPr>
            <w:tcW w:w="7380" w:type="dxa"/>
          </w:tcPr>
          <w:p w14:paraId="6EBB6576" w14:textId="77777777" w:rsidR="00CF6EE6" w:rsidRPr="00074C12" w:rsidRDefault="00CF6EE6" w:rsidP="00602FA9">
            <w:pPr>
              <w:rPr>
                <w:rFonts w:ascii="Times New Roman" w:hAnsi="Times New Roman" w:cs="Times New Roman"/>
                <w:b/>
                <w:bCs/>
              </w:rPr>
            </w:pPr>
            <w:r w:rsidRPr="00074C12">
              <w:rPr>
                <w:rFonts w:ascii="Times New Roman" w:hAnsi="Times New Roman" w:cs="Times New Roman"/>
                <w:b/>
                <w:bCs/>
              </w:rPr>
              <w:t>Definition</w:t>
            </w:r>
          </w:p>
        </w:tc>
      </w:tr>
      <w:tr w:rsidR="00CF6EE6" w:rsidRPr="00074C12" w14:paraId="2C21FE14" w14:textId="77777777" w:rsidTr="00602FA9">
        <w:trPr>
          <w:cantSplit/>
        </w:trPr>
        <w:tc>
          <w:tcPr>
            <w:tcW w:w="9805" w:type="dxa"/>
            <w:gridSpan w:val="2"/>
            <w:shd w:val="clear" w:color="auto" w:fill="E8E8E8" w:themeFill="background2"/>
          </w:tcPr>
          <w:p w14:paraId="2683DF80" w14:textId="77777777" w:rsidR="00CF6EE6" w:rsidRPr="00074C12" w:rsidRDefault="00CF6EE6" w:rsidP="00602FA9">
            <w:pPr>
              <w:rPr>
                <w:rFonts w:ascii="Times New Roman" w:hAnsi="Times New Roman" w:cs="Times New Roman"/>
                <w:b/>
                <w:bCs/>
              </w:rPr>
            </w:pPr>
            <w:r w:rsidRPr="00074C12">
              <w:rPr>
                <w:rFonts w:ascii="Times New Roman" w:hAnsi="Times New Roman" w:cs="Times New Roman"/>
                <w:b/>
                <w:bCs/>
              </w:rPr>
              <w:t>Align Resources with Patient and Population Needs</w:t>
            </w:r>
          </w:p>
        </w:tc>
      </w:tr>
      <w:tr w:rsidR="00CF6EE6" w:rsidRPr="00074C12" w14:paraId="70A4F868" w14:textId="77777777" w:rsidTr="00602FA9">
        <w:trPr>
          <w:cantSplit/>
        </w:trPr>
        <w:tc>
          <w:tcPr>
            <w:tcW w:w="2425" w:type="dxa"/>
          </w:tcPr>
          <w:p w14:paraId="2F1D112B"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Capacity</w:t>
            </w:r>
          </w:p>
        </w:tc>
        <w:tc>
          <w:tcPr>
            <w:tcW w:w="7380" w:type="dxa"/>
          </w:tcPr>
          <w:p w14:paraId="0928788A" w14:textId="77777777" w:rsidR="00CF6EE6" w:rsidRPr="003A4FE4" w:rsidRDefault="00CF6EE6" w:rsidP="00602FA9">
            <w:pPr>
              <w:rPr>
                <w:rFonts w:ascii="Times New Roman" w:hAnsi="Times New Roman" w:cs="Times New Roman"/>
                <w:vertAlign w:val="superscript"/>
              </w:rPr>
            </w:pPr>
            <w:r w:rsidRPr="00074C12">
              <w:rPr>
                <w:rFonts w:ascii="Times New Roman" w:hAnsi="Times New Roman" w:cs="Times New Roman"/>
              </w:rPr>
              <w:t>Capacity is the ability for an individual, organization, or system to complete specific roles or tasks, which may be impacted by various factors such as mental health, physical health, access to resources [income, funding, technology], time availability, and ability or competence.</w:t>
            </w:r>
            <w:r w:rsidRPr="0019408B">
              <w:rPr>
                <w:rFonts w:ascii="Times New Roman" w:hAnsi="Times New Roman" w:cs="Times New Roman"/>
                <w:vertAlign w:val="superscript"/>
              </w:rPr>
              <w:t>1</w:t>
            </w:r>
          </w:p>
        </w:tc>
      </w:tr>
      <w:tr w:rsidR="00CF6EE6" w:rsidRPr="00074C12" w14:paraId="4336F867" w14:textId="77777777" w:rsidTr="00602FA9">
        <w:trPr>
          <w:cantSplit/>
        </w:trPr>
        <w:tc>
          <w:tcPr>
            <w:tcW w:w="2425" w:type="dxa"/>
          </w:tcPr>
          <w:p w14:paraId="03DAA96B"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Convenience</w:t>
            </w:r>
          </w:p>
        </w:tc>
        <w:tc>
          <w:tcPr>
            <w:tcW w:w="7380" w:type="dxa"/>
          </w:tcPr>
          <w:p w14:paraId="76A2161B" w14:textId="77777777" w:rsidR="00CF6EE6" w:rsidRPr="0019408B" w:rsidRDefault="00CF6EE6" w:rsidP="00602FA9">
            <w:pPr>
              <w:rPr>
                <w:rFonts w:ascii="Times New Roman" w:hAnsi="Times New Roman" w:cs="Times New Roman"/>
                <w:vertAlign w:val="superscript"/>
              </w:rPr>
            </w:pPr>
            <w:r w:rsidRPr="00074C12">
              <w:rPr>
                <w:rFonts w:ascii="Times New Roman" w:hAnsi="Times New Roman" w:cs="Times New Roman"/>
              </w:rPr>
              <w:t>Healthcare and social services should be suitable for fulfilling requirements with ease, which can include accommodating service locations for clients, ease in scheduling appointments, efficient transitions in care, or flexibility in the ways services are provided (e.g., walk-in visits)</w:t>
            </w:r>
            <w:r>
              <w:rPr>
                <w:rFonts w:ascii="Times New Roman" w:hAnsi="Times New Roman" w:cs="Times New Roman"/>
              </w:rPr>
              <w:t>.</w:t>
            </w:r>
            <w:r w:rsidRPr="0052315F">
              <w:rPr>
                <w:rFonts w:ascii="Times New Roman" w:hAnsi="Times New Roman" w:cs="Times New Roman"/>
                <w:vertAlign w:val="superscript"/>
              </w:rPr>
              <w:t>2</w:t>
            </w:r>
          </w:p>
        </w:tc>
      </w:tr>
      <w:tr w:rsidR="00CF6EE6" w:rsidRPr="00074C12" w14:paraId="037E2603" w14:textId="77777777" w:rsidTr="00602FA9">
        <w:trPr>
          <w:cantSplit/>
        </w:trPr>
        <w:tc>
          <w:tcPr>
            <w:tcW w:w="2425" w:type="dxa"/>
          </w:tcPr>
          <w:p w14:paraId="2EE46528"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Relation</w:t>
            </w:r>
            <w:r>
              <w:rPr>
                <w:rFonts w:ascii="Times New Roman" w:hAnsi="Times New Roman" w:cs="Times New Roman"/>
              </w:rPr>
              <w:t>al continuity</w:t>
            </w:r>
          </w:p>
        </w:tc>
        <w:tc>
          <w:tcPr>
            <w:tcW w:w="7380" w:type="dxa"/>
          </w:tcPr>
          <w:p w14:paraId="0B096BED" w14:textId="77777777" w:rsidR="00CF6EE6" w:rsidRPr="0019408B" w:rsidRDefault="00CF6EE6" w:rsidP="00602FA9">
            <w:pPr>
              <w:rPr>
                <w:rFonts w:ascii="Times New Roman" w:hAnsi="Times New Roman" w:cs="Times New Roman"/>
                <w:vertAlign w:val="superscript"/>
              </w:rPr>
            </w:pPr>
            <w:r w:rsidRPr="00074C12">
              <w:rPr>
                <w:rFonts w:ascii="Times New Roman" w:hAnsi="Times New Roman" w:cs="Times New Roman"/>
              </w:rPr>
              <w:t>Relational continuity is the relationship between a client and a health care or social services provider that spans over time through various care events, which results in accumulated knowledge of one another, built trust, and understanding of care plans based on client needs, preferences, and capacity</w:t>
            </w:r>
            <w:r>
              <w:rPr>
                <w:rFonts w:ascii="Times New Roman" w:hAnsi="Times New Roman" w:cs="Times New Roman"/>
              </w:rPr>
              <w:t>.</w:t>
            </w:r>
            <w:r>
              <w:rPr>
                <w:rFonts w:ascii="Times New Roman" w:hAnsi="Times New Roman" w:cs="Times New Roman"/>
                <w:vertAlign w:val="superscript"/>
              </w:rPr>
              <w:t>3</w:t>
            </w:r>
          </w:p>
        </w:tc>
      </w:tr>
      <w:tr w:rsidR="00CF6EE6" w:rsidRPr="00074C12" w14:paraId="0FD80E3F" w14:textId="77777777" w:rsidTr="00602FA9">
        <w:trPr>
          <w:cantSplit/>
        </w:trPr>
        <w:tc>
          <w:tcPr>
            <w:tcW w:w="2425" w:type="dxa"/>
          </w:tcPr>
          <w:p w14:paraId="1984FC70" w14:textId="77777777" w:rsidR="00CF6EE6" w:rsidRPr="00074C12" w:rsidRDefault="00CF6EE6" w:rsidP="00602FA9">
            <w:pPr>
              <w:rPr>
                <w:rFonts w:ascii="Times New Roman" w:hAnsi="Times New Roman" w:cs="Times New Roman"/>
              </w:rPr>
            </w:pPr>
            <w:r>
              <w:rPr>
                <w:rFonts w:ascii="Times New Roman" w:hAnsi="Times New Roman" w:cs="Times New Roman"/>
              </w:rPr>
              <w:t>Inter-organization collaboration</w:t>
            </w:r>
          </w:p>
        </w:tc>
        <w:tc>
          <w:tcPr>
            <w:tcW w:w="7380" w:type="dxa"/>
          </w:tcPr>
          <w:p w14:paraId="1DD502C5" w14:textId="77777777" w:rsidR="00CF6EE6" w:rsidRPr="0052315F" w:rsidRDefault="00CF6EE6" w:rsidP="00602FA9">
            <w:pPr>
              <w:rPr>
                <w:rFonts w:ascii="Times New Roman" w:hAnsi="Times New Roman" w:cs="Times New Roman"/>
                <w:vertAlign w:val="superscript"/>
              </w:rPr>
            </w:pPr>
            <w:r w:rsidRPr="00074C12">
              <w:rPr>
                <w:rFonts w:ascii="Times New Roman" w:hAnsi="Times New Roman" w:cs="Times New Roman"/>
              </w:rPr>
              <w:t xml:space="preserve">A mutually beneficial relationship between two or more </w:t>
            </w:r>
            <w:r>
              <w:rPr>
                <w:rFonts w:ascii="Times New Roman" w:hAnsi="Times New Roman" w:cs="Times New Roman"/>
              </w:rPr>
              <w:t xml:space="preserve">agencies or </w:t>
            </w:r>
            <w:r w:rsidRPr="00074C12">
              <w:rPr>
                <w:rFonts w:ascii="Times New Roman" w:hAnsi="Times New Roman" w:cs="Times New Roman"/>
              </w:rPr>
              <w:t>parties working towards common goals by sharing responsibilities, authority, and accountability for achieving results.</w:t>
            </w:r>
            <w:r>
              <w:rPr>
                <w:rFonts w:ascii="Times New Roman" w:hAnsi="Times New Roman" w:cs="Times New Roman"/>
                <w:vertAlign w:val="superscript"/>
              </w:rPr>
              <w:t>4</w:t>
            </w:r>
          </w:p>
        </w:tc>
      </w:tr>
      <w:tr w:rsidR="00CF6EE6" w:rsidRPr="00074C12" w14:paraId="1EDEA5D3" w14:textId="77777777" w:rsidTr="00602FA9">
        <w:trPr>
          <w:cantSplit/>
        </w:trPr>
        <w:tc>
          <w:tcPr>
            <w:tcW w:w="9805" w:type="dxa"/>
            <w:gridSpan w:val="2"/>
            <w:shd w:val="clear" w:color="auto" w:fill="E8E8E8" w:themeFill="background2"/>
          </w:tcPr>
          <w:p w14:paraId="6EA72FB8" w14:textId="09DB9D72" w:rsidR="00CF6EE6" w:rsidRPr="00074C12" w:rsidRDefault="00CF6EE6" w:rsidP="00602FA9">
            <w:pPr>
              <w:rPr>
                <w:rFonts w:ascii="Times New Roman" w:hAnsi="Times New Roman" w:cs="Times New Roman"/>
              </w:rPr>
            </w:pPr>
            <w:r w:rsidRPr="00074C12">
              <w:rPr>
                <w:rFonts w:ascii="Times New Roman" w:hAnsi="Times New Roman" w:cs="Times New Roman"/>
                <w:b/>
                <w:bCs/>
              </w:rPr>
              <w:t xml:space="preserve">Assessing </w:t>
            </w:r>
            <w:r>
              <w:rPr>
                <w:rFonts w:ascii="Times New Roman" w:hAnsi="Times New Roman" w:cs="Times New Roman"/>
                <w:b/>
                <w:bCs/>
              </w:rPr>
              <w:t xml:space="preserve">and Identifying </w:t>
            </w:r>
            <w:r w:rsidRPr="00074C12">
              <w:rPr>
                <w:rFonts w:ascii="Times New Roman" w:hAnsi="Times New Roman" w:cs="Times New Roman"/>
                <w:b/>
                <w:bCs/>
              </w:rPr>
              <w:t>Needs and Goals</w:t>
            </w:r>
          </w:p>
        </w:tc>
      </w:tr>
      <w:tr w:rsidR="00CF6EE6" w:rsidRPr="00074C12" w14:paraId="0261B566" w14:textId="77777777" w:rsidTr="00602FA9">
        <w:trPr>
          <w:cantSplit/>
        </w:trPr>
        <w:tc>
          <w:tcPr>
            <w:tcW w:w="9805" w:type="dxa"/>
            <w:gridSpan w:val="2"/>
            <w:shd w:val="clear" w:color="auto" w:fill="E8E8E8" w:themeFill="background2"/>
          </w:tcPr>
          <w:p w14:paraId="3C862C63" w14:textId="77777777" w:rsidR="00CF6EE6" w:rsidRPr="00074C12" w:rsidRDefault="00CF6EE6" w:rsidP="00602FA9">
            <w:pPr>
              <w:rPr>
                <w:rFonts w:ascii="Times New Roman" w:hAnsi="Times New Roman" w:cs="Times New Roman"/>
              </w:rPr>
            </w:pPr>
            <w:r w:rsidRPr="00074C12">
              <w:rPr>
                <w:rFonts w:ascii="Times New Roman" w:hAnsi="Times New Roman" w:cs="Times New Roman"/>
                <w:b/>
                <w:bCs/>
              </w:rPr>
              <w:t>Communication</w:t>
            </w:r>
          </w:p>
        </w:tc>
      </w:tr>
      <w:tr w:rsidR="00CF6EE6" w:rsidRPr="00074C12" w14:paraId="1940B795" w14:textId="77777777" w:rsidTr="00602FA9">
        <w:trPr>
          <w:cantSplit/>
        </w:trPr>
        <w:tc>
          <w:tcPr>
            <w:tcW w:w="2425" w:type="dxa"/>
          </w:tcPr>
          <w:p w14:paraId="7978BEF3"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Inter</w:t>
            </w:r>
            <w:r>
              <w:rPr>
                <w:rFonts w:ascii="Times New Roman" w:hAnsi="Times New Roman" w:cs="Times New Roman"/>
              </w:rPr>
              <w:t xml:space="preserve">-Organization </w:t>
            </w:r>
            <w:r w:rsidRPr="00074C12">
              <w:rPr>
                <w:rFonts w:ascii="Times New Roman" w:hAnsi="Times New Roman" w:cs="Times New Roman"/>
              </w:rPr>
              <w:t>Collaboration</w:t>
            </w:r>
          </w:p>
        </w:tc>
        <w:tc>
          <w:tcPr>
            <w:tcW w:w="7380" w:type="dxa"/>
          </w:tcPr>
          <w:p w14:paraId="284279A0" w14:textId="77777777" w:rsidR="00CF6EE6" w:rsidRPr="0052315F" w:rsidRDefault="00CF6EE6" w:rsidP="00602FA9">
            <w:pPr>
              <w:rPr>
                <w:rFonts w:ascii="Times New Roman" w:hAnsi="Times New Roman" w:cs="Times New Roman"/>
                <w:vertAlign w:val="superscript"/>
              </w:rPr>
            </w:pPr>
            <w:r w:rsidRPr="00074C12">
              <w:rPr>
                <w:rFonts w:ascii="Times New Roman" w:hAnsi="Times New Roman" w:cs="Times New Roman"/>
              </w:rPr>
              <w:t xml:space="preserve">A mutually beneficial relationship between two or more </w:t>
            </w:r>
            <w:r>
              <w:rPr>
                <w:rFonts w:ascii="Times New Roman" w:hAnsi="Times New Roman" w:cs="Times New Roman"/>
              </w:rPr>
              <w:t xml:space="preserve">agencies or </w:t>
            </w:r>
            <w:r w:rsidRPr="00074C12">
              <w:rPr>
                <w:rFonts w:ascii="Times New Roman" w:hAnsi="Times New Roman" w:cs="Times New Roman"/>
              </w:rPr>
              <w:t>parties working towards common goals by sharing responsibilities, authority, and accountability for achieving results.</w:t>
            </w:r>
            <w:r>
              <w:rPr>
                <w:rFonts w:ascii="Times New Roman" w:hAnsi="Times New Roman" w:cs="Times New Roman"/>
                <w:vertAlign w:val="superscript"/>
              </w:rPr>
              <w:t>4</w:t>
            </w:r>
          </w:p>
        </w:tc>
      </w:tr>
      <w:tr w:rsidR="00CF6EE6" w:rsidRPr="00074C12" w14:paraId="2BDE7162" w14:textId="77777777" w:rsidTr="00602FA9">
        <w:trPr>
          <w:cantSplit/>
        </w:trPr>
        <w:tc>
          <w:tcPr>
            <w:tcW w:w="2425" w:type="dxa"/>
          </w:tcPr>
          <w:p w14:paraId="62CF9B67"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Client-Provider Relationship: Trust</w:t>
            </w:r>
          </w:p>
        </w:tc>
        <w:tc>
          <w:tcPr>
            <w:tcW w:w="7380" w:type="dxa"/>
          </w:tcPr>
          <w:p w14:paraId="5189BB2C" w14:textId="764E6551" w:rsidR="00CF6EE6" w:rsidRPr="0052315F" w:rsidRDefault="00CF6EE6" w:rsidP="00602FA9">
            <w:pPr>
              <w:rPr>
                <w:rFonts w:ascii="Times New Roman" w:hAnsi="Times New Roman" w:cs="Times New Roman"/>
                <w:vertAlign w:val="superscript"/>
              </w:rPr>
            </w:pPr>
            <w:r w:rsidRPr="00074C12">
              <w:rPr>
                <w:rFonts w:ascii="Times New Roman" w:hAnsi="Times New Roman" w:cs="Times New Roman"/>
              </w:rPr>
              <w:t xml:space="preserve">Relationships rely upon or place confidence in someone; the trust of individual providers or overall organizations </w:t>
            </w:r>
            <w:r>
              <w:rPr>
                <w:rFonts w:ascii="Times New Roman" w:hAnsi="Times New Roman" w:cs="Times New Roman"/>
              </w:rPr>
              <w:t>impacts</w:t>
            </w:r>
            <w:r w:rsidRPr="00074C12">
              <w:rPr>
                <w:rFonts w:ascii="Times New Roman" w:hAnsi="Times New Roman" w:cs="Times New Roman"/>
              </w:rPr>
              <w:t xml:space="preserve"> the services and resources that PEH seek to use</w:t>
            </w:r>
            <w:r>
              <w:rPr>
                <w:rFonts w:ascii="Times New Roman" w:hAnsi="Times New Roman" w:cs="Times New Roman"/>
              </w:rPr>
              <w:t>.</w:t>
            </w:r>
            <w:r w:rsidR="00C97A36" w:rsidRPr="00C97A36">
              <w:rPr>
                <w:rFonts w:ascii="Times New Roman" w:hAnsi="Times New Roman" w:cs="Times New Roman"/>
                <w:vertAlign w:val="superscript"/>
              </w:rPr>
              <w:t>5</w:t>
            </w:r>
          </w:p>
        </w:tc>
      </w:tr>
      <w:tr w:rsidR="00CF6EE6" w:rsidRPr="00074C12" w14:paraId="77F43488" w14:textId="77777777" w:rsidTr="00602FA9">
        <w:trPr>
          <w:cantSplit/>
        </w:trPr>
        <w:tc>
          <w:tcPr>
            <w:tcW w:w="2425" w:type="dxa"/>
          </w:tcPr>
          <w:p w14:paraId="0FB093BF"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Client-Provider Relationship: Continuity</w:t>
            </w:r>
          </w:p>
        </w:tc>
        <w:tc>
          <w:tcPr>
            <w:tcW w:w="7380" w:type="dxa"/>
          </w:tcPr>
          <w:p w14:paraId="0420C362" w14:textId="77777777" w:rsidR="00CF6EE6" w:rsidRPr="009D5769" w:rsidRDefault="00CF6EE6" w:rsidP="00602FA9">
            <w:pPr>
              <w:rPr>
                <w:rFonts w:ascii="Times New Roman" w:hAnsi="Times New Roman" w:cs="Times New Roman"/>
                <w:vertAlign w:val="superscript"/>
              </w:rPr>
            </w:pPr>
            <w:r w:rsidRPr="00074C12">
              <w:rPr>
                <w:rFonts w:ascii="Times New Roman" w:hAnsi="Times New Roman" w:cs="Times New Roman"/>
              </w:rPr>
              <w:t xml:space="preserve">Relational continuity is the relationship between a client and a health care or social services provider that spans over time through various care events, which results in </w:t>
            </w:r>
            <w:r>
              <w:rPr>
                <w:rFonts w:ascii="Times New Roman" w:hAnsi="Times New Roman" w:cs="Times New Roman"/>
              </w:rPr>
              <w:t xml:space="preserve">the </w:t>
            </w:r>
            <w:r w:rsidRPr="00074C12">
              <w:rPr>
                <w:rFonts w:ascii="Times New Roman" w:hAnsi="Times New Roman" w:cs="Times New Roman"/>
              </w:rPr>
              <w:t>accumulated knowledge of one another, built trust, and understanding of care plans based on client needs, preferences, and capacity.</w:t>
            </w:r>
            <w:r w:rsidRPr="0019408B">
              <w:rPr>
                <w:rFonts w:ascii="Times New Roman" w:hAnsi="Times New Roman" w:cs="Times New Roman"/>
                <w:vertAlign w:val="superscript"/>
              </w:rPr>
              <w:t>3</w:t>
            </w:r>
          </w:p>
        </w:tc>
      </w:tr>
      <w:tr w:rsidR="00CF6EE6" w:rsidRPr="00074C12" w14:paraId="55BECF0F" w14:textId="77777777" w:rsidTr="00602FA9">
        <w:trPr>
          <w:cantSplit/>
        </w:trPr>
        <w:tc>
          <w:tcPr>
            <w:tcW w:w="2425" w:type="dxa"/>
          </w:tcPr>
          <w:p w14:paraId="6E902C81"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Client-Provider Relationship: Setting Expectations</w:t>
            </w:r>
          </w:p>
        </w:tc>
        <w:tc>
          <w:tcPr>
            <w:tcW w:w="7380" w:type="dxa"/>
          </w:tcPr>
          <w:p w14:paraId="2C084EAB" w14:textId="4AF3748D" w:rsidR="00CF6EE6" w:rsidRPr="0052315F" w:rsidRDefault="00CF6EE6" w:rsidP="00602FA9">
            <w:pPr>
              <w:rPr>
                <w:rFonts w:ascii="Times New Roman" w:hAnsi="Times New Roman" w:cs="Times New Roman"/>
                <w:vertAlign w:val="superscript"/>
              </w:rPr>
            </w:pPr>
            <w:r w:rsidRPr="00074C12">
              <w:rPr>
                <w:rFonts w:ascii="Times New Roman" w:hAnsi="Times New Roman" w:cs="Times New Roman"/>
              </w:rPr>
              <w:t>For healthy and maintained patient-provider relationships, it is important for everyone involved to formulate and communicate what is expected in terms of roles, activities, and tasks.</w:t>
            </w:r>
            <w:r w:rsidR="00C97A36" w:rsidRPr="00C97A36">
              <w:rPr>
                <w:rFonts w:ascii="Times New Roman" w:hAnsi="Times New Roman" w:cs="Times New Roman"/>
                <w:vertAlign w:val="superscript"/>
              </w:rPr>
              <w:t>6</w:t>
            </w:r>
          </w:p>
        </w:tc>
      </w:tr>
      <w:tr w:rsidR="00CF6EE6" w:rsidRPr="00074C12" w14:paraId="536B7C55" w14:textId="77777777" w:rsidTr="00602FA9">
        <w:trPr>
          <w:cantSplit/>
        </w:trPr>
        <w:tc>
          <w:tcPr>
            <w:tcW w:w="9805" w:type="dxa"/>
            <w:gridSpan w:val="2"/>
            <w:shd w:val="clear" w:color="auto" w:fill="E8E8E8" w:themeFill="background2"/>
          </w:tcPr>
          <w:p w14:paraId="141A6398" w14:textId="77777777" w:rsidR="00CF6EE6" w:rsidRPr="00074C12" w:rsidRDefault="00CF6EE6" w:rsidP="00602FA9">
            <w:pPr>
              <w:rPr>
                <w:rFonts w:ascii="Times New Roman" w:hAnsi="Times New Roman" w:cs="Times New Roman"/>
              </w:rPr>
            </w:pPr>
            <w:r w:rsidRPr="00074C12">
              <w:rPr>
                <w:rFonts w:ascii="Times New Roman" w:hAnsi="Times New Roman" w:cs="Times New Roman"/>
                <w:b/>
                <w:bCs/>
              </w:rPr>
              <w:t>Create a Proactive Plan of Care</w:t>
            </w:r>
          </w:p>
        </w:tc>
      </w:tr>
      <w:tr w:rsidR="00CF6EE6" w:rsidRPr="00074C12" w14:paraId="4A2400DF" w14:textId="77777777" w:rsidTr="00602FA9">
        <w:trPr>
          <w:cantSplit/>
        </w:trPr>
        <w:tc>
          <w:tcPr>
            <w:tcW w:w="2425" w:type="dxa"/>
          </w:tcPr>
          <w:p w14:paraId="5D8DB8F8"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Population-centered care</w:t>
            </w:r>
          </w:p>
        </w:tc>
        <w:tc>
          <w:tcPr>
            <w:tcW w:w="7380" w:type="dxa"/>
          </w:tcPr>
          <w:p w14:paraId="20FDF81C" w14:textId="24C98B19" w:rsidR="00CF6EE6" w:rsidRPr="0052315F" w:rsidRDefault="00CF6EE6" w:rsidP="00602FA9">
            <w:pPr>
              <w:rPr>
                <w:rFonts w:ascii="Times New Roman" w:hAnsi="Times New Roman" w:cs="Times New Roman"/>
                <w:vertAlign w:val="superscript"/>
              </w:rPr>
            </w:pPr>
            <w:r w:rsidRPr="00074C12">
              <w:rPr>
                <w:rFonts w:ascii="Times New Roman" w:hAnsi="Times New Roman" w:cs="Times New Roman"/>
              </w:rPr>
              <w:t>Population-centered care is concerned with the health outcomes of a particular group of individuals [e.g., PEH] and investigates the impact of the care system, social environment, physical environment, and policies on these group outcomes.</w:t>
            </w:r>
            <w:r w:rsidR="00C97A36" w:rsidRPr="00C97A36">
              <w:rPr>
                <w:rFonts w:ascii="Times New Roman" w:hAnsi="Times New Roman" w:cs="Times New Roman"/>
                <w:vertAlign w:val="superscript"/>
              </w:rPr>
              <w:t>7</w:t>
            </w:r>
          </w:p>
        </w:tc>
      </w:tr>
      <w:tr w:rsidR="00CF6EE6" w:rsidRPr="00074C12" w14:paraId="4CAE5890" w14:textId="77777777" w:rsidTr="00602FA9">
        <w:trPr>
          <w:cantSplit/>
        </w:trPr>
        <w:tc>
          <w:tcPr>
            <w:tcW w:w="2425" w:type="dxa"/>
          </w:tcPr>
          <w:p w14:paraId="6242356A"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lastRenderedPageBreak/>
              <w:t>Engagement</w:t>
            </w:r>
          </w:p>
        </w:tc>
        <w:tc>
          <w:tcPr>
            <w:tcW w:w="7380" w:type="dxa"/>
          </w:tcPr>
          <w:p w14:paraId="21080B83" w14:textId="45157EEA" w:rsidR="00CF6EE6" w:rsidRPr="0052315F" w:rsidRDefault="00CF6EE6" w:rsidP="00602FA9">
            <w:pPr>
              <w:rPr>
                <w:rFonts w:ascii="Times New Roman" w:hAnsi="Times New Roman" w:cs="Times New Roman"/>
                <w:vertAlign w:val="superscript"/>
              </w:rPr>
            </w:pPr>
            <w:r w:rsidRPr="00074C12">
              <w:rPr>
                <w:rFonts w:ascii="Times New Roman" w:hAnsi="Times New Roman" w:cs="Times New Roman"/>
              </w:rPr>
              <w:t>Engagement is the process that allows individuals to be active and involved within their care planning, which can occur through shared decision</w:t>
            </w:r>
            <w:r>
              <w:rPr>
                <w:rFonts w:ascii="Times New Roman" w:hAnsi="Times New Roman" w:cs="Times New Roman"/>
              </w:rPr>
              <w:t>-</w:t>
            </w:r>
            <w:r w:rsidRPr="00074C12">
              <w:rPr>
                <w:rFonts w:ascii="Times New Roman" w:hAnsi="Times New Roman" w:cs="Times New Roman"/>
              </w:rPr>
              <w:t>making, regular communication between clients and their providers, and the coordination between providers for collective planning.</w:t>
            </w:r>
            <w:r w:rsidR="00C97A36" w:rsidRPr="00C97A36">
              <w:rPr>
                <w:rFonts w:ascii="Times New Roman" w:hAnsi="Times New Roman" w:cs="Times New Roman"/>
                <w:vertAlign w:val="superscript"/>
              </w:rPr>
              <w:t>8</w:t>
            </w:r>
          </w:p>
        </w:tc>
      </w:tr>
      <w:tr w:rsidR="00CF6EE6" w:rsidRPr="00074C12" w14:paraId="6327F419" w14:textId="77777777" w:rsidTr="00602FA9">
        <w:trPr>
          <w:cantSplit/>
        </w:trPr>
        <w:tc>
          <w:tcPr>
            <w:tcW w:w="2425" w:type="dxa"/>
          </w:tcPr>
          <w:p w14:paraId="57885A16"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Shared decision</w:t>
            </w:r>
            <w:r>
              <w:rPr>
                <w:rFonts w:ascii="Times New Roman" w:hAnsi="Times New Roman" w:cs="Times New Roman"/>
              </w:rPr>
              <w:t>-</w:t>
            </w:r>
            <w:r w:rsidRPr="00074C12">
              <w:rPr>
                <w:rFonts w:ascii="Times New Roman" w:hAnsi="Times New Roman" w:cs="Times New Roman"/>
              </w:rPr>
              <w:t>making</w:t>
            </w:r>
          </w:p>
        </w:tc>
        <w:tc>
          <w:tcPr>
            <w:tcW w:w="7380" w:type="dxa"/>
          </w:tcPr>
          <w:p w14:paraId="24F4ECAA" w14:textId="217C3A8F" w:rsidR="00CF6EE6" w:rsidRPr="00074C12" w:rsidRDefault="00CF6EE6" w:rsidP="00602FA9">
            <w:pPr>
              <w:rPr>
                <w:rFonts w:ascii="Times New Roman" w:hAnsi="Times New Roman" w:cs="Times New Roman"/>
              </w:rPr>
            </w:pPr>
            <w:r w:rsidRPr="00074C12">
              <w:rPr>
                <w:rFonts w:ascii="Times New Roman" w:hAnsi="Times New Roman" w:cs="Times New Roman"/>
              </w:rPr>
              <w:t>Shared decision</w:t>
            </w:r>
            <w:r>
              <w:rPr>
                <w:rFonts w:ascii="Times New Roman" w:hAnsi="Times New Roman" w:cs="Times New Roman"/>
              </w:rPr>
              <w:t>-</w:t>
            </w:r>
            <w:r w:rsidRPr="00074C12">
              <w:rPr>
                <w:rFonts w:ascii="Times New Roman" w:hAnsi="Times New Roman" w:cs="Times New Roman"/>
              </w:rPr>
              <w:t>making occurs when PEH and providers work together to create a health care plan that is best for the patient and is mutually understood by all involved parties. The shared decision</w:t>
            </w:r>
            <w:r>
              <w:rPr>
                <w:rFonts w:ascii="Times New Roman" w:hAnsi="Times New Roman" w:cs="Times New Roman"/>
              </w:rPr>
              <w:t>-</w:t>
            </w:r>
            <w:r w:rsidRPr="00074C12">
              <w:rPr>
                <w:rFonts w:ascii="Times New Roman" w:hAnsi="Times New Roman" w:cs="Times New Roman"/>
              </w:rPr>
              <w:t>making accommodates for provider's knowledge and experience, patient preferences and capacity, and external factors, such as available resources and services</w:t>
            </w:r>
            <w:r>
              <w:rPr>
                <w:rFonts w:ascii="Times New Roman" w:hAnsi="Times New Roman" w:cs="Times New Roman"/>
              </w:rPr>
              <w:t>.</w:t>
            </w:r>
            <w:r w:rsidR="00C97A36" w:rsidRPr="00C97A36">
              <w:rPr>
                <w:rFonts w:ascii="Times New Roman" w:hAnsi="Times New Roman" w:cs="Times New Roman"/>
                <w:vertAlign w:val="superscript"/>
              </w:rPr>
              <w:t>9</w:t>
            </w:r>
          </w:p>
        </w:tc>
      </w:tr>
      <w:tr w:rsidR="00CF6EE6" w:rsidRPr="00074C12" w14:paraId="4D01F321" w14:textId="77777777" w:rsidTr="00602FA9">
        <w:trPr>
          <w:cantSplit/>
        </w:trPr>
        <w:tc>
          <w:tcPr>
            <w:tcW w:w="9805" w:type="dxa"/>
            <w:gridSpan w:val="2"/>
            <w:shd w:val="clear" w:color="auto" w:fill="E8E8E8" w:themeFill="background2"/>
          </w:tcPr>
          <w:p w14:paraId="0ECC41B8" w14:textId="77777777" w:rsidR="00CF6EE6" w:rsidRPr="00074C12" w:rsidRDefault="00CF6EE6" w:rsidP="00602FA9">
            <w:pPr>
              <w:rPr>
                <w:rFonts w:ascii="Times New Roman" w:hAnsi="Times New Roman" w:cs="Times New Roman"/>
              </w:rPr>
            </w:pPr>
            <w:r w:rsidRPr="00074C12">
              <w:rPr>
                <w:rFonts w:ascii="Times New Roman" w:hAnsi="Times New Roman" w:cs="Times New Roman"/>
                <w:b/>
                <w:bCs/>
              </w:rPr>
              <w:t>Establish Accountability and Negotiate Responsibility</w:t>
            </w:r>
          </w:p>
        </w:tc>
      </w:tr>
      <w:tr w:rsidR="00CF6EE6" w:rsidRPr="00074C12" w14:paraId="3D4AD6FC" w14:textId="77777777" w:rsidTr="00602FA9">
        <w:trPr>
          <w:cantSplit/>
        </w:trPr>
        <w:tc>
          <w:tcPr>
            <w:tcW w:w="2425" w:type="dxa"/>
          </w:tcPr>
          <w:p w14:paraId="5ED9172C"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 xml:space="preserve">Role clarification </w:t>
            </w:r>
          </w:p>
        </w:tc>
        <w:tc>
          <w:tcPr>
            <w:tcW w:w="7380" w:type="dxa"/>
          </w:tcPr>
          <w:p w14:paraId="495AD930" w14:textId="692A7DED" w:rsidR="00CF6EE6" w:rsidRPr="009D5769" w:rsidRDefault="00CF6EE6" w:rsidP="00602FA9">
            <w:pPr>
              <w:rPr>
                <w:rFonts w:ascii="Times New Roman" w:hAnsi="Times New Roman" w:cs="Times New Roman"/>
                <w:vertAlign w:val="superscript"/>
              </w:rPr>
            </w:pPr>
            <w:r w:rsidRPr="00074C12">
              <w:rPr>
                <w:rFonts w:ascii="Times New Roman" w:hAnsi="Times New Roman" w:cs="Times New Roman"/>
              </w:rPr>
              <w:t>Role clarification helps providers understand and develop their own roles or responsibilities as well as understand the roles and responsibilities of other providers. In clarifying these roles and responsibilities, it helps avoid duplication and gaps in services, enhances teamwork, allows for more effective care planning and implementation of services, and patient understanding of care plans and care teams.</w:t>
            </w:r>
            <w:r w:rsidR="00C97A36" w:rsidRPr="00C97A36">
              <w:rPr>
                <w:rFonts w:ascii="Times New Roman" w:hAnsi="Times New Roman" w:cs="Times New Roman"/>
                <w:vertAlign w:val="superscript"/>
              </w:rPr>
              <w:t>10</w:t>
            </w:r>
          </w:p>
        </w:tc>
      </w:tr>
      <w:tr w:rsidR="00CF6EE6" w:rsidRPr="00074C12" w14:paraId="1D693BEC" w14:textId="77777777" w:rsidTr="00602FA9">
        <w:trPr>
          <w:cantSplit/>
        </w:trPr>
        <w:tc>
          <w:tcPr>
            <w:tcW w:w="2425" w:type="dxa"/>
          </w:tcPr>
          <w:p w14:paraId="7B26657F" w14:textId="77777777" w:rsidR="00CF6EE6" w:rsidRPr="00074C12" w:rsidRDefault="00CF6EE6" w:rsidP="00602FA9">
            <w:pPr>
              <w:rPr>
                <w:rFonts w:ascii="Times New Roman" w:hAnsi="Times New Roman" w:cs="Times New Roman"/>
              </w:rPr>
            </w:pPr>
            <w:r>
              <w:rPr>
                <w:rFonts w:ascii="Times New Roman" w:hAnsi="Times New Roman" w:cs="Times New Roman"/>
              </w:rPr>
              <w:t>Self-Care Agency</w:t>
            </w:r>
          </w:p>
        </w:tc>
        <w:tc>
          <w:tcPr>
            <w:tcW w:w="7380" w:type="dxa"/>
          </w:tcPr>
          <w:p w14:paraId="0B10C52E" w14:textId="2E0531CB" w:rsidR="00CF6EE6" w:rsidRPr="009D5769" w:rsidRDefault="00CF6EE6" w:rsidP="00602FA9">
            <w:pPr>
              <w:rPr>
                <w:rFonts w:ascii="Times New Roman" w:hAnsi="Times New Roman" w:cs="Times New Roman"/>
                <w:vertAlign w:val="superscript"/>
              </w:rPr>
            </w:pPr>
            <w:r w:rsidRPr="00074C12">
              <w:rPr>
                <w:rFonts w:ascii="Times New Roman" w:hAnsi="Times New Roman" w:cs="Times New Roman"/>
              </w:rPr>
              <w:t>Agency is the capacity and the acquired ability of an individual to meet one's continuing requirements for care to maintain or improve well-being and having access to needed resources to fulfill this potential.</w:t>
            </w:r>
            <w:r w:rsidR="00C97A36" w:rsidRPr="00C97A36">
              <w:rPr>
                <w:rFonts w:ascii="Times New Roman" w:hAnsi="Times New Roman" w:cs="Times New Roman"/>
                <w:vertAlign w:val="superscript"/>
              </w:rPr>
              <w:t>11</w:t>
            </w:r>
          </w:p>
        </w:tc>
      </w:tr>
      <w:tr w:rsidR="00CF6EE6" w:rsidRPr="00074C12" w14:paraId="7C7EDC3A" w14:textId="77777777" w:rsidTr="00602FA9">
        <w:trPr>
          <w:cantSplit/>
        </w:trPr>
        <w:tc>
          <w:tcPr>
            <w:tcW w:w="2425" w:type="dxa"/>
          </w:tcPr>
          <w:p w14:paraId="692C87C7"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Patient advocacy</w:t>
            </w:r>
          </w:p>
        </w:tc>
        <w:tc>
          <w:tcPr>
            <w:tcW w:w="7380" w:type="dxa"/>
          </w:tcPr>
          <w:p w14:paraId="6C61BC3A" w14:textId="55A32190" w:rsidR="00CF6EE6" w:rsidRPr="009D5769" w:rsidRDefault="00CF6EE6" w:rsidP="00602FA9">
            <w:pPr>
              <w:rPr>
                <w:rFonts w:ascii="Times New Roman" w:hAnsi="Times New Roman" w:cs="Times New Roman"/>
                <w:vertAlign w:val="superscript"/>
              </w:rPr>
            </w:pPr>
            <w:r w:rsidRPr="00074C12">
              <w:rPr>
                <w:rFonts w:ascii="Times New Roman" w:hAnsi="Times New Roman" w:cs="Times New Roman"/>
              </w:rPr>
              <w:t>Patient advocates, whether healthcare professionals, social service providers, or friends and family, can help PEH within the care processes by asking questions, gathering information, and speaking up for an individual to help ensure they receive the care and resources needed</w:t>
            </w:r>
            <w:r>
              <w:rPr>
                <w:rFonts w:ascii="Times New Roman" w:hAnsi="Times New Roman" w:cs="Times New Roman"/>
              </w:rPr>
              <w:t>.</w:t>
            </w:r>
            <w:r w:rsidR="00C97A36" w:rsidRPr="00C97A36">
              <w:rPr>
                <w:rFonts w:ascii="Times New Roman" w:hAnsi="Times New Roman" w:cs="Times New Roman"/>
                <w:vertAlign w:val="superscript"/>
              </w:rPr>
              <w:t>12</w:t>
            </w:r>
          </w:p>
        </w:tc>
      </w:tr>
      <w:tr w:rsidR="00CF6EE6" w:rsidRPr="00074C12" w14:paraId="3473AD21" w14:textId="77777777" w:rsidTr="00602FA9">
        <w:trPr>
          <w:cantSplit/>
        </w:trPr>
        <w:tc>
          <w:tcPr>
            <w:tcW w:w="9805" w:type="dxa"/>
            <w:gridSpan w:val="2"/>
            <w:shd w:val="clear" w:color="auto" w:fill="E8E8E8" w:themeFill="background2"/>
          </w:tcPr>
          <w:p w14:paraId="29D39123" w14:textId="77777777" w:rsidR="00CF6EE6" w:rsidRPr="00074C12" w:rsidRDefault="00CF6EE6" w:rsidP="00602FA9">
            <w:pPr>
              <w:rPr>
                <w:rFonts w:ascii="Times New Roman" w:hAnsi="Times New Roman" w:cs="Times New Roman"/>
              </w:rPr>
            </w:pPr>
            <w:r w:rsidRPr="00074C12">
              <w:rPr>
                <w:rFonts w:ascii="Times New Roman" w:hAnsi="Times New Roman" w:cs="Times New Roman"/>
                <w:b/>
                <w:bCs/>
              </w:rPr>
              <w:t>Facilitate Transitions</w:t>
            </w:r>
          </w:p>
        </w:tc>
      </w:tr>
      <w:tr w:rsidR="00CF6EE6" w:rsidRPr="00074C12" w14:paraId="17A2E546" w14:textId="77777777" w:rsidTr="00602FA9">
        <w:trPr>
          <w:cantSplit/>
        </w:trPr>
        <w:tc>
          <w:tcPr>
            <w:tcW w:w="2425" w:type="dxa"/>
          </w:tcPr>
          <w:p w14:paraId="54C5946B"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Patient Readiness</w:t>
            </w:r>
          </w:p>
        </w:tc>
        <w:tc>
          <w:tcPr>
            <w:tcW w:w="7380" w:type="dxa"/>
          </w:tcPr>
          <w:p w14:paraId="3ADBA703" w14:textId="7C23929F" w:rsidR="00CF6EE6" w:rsidRPr="009D5769" w:rsidRDefault="00CF6EE6" w:rsidP="00602FA9">
            <w:pPr>
              <w:rPr>
                <w:rFonts w:ascii="Times New Roman" w:hAnsi="Times New Roman" w:cs="Times New Roman"/>
                <w:vertAlign w:val="superscript"/>
              </w:rPr>
            </w:pPr>
            <w:r w:rsidRPr="00074C12">
              <w:rPr>
                <w:rFonts w:ascii="Times New Roman" w:hAnsi="Times New Roman" w:cs="Times New Roman"/>
              </w:rPr>
              <w:t>Client readiness is assessed both through an individual’s willingness and their ability to act.</w:t>
            </w:r>
            <w:r w:rsidR="00C97A36" w:rsidRPr="00C97A36">
              <w:rPr>
                <w:rFonts w:ascii="Times New Roman" w:hAnsi="Times New Roman" w:cs="Times New Roman"/>
                <w:vertAlign w:val="superscript"/>
              </w:rPr>
              <w:t>13</w:t>
            </w:r>
          </w:p>
        </w:tc>
      </w:tr>
      <w:tr w:rsidR="00CF6EE6" w:rsidRPr="00074C12" w14:paraId="69FE00C2" w14:textId="77777777" w:rsidTr="00602FA9">
        <w:trPr>
          <w:cantSplit/>
        </w:trPr>
        <w:tc>
          <w:tcPr>
            <w:tcW w:w="2425" w:type="dxa"/>
          </w:tcPr>
          <w:p w14:paraId="5F427755"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Continuity of Care</w:t>
            </w:r>
          </w:p>
        </w:tc>
        <w:tc>
          <w:tcPr>
            <w:tcW w:w="7380" w:type="dxa"/>
          </w:tcPr>
          <w:p w14:paraId="13E8EDF8" w14:textId="2781E1C0" w:rsidR="00CF6EE6" w:rsidRPr="009D5769" w:rsidRDefault="00CF6EE6" w:rsidP="00602FA9">
            <w:pPr>
              <w:rPr>
                <w:rFonts w:ascii="Times New Roman" w:hAnsi="Times New Roman" w:cs="Times New Roman"/>
                <w:vertAlign w:val="superscript"/>
              </w:rPr>
            </w:pPr>
            <w:r w:rsidRPr="00074C12">
              <w:rPr>
                <w:rFonts w:ascii="Times New Roman" w:hAnsi="Times New Roman" w:cs="Times New Roman"/>
              </w:rPr>
              <w:t>The process by which the patient and his/her physician-led care team are cooperatively involved in ongoing health care management toward the shared goal of high-quality, cost-effective medical care, which is composed of three identified three types of continuity: informational, management, and relational. Informational continuity can be defined as “the use of information on past events and personal circumstances to make current care appropriate for each individual,” management continuity as “a consistent and coherent approach to the management of a health condition that is responsive to a patient's changing needs,” and relational continuity as “an ongoing therapeutic relationship between a patient and one or more providers.”</w:t>
            </w:r>
            <w:r w:rsidR="00C97A36" w:rsidRPr="00C97A36">
              <w:rPr>
                <w:rFonts w:ascii="Times New Roman" w:hAnsi="Times New Roman" w:cs="Times New Roman"/>
                <w:vertAlign w:val="superscript"/>
              </w:rPr>
              <w:t>14</w:t>
            </w:r>
          </w:p>
        </w:tc>
      </w:tr>
      <w:tr w:rsidR="00CF6EE6" w:rsidRPr="00074C12" w14:paraId="23A5B808" w14:textId="77777777" w:rsidTr="00602FA9">
        <w:trPr>
          <w:cantSplit/>
        </w:trPr>
        <w:tc>
          <w:tcPr>
            <w:tcW w:w="2425" w:type="dxa"/>
          </w:tcPr>
          <w:p w14:paraId="506FFF1F"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Timeliness</w:t>
            </w:r>
          </w:p>
        </w:tc>
        <w:tc>
          <w:tcPr>
            <w:tcW w:w="7380" w:type="dxa"/>
          </w:tcPr>
          <w:p w14:paraId="739B30A2" w14:textId="5FA48757" w:rsidR="00CF6EE6" w:rsidRPr="009D5769" w:rsidRDefault="00CF6EE6" w:rsidP="00602FA9">
            <w:pPr>
              <w:rPr>
                <w:rFonts w:ascii="Times New Roman" w:hAnsi="Times New Roman" w:cs="Times New Roman"/>
                <w:vertAlign w:val="superscript"/>
              </w:rPr>
            </w:pPr>
            <w:r w:rsidRPr="00074C12">
              <w:rPr>
                <w:rFonts w:ascii="Times New Roman" w:hAnsi="Times New Roman" w:cs="Times New Roman"/>
              </w:rPr>
              <w:t>Timeliness is the system's capacity to provide appropriate care quickly once a need has been identified.</w:t>
            </w:r>
            <w:r w:rsidR="00C97A36" w:rsidRPr="00C97A36">
              <w:rPr>
                <w:rFonts w:ascii="Times New Roman" w:hAnsi="Times New Roman" w:cs="Times New Roman"/>
                <w:vertAlign w:val="superscript"/>
              </w:rPr>
              <w:t>15</w:t>
            </w:r>
          </w:p>
        </w:tc>
      </w:tr>
      <w:tr w:rsidR="00CF6EE6" w:rsidRPr="00074C12" w14:paraId="32D6D183" w14:textId="77777777" w:rsidTr="00602FA9">
        <w:trPr>
          <w:cantSplit/>
        </w:trPr>
        <w:tc>
          <w:tcPr>
            <w:tcW w:w="2425" w:type="dxa"/>
          </w:tcPr>
          <w:p w14:paraId="2791C414" w14:textId="77777777" w:rsidR="00CF6EE6" w:rsidRPr="00074C12" w:rsidRDefault="00CF6EE6" w:rsidP="00602FA9">
            <w:pPr>
              <w:rPr>
                <w:rFonts w:ascii="Times New Roman" w:hAnsi="Times New Roman" w:cs="Times New Roman"/>
              </w:rPr>
            </w:pPr>
            <w:r>
              <w:rPr>
                <w:rFonts w:ascii="Times New Roman" w:hAnsi="Times New Roman" w:cs="Times New Roman"/>
              </w:rPr>
              <w:t>Inter-Organization Collaboration</w:t>
            </w:r>
          </w:p>
        </w:tc>
        <w:tc>
          <w:tcPr>
            <w:tcW w:w="7380" w:type="dxa"/>
          </w:tcPr>
          <w:p w14:paraId="1E1BFD72" w14:textId="77777777" w:rsidR="00CF6EE6" w:rsidRPr="002A39E6" w:rsidRDefault="00CF6EE6" w:rsidP="00602FA9">
            <w:pPr>
              <w:rPr>
                <w:rFonts w:ascii="Times New Roman" w:hAnsi="Times New Roman" w:cs="Times New Roman"/>
                <w:vertAlign w:val="superscript"/>
              </w:rPr>
            </w:pPr>
            <w:r w:rsidRPr="00074C12">
              <w:rPr>
                <w:rFonts w:ascii="Times New Roman" w:hAnsi="Times New Roman" w:cs="Times New Roman"/>
              </w:rPr>
              <w:t xml:space="preserve">A mutually beneficial relationship between two or more </w:t>
            </w:r>
            <w:r>
              <w:rPr>
                <w:rFonts w:ascii="Times New Roman" w:hAnsi="Times New Roman" w:cs="Times New Roman"/>
              </w:rPr>
              <w:t xml:space="preserve">agencies or </w:t>
            </w:r>
            <w:r w:rsidRPr="00074C12">
              <w:rPr>
                <w:rFonts w:ascii="Times New Roman" w:hAnsi="Times New Roman" w:cs="Times New Roman"/>
              </w:rPr>
              <w:t>parties working towards common goals by sharing responsibilities, authority, and accountability for achieving results.</w:t>
            </w:r>
            <w:r w:rsidRPr="0052315F">
              <w:rPr>
                <w:rFonts w:ascii="Times New Roman" w:hAnsi="Times New Roman" w:cs="Times New Roman"/>
                <w:vertAlign w:val="superscript"/>
              </w:rPr>
              <w:t>4</w:t>
            </w:r>
          </w:p>
        </w:tc>
      </w:tr>
      <w:tr w:rsidR="00CF6EE6" w:rsidRPr="00074C12" w14:paraId="36EA1AC0" w14:textId="77777777" w:rsidTr="00602FA9">
        <w:trPr>
          <w:cantSplit/>
        </w:trPr>
        <w:tc>
          <w:tcPr>
            <w:tcW w:w="9805" w:type="dxa"/>
            <w:gridSpan w:val="2"/>
            <w:shd w:val="clear" w:color="auto" w:fill="E8E8E8" w:themeFill="background2"/>
          </w:tcPr>
          <w:p w14:paraId="763052EC" w14:textId="77777777" w:rsidR="00CF6EE6" w:rsidRPr="00074C12" w:rsidRDefault="00CF6EE6" w:rsidP="00602FA9">
            <w:pPr>
              <w:rPr>
                <w:rFonts w:ascii="Times New Roman" w:hAnsi="Times New Roman" w:cs="Times New Roman"/>
              </w:rPr>
            </w:pPr>
            <w:r w:rsidRPr="00074C12">
              <w:rPr>
                <w:rFonts w:ascii="Times New Roman" w:hAnsi="Times New Roman" w:cs="Times New Roman"/>
                <w:b/>
                <w:bCs/>
              </w:rPr>
              <w:t>Link to Community Resources</w:t>
            </w:r>
          </w:p>
        </w:tc>
      </w:tr>
      <w:tr w:rsidR="00CF6EE6" w:rsidRPr="00074C12" w14:paraId="7ED42B6C" w14:textId="77777777" w:rsidTr="00602FA9">
        <w:trPr>
          <w:cantSplit/>
        </w:trPr>
        <w:tc>
          <w:tcPr>
            <w:tcW w:w="9805" w:type="dxa"/>
            <w:gridSpan w:val="2"/>
            <w:shd w:val="clear" w:color="auto" w:fill="E8E8E8" w:themeFill="background2"/>
          </w:tcPr>
          <w:p w14:paraId="4E110AB2" w14:textId="77777777" w:rsidR="00CF6EE6" w:rsidRPr="00074C12" w:rsidRDefault="00CF6EE6" w:rsidP="00602FA9">
            <w:pPr>
              <w:rPr>
                <w:rFonts w:ascii="Times New Roman" w:hAnsi="Times New Roman" w:cs="Times New Roman"/>
              </w:rPr>
            </w:pPr>
            <w:r w:rsidRPr="00074C12">
              <w:rPr>
                <w:rFonts w:ascii="Times New Roman" w:hAnsi="Times New Roman" w:cs="Times New Roman"/>
                <w:b/>
                <w:bCs/>
              </w:rPr>
              <w:t>Monitor, Follow-Up and Respond to Changes</w:t>
            </w:r>
          </w:p>
        </w:tc>
      </w:tr>
      <w:tr w:rsidR="00CF6EE6" w:rsidRPr="00074C12" w14:paraId="7EECE5E5" w14:textId="77777777" w:rsidTr="00602FA9">
        <w:trPr>
          <w:cantSplit/>
        </w:trPr>
        <w:tc>
          <w:tcPr>
            <w:tcW w:w="2425" w:type="dxa"/>
          </w:tcPr>
          <w:p w14:paraId="2C92C97E"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lastRenderedPageBreak/>
              <w:t>Privacy</w:t>
            </w:r>
          </w:p>
        </w:tc>
        <w:tc>
          <w:tcPr>
            <w:tcW w:w="7380" w:type="dxa"/>
          </w:tcPr>
          <w:p w14:paraId="1648B8F9" w14:textId="70BF213E" w:rsidR="00CF6EE6" w:rsidRPr="002A39E6" w:rsidRDefault="00CF6EE6" w:rsidP="00602FA9">
            <w:pPr>
              <w:rPr>
                <w:rFonts w:ascii="Times New Roman" w:hAnsi="Times New Roman" w:cs="Times New Roman"/>
                <w:vertAlign w:val="superscript"/>
              </w:rPr>
            </w:pPr>
            <w:r w:rsidRPr="00074C12">
              <w:rPr>
                <w:rFonts w:ascii="Times New Roman" w:hAnsi="Times New Roman" w:cs="Times New Roman"/>
              </w:rPr>
              <w:t>Client privacy encompasses the respect for patient autonomy through physical privacy (personal space), informational privacy (personal data), decisional privacy (cultural or social decisions), and associational privacy (personal relationships).</w:t>
            </w:r>
            <w:r w:rsidR="00C97A36" w:rsidRPr="00C97A36">
              <w:rPr>
                <w:rFonts w:ascii="Times New Roman" w:hAnsi="Times New Roman" w:cs="Times New Roman"/>
                <w:vertAlign w:val="superscript"/>
              </w:rPr>
              <w:t>16</w:t>
            </w:r>
          </w:p>
        </w:tc>
      </w:tr>
      <w:tr w:rsidR="00CF6EE6" w:rsidRPr="00074C12" w14:paraId="0D45CA1C" w14:textId="77777777" w:rsidTr="00602FA9">
        <w:trPr>
          <w:cantSplit/>
        </w:trPr>
        <w:tc>
          <w:tcPr>
            <w:tcW w:w="2425" w:type="dxa"/>
          </w:tcPr>
          <w:p w14:paraId="613C804B" w14:textId="77777777" w:rsidR="00CF6EE6" w:rsidRPr="00074C12" w:rsidRDefault="00CF6EE6" w:rsidP="00602FA9">
            <w:pPr>
              <w:rPr>
                <w:rFonts w:ascii="Times New Roman" w:hAnsi="Times New Roman" w:cs="Times New Roman"/>
              </w:rPr>
            </w:pPr>
            <w:r w:rsidRPr="00074C12">
              <w:rPr>
                <w:rFonts w:ascii="Times New Roman" w:hAnsi="Times New Roman" w:cs="Times New Roman"/>
              </w:rPr>
              <w:t xml:space="preserve">Relational </w:t>
            </w:r>
            <w:r>
              <w:rPr>
                <w:rFonts w:ascii="Times New Roman" w:hAnsi="Times New Roman" w:cs="Times New Roman"/>
              </w:rPr>
              <w:t>C</w:t>
            </w:r>
            <w:r w:rsidRPr="00074C12">
              <w:rPr>
                <w:rFonts w:ascii="Times New Roman" w:hAnsi="Times New Roman" w:cs="Times New Roman"/>
              </w:rPr>
              <w:t>ontinuity</w:t>
            </w:r>
          </w:p>
        </w:tc>
        <w:tc>
          <w:tcPr>
            <w:tcW w:w="7380" w:type="dxa"/>
          </w:tcPr>
          <w:p w14:paraId="6912B20F" w14:textId="77777777" w:rsidR="00CF6EE6" w:rsidRPr="002A39E6" w:rsidRDefault="00CF6EE6" w:rsidP="00602FA9">
            <w:pPr>
              <w:rPr>
                <w:rFonts w:ascii="Times New Roman" w:hAnsi="Times New Roman" w:cs="Times New Roman"/>
                <w:vertAlign w:val="superscript"/>
              </w:rPr>
            </w:pPr>
            <w:r w:rsidRPr="00074C12">
              <w:rPr>
                <w:rFonts w:ascii="Times New Roman" w:hAnsi="Times New Roman" w:cs="Times New Roman"/>
              </w:rPr>
              <w:t>Relational continuity is the relationship between a client and a health care or social services provider that spans over time through various care events, which results in accumulated knowledge of one another, built trust, and understanding of care plans based on client needs, preferences, and capacity.</w:t>
            </w:r>
            <w:r w:rsidRPr="0019408B">
              <w:rPr>
                <w:rFonts w:ascii="Times New Roman" w:hAnsi="Times New Roman" w:cs="Times New Roman"/>
                <w:vertAlign w:val="superscript"/>
              </w:rPr>
              <w:t>3</w:t>
            </w:r>
          </w:p>
        </w:tc>
      </w:tr>
      <w:tr w:rsidR="00CF6EE6" w:rsidRPr="00074C12" w14:paraId="1C062807" w14:textId="77777777" w:rsidTr="00602FA9">
        <w:trPr>
          <w:cantSplit/>
        </w:trPr>
        <w:tc>
          <w:tcPr>
            <w:tcW w:w="9805" w:type="dxa"/>
            <w:gridSpan w:val="2"/>
            <w:shd w:val="clear" w:color="auto" w:fill="E8E8E8" w:themeFill="background2"/>
          </w:tcPr>
          <w:p w14:paraId="496753C9" w14:textId="77777777" w:rsidR="00CF6EE6" w:rsidRPr="00074C12" w:rsidRDefault="00CF6EE6" w:rsidP="00602FA9">
            <w:pPr>
              <w:rPr>
                <w:rFonts w:ascii="Times New Roman" w:hAnsi="Times New Roman" w:cs="Times New Roman"/>
              </w:rPr>
            </w:pPr>
            <w:r w:rsidRPr="00074C12">
              <w:rPr>
                <w:rFonts w:ascii="Times New Roman" w:hAnsi="Times New Roman" w:cs="Times New Roman"/>
                <w:b/>
                <w:bCs/>
              </w:rPr>
              <w:t>Support Self-Management Goals</w:t>
            </w:r>
          </w:p>
        </w:tc>
      </w:tr>
    </w:tbl>
    <w:p w14:paraId="54218887" w14:textId="77777777" w:rsidR="00CF6EE6" w:rsidRDefault="00CF6EE6" w:rsidP="00CF6EE6">
      <w:pPr>
        <w:spacing w:line="480" w:lineRule="auto"/>
        <w:rPr>
          <w:rFonts w:ascii="Times New Roman" w:hAnsi="Times New Roman" w:cs="Times New Roman"/>
        </w:rPr>
      </w:pPr>
    </w:p>
    <w:p w14:paraId="257F807B" w14:textId="77777777" w:rsidR="00CF6EE6" w:rsidRDefault="00CF6EE6" w:rsidP="00CF6EE6">
      <w:pPr>
        <w:rPr>
          <w:rFonts w:ascii="Times New Roman" w:hAnsi="Times New Roman" w:cs="Times New Roman"/>
        </w:rPr>
      </w:pPr>
      <w:r>
        <w:rPr>
          <w:rFonts w:ascii="Times New Roman" w:hAnsi="Times New Roman" w:cs="Times New Roman"/>
        </w:rPr>
        <w:br w:type="page"/>
      </w:r>
    </w:p>
    <w:p w14:paraId="2770B591" w14:textId="77777777" w:rsidR="00CF6EE6" w:rsidRDefault="00CF6EE6" w:rsidP="00CF6EE6">
      <w:pPr>
        <w:rPr>
          <w:rFonts w:ascii="Times New Roman" w:hAnsi="Times New Roman" w:cs="Times New Roman"/>
        </w:rPr>
      </w:pPr>
      <w:r w:rsidRPr="007864E3">
        <w:rPr>
          <w:rFonts w:ascii="Times New Roman" w:hAnsi="Times New Roman" w:cs="Times New Roman"/>
        </w:rPr>
        <w:lastRenderedPageBreak/>
        <w:t>Appendix references:</w:t>
      </w:r>
    </w:p>
    <w:p w14:paraId="29F24F13" w14:textId="77777777" w:rsidR="00CF6EE6" w:rsidRDefault="00CF6EE6" w:rsidP="00CF6EE6">
      <w:pPr>
        <w:pStyle w:val="Bibliography"/>
        <w:numPr>
          <w:ilvl w:val="0"/>
          <w:numId w:val="1"/>
        </w:numPr>
        <w:rPr>
          <w:rFonts w:ascii="Times New Roman" w:hAnsi="Times New Roman" w:cs="Times New Roman"/>
          <w:color w:val="000000"/>
        </w:rPr>
      </w:pPr>
      <w:r w:rsidRPr="00392476">
        <w:rPr>
          <w:rFonts w:ascii="Times New Roman" w:hAnsi="Times New Roman" w:cs="Times New Roman"/>
          <w:color w:val="000000"/>
        </w:rPr>
        <w:t xml:space="preserve">CAPACITY Definition &amp; Meaning | Dictionary.com [Internet]. [cited 2026 Apr 17]. Available from: </w:t>
      </w:r>
      <w:r w:rsidRPr="0052315F">
        <w:rPr>
          <w:rFonts w:ascii="Times New Roman" w:hAnsi="Times New Roman" w:cs="Times New Roman"/>
          <w:color w:val="000000"/>
        </w:rPr>
        <w:t>https://www.dictionary.com/browse/capacity</w:t>
      </w:r>
    </w:p>
    <w:p w14:paraId="4FD045BF"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Definition of CONVENIENCE [Internet]. 2026 [cited 2026 Apr 17]. Available from: https://www.merriam-webster.com/dictionary/convenience</w:t>
      </w:r>
    </w:p>
    <w:p w14:paraId="041092EC" w14:textId="77777777" w:rsidR="00CF6EE6" w:rsidRDefault="00CF6EE6" w:rsidP="00CF6EE6">
      <w:pPr>
        <w:pStyle w:val="Bibliography"/>
        <w:numPr>
          <w:ilvl w:val="0"/>
          <w:numId w:val="1"/>
        </w:numPr>
        <w:rPr>
          <w:rFonts w:ascii="Times New Roman" w:hAnsi="Times New Roman" w:cs="Times New Roman"/>
          <w:color w:val="000000"/>
        </w:rPr>
      </w:pPr>
      <w:r w:rsidRPr="00C30E09">
        <w:rPr>
          <w:rFonts w:ascii="Times New Roman" w:hAnsi="Times New Roman" w:cs="Times New Roman"/>
          <w:color w:val="000000"/>
          <w:lang w:val="fr-FR"/>
        </w:rPr>
        <w:t xml:space="preserve">Burge F, Haggerty JL, Pineault R, Beaulieu MD, Lévesque JF, Beaulieu C, et al. </w:t>
      </w:r>
      <w:r w:rsidRPr="0052315F">
        <w:rPr>
          <w:rFonts w:ascii="Times New Roman" w:hAnsi="Times New Roman" w:cs="Times New Roman"/>
          <w:color w:val="000000"/>
        </w:rPr>
        <w:t xml:space="preserve">Relational continuity from the patient perspective: comparison of primary healthcare evaluation instruments. </w:t>
      </w:r>
      <w:proofErr w:type="spellStart"/>
      <w:r w:rsidRPr="0052315F">
        <w:rPr>
          <w:rFonts w:ascii="Times New Roman" w:hAnsi="Times New Roman" w:cs="Times New Roman"/>
          <w:color w:val="000000"/>
        </w:rPr>
        <w:t>Healthc</w:t>
      </w:r>
      <w:proofErr w:type="spellEnd"/>
      <w:r w:rsidRPr="0052315F">
        <w:rPr>
          <w:rFonts w:ascii="Times New Roman" w:hAnsi="Times New Roman" w:cs="Times New Roman"/>
          <w:color w:val="000000"/>
        </w:rPr>
        <w:t xml:space="preserve"> Policy. 2011 Dec;7(Spec Issue):124–38. PubMed PMID: 23205040; PubMed Central PMCID: PMC3399435.</w:t>
      </w:r>
    </w:p>
    <w:p w14:paraId="0AE115BE"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Tong C, Franke T, Larcombe K, Sims-Gould J. Fostering Inter-Agency Collaboration for the Delivery of Community-Based Services for Older Adults. British Journal of Social Work. 2017 Jun 6;48. doi:10.1093/</w:t>
      </w:r>
      <w:proofErr w:type="spellStart"/>
      <w:r w:rsidRPr="0052315F">
        <w:rPr>
          <w:rFonts w:ascii="Times New Roman" w:hAnsi="Times New Roman" w:cs="Times New Roman"/>
          <w:color w:val="000000"/>
        </w:rPr>
        <w:t>bjsw</w:t>
      </w:r>
      <w:proofErr w:type="spellEnd"/>
      <w:r w:rsidRPr="0052315F">
        <w:rPr>
          <w:rFonts w:ascii="Times New Roman" w:hAnsi="Times New Roman" w:cs="Times New Roman"/>
          <w:color w:val="000000"/>
        </w:rPr>
        <w:t>/bcx044</w:t>
      </w:r>
    </w:p>
    <w:p w14:paraId="7ADF9640"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TRUST Definition &amp; Meaning | Dictionary.com [Internet]. [cited 2026 Apr 17]. Available from: https://www.dictionary.com/browse/trust</w:t>
      </w:r>
    </w:p>
    <w:p w14:paraId="6E9414DA"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 xml:space="preserve">Spacey J. </w:t>
      </w:r>
      <w:proofErr w:type="spellStart"/>
      <w:r w:rsidRPr="0052315F">
        <w:rPr>
          <w:rFonts w:ascii="Times New Roman" w:hAnsi="Times New Roman" w:cs="Times New Roman"/>
          <w:color w:val="000000"/>
        </w:rPr>
        <w:t>Simplicable</w:t>
      </w:r>
      <w:proofErr w:type="spellEnd"/>
      <w:r w:rsidRPr="0052315F">
        <w:rPr>
          <w:rFonts w:ascii="Times New Roman" w:hAnsi="Times New Roman" w:cs="Times New Roman"/>
          <w:color w:val="000000"/>
        </w:rPr>
        <w:t xml:space="preserve"> [Internet]. 2017 [cited 2026 Apr 17]. 14 Types of Expectation Setting. Available from: https://simplicable.com/new/expectation-setting</w:t>
      </w:r>
    </w:p>
    <w:p w14:paraId="41F0D5EC"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Patient Care Versus Population Care (Population Health). National Board of Medication Therapy Management [Internet]. [cited 2026 Apr 17]. Available from: https://www.nbmtm.org/mtm-reference/patient-care-versus-population-care-population-health/</w:t>
      </w:r>
    </w:p>
    <w:p w14:paraId="4F4B99C6" w14:textId="77777777" w:rsidR="00CF6EE6" w:rsidRDefault="00CF6EE6" w:rsidP="00CF6EE6">
      <w:pPr>
        <w:pStyle w:val="Bibliography"/>
        <w:numPr>
          <w:ilvl w:val="0"/>
          <w:numId w:val="1"/>
        </w:numPr>
        <w:rPr>
          <w:rFonts w:ascii="Times New Roman" w:hAnsi="Times New Roman" w:cs="Times New Roman"/>
          <w:color w:val="000000"/>
        </w:rPr>
      </w:pPr>
      <w:r w:rsidRPr="00C30E09">
        <w:rPr>
          <w:rFonts w:ascii="Times New Roman" w:hAnsi="Times New Roman" w:cs="Times New Roman"/>
          <w:color w:val="000000"/>
          <w:lang w:val="pt-BR"/>
        </w:rPr>
        <w:t xml:space="preserve">Bennett WL, </w:t>
      </w:r>
      <w:proofErr w:type="spellStart"/>
      <w:r w:rsidRPr="00C30E09">
        <w:rPr>
          <w:rFonts w:ascii="Times New Roman" w:hAnsi="Times New Roman" w:cs="Times New Roman"/>
          <w:color w:val="000000"/>
          <w:lang w:val="pt-BR"/>
        </w:rPr>
        <w:t>Pitts</w:t>
      </w:r>
      <w:proofErr w:type="spellEnd"/>
      <w:r w:rsidRPr="00C30E09">
        <w:rPr>
          <w:rFonts w:ascii="Times New Roman" w:hAnsi="Times New Roman" w:cs="Times New Roman"/>
          <w:color w:val="000000"/>
          <w:lang w:val="pt-BR"/>
        </w:rPr>
        <w:t xml:space="preserve"> S, </w:t>
      </w:r>
      <w:proofErr w:type="spellStart"/>
      <w:r w:rsidRPr="00C30E09">
        <w:rPr>
          <w:rFonts w:ascii="Times New Roman" w:hAnsi="Times New Roman" w:cs="Times New Roman"/>
          <w:color w:val="000000"/>
          <w:lang w:val="pt-BR"/>
        </w:rPr>
        <w:t>Aboumatar</w:t>
      </w:r>
      <w:proofErr w:type="spellEnd"/>
      <w:r w:rsidRPr="00C30E09">
        <w:rPr>
          <w:rFonts w:ascii="Times New Roman" w:hAnsi="Times New Roman" w:cs="Times New Roman"/>
          <w:color w:val="000000"/>
          <w:lang w:val="pt-BR"/>
        </w:rPr>
        <w:t xml:space="preserve"> H, Sharma R, Smith BM, Das A, et al. </w:t>
      </w:r>
      <w:r w:rsidRPr="0052315F">
        <w:rPr>
          <w:rFonts w:ascii="Times New Roman" w:hAnsi="Times New Roman" w:cs="Times New Roman"/>
          <w:color w:val="000000"/>
        </w:rPr>
        <w:t>Strategies for Patient, Family, and Caregiver Engagement [Internet]. Agency for Healthcare Research and Quality (AHRQ); 2020 Aug [cited 2026 Apr 17]. Available from: https://effectivehealthcare.ahrq.gov/products/family-engagement/research. doi:10.23970/AHRQEPCTB36</w:t>
      </w:r>
    </w:p>
    <w:p w14:paraId="22570F02"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 xml:space="preserve">Agency for Healthcare Research and Quality (AHRQ). The SHARE Approach: A Model for Shared </w:t>
      </w:r>
      <w:proofErr w:type="spellStart"/>
      <w:r w:rsidRPr="0052315F">
        <w:rPr>
          <w:rFonts w:ascii="Times New Roman" w:hAnsi="Times New Roman" w:cs="Times New Roman"/>
          <w:color w:val="000000"/>
        </w:rPr>
        <w:t>Decisionmaking</w:t>
      </w:r>
      <w:proofErr w:type="spellEnd"/>
      <w:r w:rsidRPr="0052315F">
        <w:rPr>
          <w:rFonts w:ascii="Times New Roman" w:hAnsi="Times New Roman" w:cs="Times New Roman"/>
          <w:color w:val="000000"/>
        </w:rPr>
        <w:t xml:space="preserve"> - Fact Sheet. [Internet]. Rockville (MD): AHRQ; 2016 [cited 2026 Apr 17] Available from: https://www.ahrq.gov/health-literacy/professional-training/shared-decision/tools/factsheet.html</w:t>
      </w:r>
    </w:p>
    <w:p w14:paraId="00E77D8C"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 xml:space="preserve">Brault I, Kilpatrick K, </w:t>
      </w:r>
      <w:proofErr w:type="spellStart"/>
      <w:r w:rsidRPr="0052315F">
        <w:rPr>
          <w:rFonts w:ascii="Times New Roman" w:hAnsi="Times New Roman" w:cs="Times New Roman"/>
          <w:color w:val="000000"/>
        </w:rPr>
        <w:t>D’Amour</w:t>
      </w:r>
      <w:proofErr w:type="spellEnd"/>
      <w:r w:rsidRPr="0052315F">
        <w:rPr>
          <w:rFonts w:ascii="Times New Roman" w:hAnsi="Times New Roman" w:cs="Times New Roman"/>
          <w:color w:val="000000"/>
        </w:rPr>
        <w:t xml:space="preserve"> D, </w:t>
      </w:r>
      <w:proofErr w:type="spellStart"/>
      <w:r w:rsidRPr="0052315F">
        <w:rPr>
          <w:rFonts w:ascii="Times New Roman" w:hAnsi="Times New Roman" w:cs="Times New Roman"/>
          <w:color w:val="000000"/>
        </w:rPr>
        <w:t>Contandriopoulos</w:t>
      </w:r>
      <w:proofErr w:type="spellEnd"/>
      <w:r w:rsidRPr="0052315F">
        <w:rPr>
          <w:rFonts w:ascii="Times New Roman" w:hAnsi="Times New Roman" w:cs="Times New Roman"/>
          <w:color w:val="000000"/>
        </w:rPr>
        <w:t xml:space="preserve"> D, Chouinard V, Dubois CA, et al. Role clarification processes for better integration of nurse practitioners into primary</w:t>
      </w:r>
    </w:p>
    <w:p w14:paraId="4BC811B7"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 xml:space="preserve">Gonzalo A. Dorothea Orem: Self Care Deficit Theory Study Guide. </w:t>
      </w:r>
      <w:proofErr w:type="spellStart"/>
      <w:r w:rsidRPr="0052315F">
        <w:rPr>
          <w:rFonts w:ascii="Times New Roman" w:hAnsi="Times New Roman" w:cs="Times New Roman"/>
          <w:color w:val="000000"/>
        </w:rPr>
        <w:t>Nurseslabs</w:t>
      </w:r>
      <w:proofErr w:type="spellEnd"/>
      <w:r w:rsidRPr="0052315F">
        <w:rPr>
          <w:rFonts w:ascii="Times New Roman" w:hAnsi="Times New Roman" w:cs="Times New Roman"/>
          <w:color w:val="000000"/>
        </w:rPr>
        <w:t xml:space="preserve"> [Internet]. 2014 Aug 12 [cited 2026 Apr 17]. Available from: https://nurseslabs.com/dorothea-orems-self-care-theory/</w:t>
      </w:r>
    </w:p>
    <w:p w14:paraId="555C799D"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Why It’s Wise to Use a Health Advocate | Agency for Healthcare Research and Quality [Internet]. [cited 2026 Apr 17]. Available from: https://www.ahrq.gov/patients-consumers/patient-involvement/health-advocate.html</w:t>
      </w:r>
    </w:p>
    <w:p w14:paraId="57B2630F"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lastRenderedPageBreak/>
        <w:t>Readiness and Preparedness [Internet]. 2022 Dec 19. Available from: http://www.transformnursing.eu/working-definitions/readiness.aspx</w:t>
      </w:r>
    </w:p>
    <w:p w14:paraId="718F2D48"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Continuity of Care [Internet]. [cited 2026 Apr 17]. Available from: https://www.aafp.org/about/policies/all/continuity-of-care.html</w:t>
      </w:r>
    </w:p>
    <w:p w14:paraId="1CC92682" w14:textId="77777777" w:rsidR="00CF6EE6"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Elements of Access to Health Care: Timeliness | Agency for Healthcare Research and Quality [Internet]. [cited 2026 Apr 17]. Available from: https://www.ahrq.gov/research/findings/nhqrdr/chartbooks/access/elements3.html</w:t>
      </w:r>
    </w:p>
    <w:p w14:paraId="6BD70CBC" w14:textId="77777777" w:rsidR="00CF6EE6" w:rsidRPr="0052315F" w:rsidRDefault="00CF6EE6" w:rsidP="00CF6EE6">
      <w:pPr>
        <w:pStyle w:val="Bibliography"/>
        <w:numPr>
          <w:ilvl w:val="0"/>
          <w:numId w:val="1"/>
        </w:numPr>
        <w:rPr>
          <w:rFonts w:ascii="Times New Roman" w:hAnsi="Times New Roman" w:cs="Times New Roman"/>
          <w:color w:val="000000"/>
        </w:rPr>
      </w:pPr>
      <w:r w:rsidRPr="0052315F">
        <w:rPr>
          <w:rFonts w:ascii="Times New Roman" w:hAnsi="Times New Roman" w:cs="Times New Roman"/>
          <w:color w:val="000000"/>
        </w:rPr>
        <w:t>Privacy in Health Care | AMA-Code [Internet]. [cited 2026 Apr 17]. Available from: https://code-medical-ethics.ama-assn.org/ethics-opinions/privacy-health-care</w:t>
      </w:r>
    </w:p>
    <w:p w14:paraId="44B993AB" w14:textId="77777777" w:rsidR="0049318A" w:rsidRDefault="0049318A"/>
    <w:sectPr w:rsidR="004931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13E35"/>
    <w:multiLevelType w:val="hybridMultilevel"/>
    <w:tmpl w:val="EF58C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9305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EE6"/>
    <w:rsid w:val="00476F5E"/>
    <w:rsid w:val="0049318A"/>
    <w:rsid w:val="00AA28A2"/>
    <w:rsid w:val="00B9715F"/>
    <w:rsid w:val="00C30E09"/>
    <w:rsid w:val="00C97A36"/>
    <w:rsid w:val="00CF6EE6"/>
    <w:rsid w:val="00E87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B9B2"/>
  <w15:chartTrackingRefBased/>
  <w15:docId w15:val="{14948831-1C4F-B04E-92F9-08D6B6F4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EE6"/>
    <w:pPr>
      <w:spacing w:after="0" w:line="240" w:lineRule="auto"/>
    </w:pPr>
    <w:rPr>
      <w:kern w:val="0"/>
      <w14:ligatures w14:val="none"/>
    </w:rPr>
  </w:style>
  <w:style w:type="paragraph" w:styleId="Heading1">
    <w:name w:val="heading 1"/>
    <w:basedOn w:val="Normal"/>
    <w:next w:val="Normal"/>
    <w:link w:val="Heading1Char"/>
    <w:uiPriority w:val="9"/>
    <w:qFormat/>
    <w:rsid w:val="00CF6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E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E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E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E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E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E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E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E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E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E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E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E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E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E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E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EE6"/>
    <w:rPr>
      <w:rFonts w:eastAsiaTheme="majorEastAsia" w:cstheme="majorBidi"/>
      <w:color w:val="272727" w:themeColor="text1" w:themeTint="D8"/>
    </w:rPr>
  </w:style>
  <w:style w:type="paragraph" w:styleId="Title">
    <w:name w:val="Title"/>
    <w:basedOn w:val="Normal"/>
    <w:next w:val="Normal"/>
    <w:link w:val="TitleChar"/>
    <w:uiPriority w:val="10"/>
    <w:qFormat/>
    <w:rsid w:val="00CF6E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E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E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E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EE6"/>
    <w:pPr>
      <w:spacing w:before="160"/>
      <w:jc w:val="center"/>
    </w:pPr>
    <w:rPr>
      <w:i/>
      <w:iCs/>
      <w:color w:val="404040" w:themeColor="text1" w:themeTint="BF"/>
    </w:rPr>
  </w:style>
  <w:style w:type="character" w:customStyle="1" w:styleId="QuoteChar">
    <w:name w:val="Quote Char"/>
    <w:basedOn w:val="DefaultParagraphFont"/>
    <w:link w:val="Quote"/>
    <w:uiPriority w:val="29"/>
    <w:rsid w:val="00CF6EE6"/>
    <w:rPr>
      <w:i/>
      <w:iCs/>
      <w:color w:val="404040" w:themeColor="text1" w:themeTint="BF"/>
    </w:rPr>
  </w:style>
  <w:style w:type="paragraph" w:styleId="ListParagraph">
    <w:name w:val="List Paragraph"/>
    <w:basedOn w:val="Normal"/>
    <w:uiPriority w:val="34"/>
    <w:qFormat/>
    <w:rsid w:val="00CF6EE6"/>
    <w:pPr>
      <w:ind w:left="720"/>
      <w:contextualSpacing/>
    </w:pPr>
  </w:style>
  <w:style w:type="character" w:styleId="IntenseEmphasis">
    <w:name w:val="Intense Emphasis"/>
    <w:basedOn w:val="DefaultParagraphFont"/>
    <w:uiPriority w:val="21"/>
    <w:qFormat/>
    <w:rsid w:val="00CF6EE6"/>
    <w:rPr>
      <w:i/>
      <w:iCs/>
      <w:color w:val="0F4761" w:themeColor="accent1" w:themeShade="BF"/>
    </w:rPr>
  </w:style>
  <w:style w:type="paragraph" w:styleId="IntenseQuote">
    <w:name w:val="Intense Quote"/>
    <w:basedOn w:val="Normal"/>
    <w:next w:val="Normal"/>
    <w:link w:val="IntenseQuoteChar"/>
    <w:uiPriority w:val="30"/>
    <w:qFormat/>
    <w:rsid w:val="00CF6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EE6"/>
    <w:rPr>
      <w:i/>
      <w:iCs/>
      <w:color w:val="0F4761" w:themeColor="accent1" w:themeShade="BF"/>
    </w:rPr>
  </w:style>
  <w:style w:type="character" w:styleId="IntenseReference">
    <w:name w:val="Intense Reference"/>
    <w:basedOn w:val="DefaultParagraphFont"/>
    <w:uiPriority w:val="32"/>
    <w:qFormat/>
    <w:rsid w:val="00CF6EE6"/>
    <w:rPr>
      <w:b/>
      <w:bCs/>
      <w:smallCaps/>
      <w:color w:val="0F4761" w:themeColor="accent1" w:themeShade="BF"/>
      <w:spacing w:val="5"/>
    </w:rPr>
  </w:style>
  <w:style w:type="table" w:styleId="TableGrid">
    <w:name w:val="Table Grid"/>
    <w:basedOn w:val="TableNormal"/>
    <w:uiPriority w:val="39"/>
    <w:rsid w:val="00CF6EE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F6EE6"/>
    <w:pPr>
      <w:tabs>
        <w:tab w:val="left" w:pos="380"/>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1525</Words>
  <Characters>7948</Characters>
  <Application>Microsoft Office Word</Application>
  <DocSecurity>0</DocSecurity>
  <Lines>305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Miller</dc:creator>
  <cp:keywords/>
  <dc:description/>
  <cp:lastModifiedBy>Moczygemba, Leticia</cp:lastModifiedBy>
  <cp:revision>2</cp:revision>
  <dcterms:created xsi:type="dcterms:W3CDTF">2026-07-14T23:55:00Z</dcterms:created>
  <dcterms:modified xsi:type="dcterms:W3CDTF">2026-07-14T23:55:00Z</dcterms:modified>
</cp:coreProperties>
</file>