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0AC" w:rsidRDefault="00E4105C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Supplementary Table S1. Associations of antecedent items and workload descriptors with the Defensive Medicine Practices Attitude Scale scores (positive subscale, negative subscale, and total)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  <w:gridCol w:w="430"/>
        <w:gridCol w:w="913"/>
        <w:gridCol w:w="668"/>
        <w:gridCol w:w="933"/>
        <w:gridCol w:w="668"/>
        <w:gridCol w:w="1191"/>
        <w:gridCol w:w="668"/>
      </w:tblGrid>
      <w:tr w:rsidR="00E4105C" w:rsidTr="00514E58">
        <w:trPr>
          <w:tblHeader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rPr>
                <w:b/>
                <w:bCs/>
              </w:rPr>
              <w:t>Item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n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r (PDMS)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p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r (NDMS)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p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r (DMS total)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p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Would choose the medical profession again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-0.030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0.596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-0.010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0.856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-0.023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0.682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On call (night shift)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-0.169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0.002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-0.159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0.004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-0.175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0.002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Satisfaction with their working conditions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-0.028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0.614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-0.047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0.404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-0.038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0.498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rPr>
                <w:b/>
                <w:bCs/>
              </w:rPr>
              <w:t>Thinking that the medical education received is adequate (TMERA)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-0.151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0.007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-0.147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0.008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-0.158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0.005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rPr>
                <w:b/>
                <w:bCs/>
              </w:rPr>
              <w:t>Anxiety of being complained about (ABCA)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0.230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&lt;0.001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0.242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&lt;0.001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0.248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&lt;0.001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Complaint status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0.012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0.835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0.062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0.265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0.034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0.540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Investigation status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0.002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0.977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-0.093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0.097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-0.039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0.483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rPr>
                <w:b/>
                <w:bCs/>
              </w:rPr>
              <w:t>Fear of making a mistakes (FMM)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0.238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&lt;0.001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0.272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&lt;0.001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0.267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&lt;0.001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Negatively affected by complaints/lawsuits experienced by other physicians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-0.007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0.895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0.000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0.994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-0.005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0.932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rPr>
                <w:b/>
                <w:bCs/>
              </w:rPr>
              <w:t>Possibility of facing a malpractice lawsuit (PFML)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0.206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&lt;0.001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0.113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0.043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0.178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0.001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Belief that malpractice lawsuits have increased in recent years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0.017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0.761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0.030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0.595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0.023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0.674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Belief that current legal regulations and court rulings clearly distinguish complications from malpractice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-0.010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0.854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-0.024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0.666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-0.017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0.763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Belief that the 2022 legal amendment establishing the Professional Responsibility Board will reduce defensive medicine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-0.024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0.674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-0.047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0.398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-0.035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0.529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Exposure the violence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-0.026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0.642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0.051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0.368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0.006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0.919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Having witnessed violence against a colleague in the workplace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-0.034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0.543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0.033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0.556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-0.007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0.901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Belief that the 2022 amendment increasing penalties for offences against healthcare professionals will reduce defensive medicine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-0.055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0.325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-0.042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0.453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-0.053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0.347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Having adequate knowledge of physicians’ rights and responsibilities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-0.013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0.823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0.007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0.903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-0.005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0.930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Having received education on medical law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-0.038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0.501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-0.040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0.472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-0.041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0.464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Belief that more detailed medical-law education should be provided in medical schools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0.002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0.965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-0.009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0.870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-0.002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0.966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Having adequate knowledge of current legal regulations regarding medical malpractice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0.054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0.331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0.031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0.583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0.047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0.398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Having compulsory professional liability insurance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0.001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0.991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0.029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0.599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0.013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0.815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t>Belief that compulsory liability insurance can compensate malpractice-related financial losses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0.000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0.994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0.024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0.661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0.010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t>0.853</w:t>
            </w:r>
          </w:p>
        </w:tc>
      </w:tr>
      <w:tr w:rsidR="00E4105C" w:rsidTr="00514E58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r>
              <w:rPr>
                <w:b/>
                <w:bCs/>
              </w:rPr>
              <w:t>Extra worried about the COVID-19 pandemic (EWAP)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322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-0.112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0.044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-0.136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0.015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-0.129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4105C" w:rsidRDefault="00E4105C" w:rsidP="00514E58">
            <w:pPr>
              <w:jc w:val="center"/>
            </w:pPr>
            <w:r>
              <w:rPr>
                <w:b/>
                <w:bCs/>
              </w:rPr>
              <w:t>0.021</w:t>
            </w:r>
          </w:p>
        </w:tc>
      </w:tr>
    </w:tbl>
    <w:p w:rsidR="00E4105C" w:rsidRDefault="00E4105C">
      <w:pPr>
        <w:spacing w:after="120"/>
      </w:pPr>
    </w:p>
    <w:p w:rsidR="00E4105C" w:rsidRDefault="00E4105C">
      <w:pPr>
        <w:spacing w:after="120"/>
      </w:pPr>
      <w:bookmarkStart w:id="0" w:name="_GoBack"/>
      <w:bookmarkEnd w:id="0"/>
    </w:p>
    <w:p w:rsidR="002B10AC" w:rsidRDefault="00E4105C">
      <w:pPr>
        <w:spacing w:before="80" w:after="40"/>
      </w:pPr>
      <w:r>
        <w:lastRenderedPageBreak/>
        <w:t xml:space="preserve">PDMS: positive defensive medicine subscale total; NDMS: negative defensive medicine subscale total; DMS total: overall Defensive Medicine Practices Attitude Scale </w:t>
      </w:r>
      <w:r>
        <w:t>total (14 attitude items). Bold rows indicate the five antecedent items retained in the SEM: ABCA and FMM as indicators of the latent PFA construct, and PFML, TMERA, and EWAP as observed exogenous variables. Pearson correlation coefficients were calculated</w:t>
      </w:r>
      <w:r>
        <w:t xml:space="preserve"> for the 23 common-sample antecedent items; Spearman’s rho was used for the two quantitative workload descriptors (reported in the note below) because of their skewed distributions. As a robustness check, Spearman correlations were also computed for all 23</w:t>
      </w:r>
      <w:r>
        <w:t xml:space="preserve"> items and yielded a virtually identical pattern; no item changed significance status. Pairwise deletion (n as reported). The reported p values are unadjusted and should be interpreted descriptively within the exploratory screening framework.</w:t>
      </w:r>
    </w:p>
    <w:p w:rsidR="002B10AC" w:rsidRDefault="00E4105C">
      <w:pPr>
        <w:spacing w:before="80" w:after="40"/>
      </w:pPr>
      <w:r>
        <w:t xml:space="preserve">Note on item </w:t>
      </w:r>
      <w:r>
        <w:t>coding and coefficient direction: dichotomous items were coded 1 = yes, 2 = no (exception: investigation status was coded 1 = no, 2 = yes); therefore, negative coefficients for yes/no items (e.g., EWAP, on call) indicate that respondents answering “yes” ob</w:t>
      </w:r>
      <w:r>
        <w:t>tained higher defensive medicine scores. TMERA was coded 1 = no, 2 = undecided, 3 = yes; its negative coefficients indicate that perceiving one’s medical education as adequate was associated with lower defensive medicine scores. ABCA and FMM were coded 1 =</w:t>
      </w:r>
      <w:r>
        <w:t xml:space="preserve"> no, 2 = occasionally, 3 = frequently; PFML was coded 1 = low, 2 = high, 3 = very high; belief that liability insurance can compensate financial losses was coded 1 = yes, 2 = partially, 3 = no. Three items offered “undecided” as a third response option (wo</w:t>
      </w:r>
      <w:r>
        <w:t>uld choose the medical profession again; the two 2022 legal-amendment items) and retained their original coding (1 = yes, 2 = no, 3 = undecided); given this categorical response structure, their coefficients should be interpreted descriptively.</w:t>
      </w:r>
    </w:p>
    <w:p w:rsidR="002B10AC" w:rsidRDefault="00E4105C">
      <w:pPr>
        <w:spacing w:before="80" w:after="40"/>
      </w:pPr>
      <w:r>
        <w:t>Of the 34 antecedent items (Questions 15–48 of the questionnaire), 11 were not included in the common-sample item-level screening above. Nine were nominal, multi-coded, open-ended, or conditional items applicable only to subgroups of respondents: primary r</w:t>
      </w:r>
      <w:r>
        <w:t>eason for choosing the medical profession (nominal, multi-coded); belief that the chosen specialty was the right decision and having changed specialty due to concerns about medical errors or potential lawsuits (conditional – residents, specialists, and fac</w:t>
      </w:r>
      <w:r>
        <w:t>ulty members only); form of the complaint received (conditional – complainants only; nominal, multi-coded); disciplinary or legal sanction following investigation (conditional – investigated respondents only, n = 66); perceived factors contributing to defe</w:t>
      </w:r>
      <w:r>
        <w:t>nsive medical practices (multi-response); type of violence experienced and type of violence witnessed (conditional; nominal); and means of medical-law education (conditional; open-ended). The remaining two—average number of patients per day and number of o</w:t>
      </w:r>
      <w:r>
        <w:t>n-call shifts per month—were quantitative workload descriptors rather than uniformly applicable psychological or perceptual antecedent items and were therefore examined separately from the common-sample item-level screening; the latter was additionally con</w:t>
      </w:r>
      <w:r>
        <w:t>ditional on respondents reporting on-call work. For transparency, their associations with the scale scores were as follows (Spearman’s rho, given skewed distributions; Pearson coefficients were similar): average number of patients per day (n = 301): ρ = 0.</w:t>
      </w:r>
      <w:r>
        <w:t>133 (p = 0.021) with the PDMS, ρ = 0.150 (p = 0.009) with the NDMS, and ρ = 0.148 (p = 0.010) with the DMS total; number of on-call shifts per month (n = 232): ρ = 0.076 (p = 0.250), ρ = −0.009 (p = 0.894), and ρ = 0.041 (p = 0.533), respectively.</w:t>
      </w:r>
    </w:p>
    <w:p w:rsidR="002B10AC" w:rsidRDefault="00E4105C">
      <w:pPr>
        <w:spacing w:before="80" w:after="40"/>
      </w:pPr>
      <w:r>
        <w:t xml:space="preserve">Working </w:t>
      </w:r>
      <w:r>
        <w:t>on call (night shift) and average number of patients per day, as structural work-pattern characteristics rather than psychological or perceptual antecedents, were evaluated and reported separately in this table rather than included in the theory-guided SEM</w:t>
      </w:r>
      <w:r>
        <w:t>; the number of on-call shifts per month was not associated with the scale scores.</w:t>
      </w:r>
    </w:p>
    <w:p w:rsidR="002B10AC" w:rsidRDefault="00E4105C">
      <w:pPr>
        <w:spacing w:before="80" w:after="40"/>
      </w:pPr>
      <w:r>
        <w:t>Sensitivity check: variable screening preceded the fitting of the measurement model; the correlations above therefore refer to the full scale totals as administered. When th</w:t>
      </w:r>
      <w:r>
        <w:t>e correlations were recomputed against the reduced totals corresponding to the indicators retained in the final SEM measurement model (PDMS items 1–5; NDMS items 1–5; combined 10-item total), the pattern of associations was unchanged: ABCA r = 0.245 (p &lt; 0</w:t>
      </w:r>
      <w:r>
        <w:t>.001), FMM r = 0.272 (p &lt; 0.001), PFML r = 0.167 (p = 0.003), TMERA r = −0.149 (p = 0.008), EWAP r = −0.137 (p = 0.014), and on call r = −0.187 (p &lt; 0.001). The associations of the five psychological and perceptual antecedent items retained in the SEM rema</w:t>
      </w:r>
      <w:r>
        <w:t>ined substantively unchanged when correlations were recomputed using the reduced scale totals. Associations involving structural work-pattern characteristics were evaluated and reported separately and did not determine inclusion in the theory-guided struct</w:t>
      </w:r>
      <w:r>
        <w:t>ural model.</w:t>
      </w:r>
    </w:p>
    <w:sectPr w:rsidR="002B10AC">
      <w:pgSz w:w="16838" w:h="11906" w:orient="landscape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2231C"/>
    <w:multiLevelType w:val="hybridMultilevel"/>
    <w:tmpl w:val="692E8984"/>
    <w:lvl w:ilvl="0" w:tplc="EDB02ADA">
      <w:start w:val="1"/>
      <w:numFmt w:val="bullet"/>
      <w:lvlText w:val="●"/>
      <w:lvlJc w:val="left"/>
      <w:pPr>
        <w:ind w:left="720" w:hanging="360"/>
      </w:pPr>
    </w:lvl>
    <w:lvl w:ilvl="1" w:tplc="58B45498">
      <w:start w:val="1"/>
      <w:numFmt w:val="bullet"/>
      <w:lvlText w:val="○"/>
      <w:lvlJc w:val="left"/>
      <w:pPr>
        <w:ind w:left="1440" w:hanging="360"/>
      </w:pPr>
    </w:lvl>
    <w:lvl w:ilvl="2" w:tplc="C9C0824E">
      <w:start w:val="1"/>
      <w:numFmt w:val="bullet"/>
      <w:lvlText w:val="■"/>
      <w:lvlJc w:val="left"/>
      <w:pPr>
        <w:ind w:left="2160" w:hanging="360"/>
      </w:pPr>
    </w:lvl>
    <w:lvl w:ilvl="3" w:tplc="6D025720">
      <w:start w:val="1"/>
      <w:numFmt w:val="bullet"/>
      <w:lvlText w:val="●"/>
      <w:lvlJc w:val="left"/>
      <w:pPr>
        <w:ind w:left="2880" w:hanging="360"/>
      </w:pPr>
    </w:lvl>
    <w:lvl w:ilvl="4" w:tplc="C6D2219A">
      <w:start w:val="1"/>
      <w:numFmt w:val="bullet"/>
      <w:lvlText w:val="○"/>
      <w:lvlJc w:val="left"/>
      <w:pPr>
        <w:ind w:left="3600" w:hanging="360"/>
      </w:pPr>
    </w:lvl>
    <w:lvl w:ilvl="5" w:tplc="69D46D8A">
      <w:start w:val="1"/>
      <w:numFmt w:val="bullet"/>
      <w:lvlText w:val="■"/>
      <w:lvlJc w:val="left"/>
      <w:pPr>
        <w:ind w:left="4320" w:hanging="360"/>
      </w:pPr>
    </w:lvl>
    <w:lvl w:ilvl="6" w:tplc="C92E793E">
      <w:start w:val="1"/>
      <w:numFmt w:val="bullet"/>
      <w:lvlText w:val="●"/>
      <w:lvlJc w:val="left"/>
      <w:pPr>
        <w:ind w:left="5040" w:hanging="360"/>
      </w:pPr>
    </w:lvl>
    <w:lvl w:ilvl="7" w:tplc="D1B83830">
      <w:start w:val="1"/>
      <w:numFmt w:val="bullet"/>
      <w:lvlText w:val="●"/>
      <w:lvlJc w:val="left"/>
      <w:pPr>
        <w:ind w:left="5760" w:hanging="360"/>
      </w:pPr>
    </w:lvl>
    <w:lvl w:ilvl="8" w:tplc="DE3C383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AC"/>
    <w:rsid w:val="002B10AC"/>
    <w:rsid w:val="00E4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6D11"/>
  <w15:docId w15:val="{738E704E-7564-40F7-A6D0-8AEA94F4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2026-07-17T20:06:00Z</dcterms:created>
  <dcterms:modified xsi:type="dcterms:W3CDTF">2026-07-17T20:06:00Z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5314b390-6286-44ba-ac6c-b9e12b3135c4</vt:lpwstr>
  </property>
</Properties>
</file>