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default" w:ascii="Times New Roman" w:hAnsi="Times New Roman" w:eastAsia="HYSinMyeongJo-Medium" w:cs="Times New Roman"/>
          <w:b/>
          <w:bCs/>
          <w:kern w:val="2"/>
          <w:sz w:val="24"/>
          <w:szCs w:val="24"/>
          <w:lang w:val="en-US" w:eastAsia="zh-CN" w:bidi="ar-SA"/>
        </w:rPr>
        <w:id w:val="147465728"/>
        <w15:color w:val="DBDBDB"/>
        <w:docPartObj>
          <w:docPartGallery w:val="Table of Contents"/>
          <w:docPartUnique/>
        </w:docPartObj>
      </w:sdtPr>
      <w:sdtEndPr>
        <w:rPr>
          <w:rFonts w:hint="default" w:ascii="Times New Roman" w:hAnsi="Times New Roman" w:eastAsia="HYSinMyeongJo-Medium" w:cs="Times New Roman"/>
          <w:b/>
          <w:bCs/>
          <w:kern w:val="2"/>
          <w:sz w:val="24"/>
          <w:szCs w:val="24"/>
          <w:lang w:val="en-US" w:eastAsia="zh-CN" w:bidi="ar-SA"/>
        </w:rPr>
      </w:sdtEndPr>
      <w:sdtContent>
        <w:p w14:paraId="16583F1F">
          <w:pPr>
            <w:widowControl w:val="0"/>
            <w:spacing w:after="0" w:line="360" w:lineRule="auto"/>
            <w:jc w:val="center"/>
            <w:rPr>
              <w:rFonts w:hint="default" w:ascii="Times New Roman" w:hAnsi="Times New Roman" w:eastAsia="HYSinMyeongJo-Medium" w:cs="Times New Roman"/>
              <w:b/>
              <w:bCs/>
              <w:kern w:val="2"/>
              <w:sz w:val="24"/>
              <w:szCs w:val="24"/>
              <w:lang w:eastAsia="zh-CN"/>
            </w:rPr>
          </w:pPr>
          <w:r>
            <w:rPr>
              <w:rFonts w:hint="eastAsia" w:ascii="Times New Roman" w:hAnsi="Times New Roman" w:eastAsia="等线" w:cs="Times New Roman"/>
              <w:b/>
              <w:kern w:val="2"/>
              <w:sz w:val="24"/>
              <w:szCs w:val="24"/>
              <w:shd w:val="clear" w:color="auto" w:fill="FFFFFF"/>
              <w:lang w:val="en-US" w:eastAsia="zh-CN"/>
            </w:rPr>
            <w:t>C</w:t>
          </w:r>
          <w:r>
            <w:rPr>
              <w:rFonts w:ascii="Times New Roman" w:hAnsi="Times New Roman" w:eastAsia="等线" w:cs="Times New Roman"/>
              <w:b/>
              <w:kern w:val="2"/>
              <w:sz w:val="24"/>
              <w:szCs w:val="24"/>
              <w:shd w:val="clear" w:color="auto" w:fill="FFFFFF"/>
              <w:lang w:eastAsia="zh-CN"/>
            </w:rPr>
            <w:t>ontents</w:t>
          </w:r>
        </w:p>
        <w:p w14:paraId="35AB6998">
          <w:pPr>
            <w:pStyle w:val="26"/>
            <w:tabs>
              <w:tab w:val="right" w:leader="dot" w:pos="14544"/>
            </w:tabs>
            <w:rPr>
              <w:sz w:val="24"/>
              <w:szCs w:val="24"/>
            </w:rPr>
          </w:pPr>
          <w:r>
            <w:rPr>
              <w:rFonts w:hint="default" w:ascii="Times New Roman" w:hAnsi="Times New Roman" w:eastAsia="HYSinMyeongJo-Medium" w:cs="Times New Roman"/>
              <w:b/>
              <w:bCs/>
              <w:kern w:val="2"/>
              <w:sz w:val="24"/>
              <w:szCs w:val="24"/>
              <w:lang w:eastAsia="zh-CN"/>
            </w:rPr>
            <w:fldChar w:fldCharType="begin"/>
          </w:r>
          <w:r>
            <w:rPr>
              <w:rFonts w:hint="default" w:ascii="Times New Roman" w:hAnsi="Times New Roman" w:eastAsia="HYSinMyeongJo-Medium" w:cs="Times New Roman"/>
              <w:b/>
              <w:bCs/>
              <w:kern w:val="2"/>
              <w:sz w:val="24"/>
              <w:szCs w:val="24"/>
              <w:lang w:eastAsia="zh-CN"/>
            </w:rPr>
            <w:instrText xml:space="preserve">TOC \o "1-1" \h \u </w:instrText>
          </w:r>
          <w:r>
            <w:rPr>
              <w:rFonts w:hint="default" w:ascii="Times New Roman" w:hAnsi="Times New Roman" w:eastAsia="HYSinMyeongJo-Medium" w:cs="Times New Roman"/>
              <w:b/>
              <w:bCs/>
              <w:kern w:val="2"/>
              <w:sz w:val="24"/>
              <w:szCs w:val="24"/>
              <w:lang w:eastAsia="zh-CN"/>
            </w:rPr>
            <w:fldChar w:fldCharType="separate"/>
          </w:r>
          <w:r>
            <w:rPr>
              <w:rFonts w:hint="default" w:ascii="Times New Roman" w:hAnsi="Times New Roman" w:eastAsia="HYSinMyeongJo-Medium" w:cs="Times New Roman"/>
              <w:bCs/>
              <w:kern w:val="2"/>
              <w:sz w:val="24"/>
              <w:szCs w:val="24"/>
              <w:lang w:eastAsia="zh-CN"/>
            </w:rPr>
            <w:fldChar w:fldCharType="begin"/>
          </w:r>
          <w:r>
            <w:rPr>
              <w:rFonts w:hint="default" w:ascii="Times New Roman" w:hAnsi="Times New Roman" w:eastAsia="HYSinMyeongJo-Medium" w:cs="Times New Roman"/>
              <w:bCs/>
              <w:kern w:val="2"/>
              <w:sz w:val="24"/>
              <w:szCs w:val="24"/>
              <w:lang w:eastAsia="zh-CN"/>
            </w:rPr>
            <w:instrText xml:space="preserve"> HYPERLINK \l _Toc6274 </w:instrText>
          </w:r>
          <w:r>
            <w:rPr>
              <w:rFonts w:hint="default" w:ascii="Times New Roman" w:hAnsi="Times New Roman" w:eastAsia="HYSinMyeongJo-Medium" w:cs="Times New Roman"/>
              <w:bCs/>
              <w:kern w:val="2"/>
              <w:sz w:val="24"/>
              <w:szCs w:val="24"/>
              <w:lang w:eastAsia="zh-CN"/>
            </w:rPr>
            <w:fldChar w:fldCharType="separate"/>
          </w:r>
          <w:r>
            <w:rPr>
              <w:rFonts w:hint="default" w:ascii="Times New Roman" w:hAnsi="Times New Roman" w:cs="Times New Roman"/>
              <w:kern w:val="0"/>
              <w:sz w:val="24"/>
              <w:szCs w:val="24"/>
              <w:lang w:val="en-US" w:eastAsia="en-US"/>
            </w:rPr>
            <w:t xml:space="preserve">Table </w:t>
          </w:r>
          <w:r>
            <w:rPr>
              <w:rFonts w:hint="eastAsia" w:ascii="Times New Roman" w:hAnsi="Times New Roman" w:cs="Times New Roman"/>
              <w:kern w:val="0"/>
              <w:sz w:val="24"/>
              <w:szCs w:val="24"/>
              <w:lang w:val="en-US" w:eastAsia="zh-CN"/>
            </w:rPr>
            <w:t>S1</w:t>
          </w:r>
          <w:r>
            <w:rPr>
              <w:rFonts w:hint="default" w:ascii="Times New Roman" w:hAnsi="Times New Roman" w:cs="Times New Roman"/>
              <w:kern w:val="0"/>
              <w:sz w:val="24"/>
              <w:szCs w:val="24"/>
              <w:lang w:val="en-US" w:eastAsia="en-US"/>
            </w:rPr>
            <w:t>. Types of community-based TCM health services reported by service users (n = 729)</w:t>
          </w:r>
          <w:r>
            <w:rPr>
              <w:sz w:val="24"/>
              <w:szCs w:val="24"/>
            </w:rPr>
            <w:tab/>
          </w:r>
          <w:r>
            <w:rPr>
              <w:sz w:val="24"/>
              <w:szCs w:val="24"/>
            </w:rPr>
            <w:fldChar w:fldCharType="begin"/>
          </w:r>
          <w:r>
            <w:rPr>
              <w:sz w:val="24"/>
              <w:szCs w:val="24"/>
            </w:rPr>
            <w:instrText xml:space="preserve"> PAGEREF _Toc6274 \h </w:instrText>
          </w:r>
          <w:r>
            <w:rPr>
              <w:sz w:val="24"/>
              <w:szCs w:val="24"/>
            </w:rPr>
            <w:fldChar w:fldCharType="separate"/>
          </w:r>
          <w:r>
            <w:rPr>
              <w:sz w:val="24"/>
              <w:szCs w:val="24"/>
            </w:rPr>
            <w:t>2</w:t>
          </w:r>
          <w:r>
            <w:rPr>
              <w:sz w:val="24"/>
              <w:szCs w:val="24"/>
            </w:rPr>
            <w:fldChar w:fldCharType="end"/>
          </w:r>
          <w:r>
            <w:rPr>
              <w:rFonts w:hint="default" w:ascii="Times New Roman" w:hAnsi="Times New Roman" w:eastAsia="HYSinMyeongJo-Medium" w:cs="Times New Roman"/>
              <w:bCs/>
              <w:kern w:val="2"/>
              <w:sz w:val="24"/>
              <w:szCs w:val="24"/>
              <w:lang w:eastAsia="zh-CN"/>
            </w:rPr>
            <w:fldChar w:fldCharType="end"/>
          </w:r>
        </w:p>
        <w:p w14:paraId="51D58CCC">
          <w:pPr>
            <w:pStyle w:val="26"/>
            <w:tabs>
              <w:tab w:val="right" w:leader="dot" w:pos="14544"/>
            </w:tabs>
            <w:rPr>
              <w:sz w:val="24"/>
              <w:szCs w:val="24"/>
            </w:rPr>
          </w:pPr>
          <w:r>
            <w:rPr>
              <w:rFonts w:hint="default" w:ascii="Times New Roman" w:hAnsi="Times New Roman" w:eastAsia="HYSinMyeongJo-Medium" w:cs="Times New Roman"/>
              <w:bCs/>
              <w:kern w:val="2"/>
              <w:sz w:val="24"/>
              <w:szCs w:val="24"/>
              <w:lang w:eastAsia="zh-CN"/>
            </w:rPr>
            <w:fldChar w:fldCharType="begin"/>
          </w:r>
          <w:r>
            <w:rPr>
              <w:rFonts w:hint="default" w:ascii="Times New Roman" w:hAnsi="Times New Roman" w:eastAsia="HYSinMyeongJo-Medium" w:cs="Times New Roman"/>
              <w:bCs/>
              <w:kern w:val="2"/>
              <w:sz w:val="24"/>
              <w:szCs w:val="24"/>
              <w:lang w:eastAsia="zh-CN"/>
            </w:rPr>
            <w:instrText xml:space="preserve"> HYPERLINK \l _Toc29093 </w:instrText>
          </w:r>
          <w:r>
            <w:rPr>
              <w:rFonts w:hint="default" w:ascii="Times New Roman" w:hAnsi="Times New Roman" w:eastAsia="HYSinMyeongJo-Medium" w:cs="Times New Roman"/>
              <w:bCs/>
              <w:kern w:val="2"/>
              <w:sz w:val="24"/>
              <w:szCs w:val="24"/>
              <w:lang w:eastAsia="zh-CN"/>
            </w:rPr>
            <w:fldChar w:fldCharType="separate"/>
          </w:r>
          <w:r>
            <w:rPr>
              <w:rFonts w:hint="default" w:ascii="Times New Roman" w:hAnsi="Times New Roman" w:cs="Times New Roman"/>
              <w:kern w:val="0"/>
              <w:sz w:val="24"/>
              <w:szCs w:val="24"/>
              <w:lang w:val="en-US" w:eastAsia="en-US"/>
            </w:rPr>
            <w:t xml:space="preserve">Table </w:t>
          </w:r>
          <w:r>
            <w:rPr>
              <w:rFonts w:hint="eastAsia" w:ascii="Times New Roman" w:hAnsi="Times New Roman" w:cs="Times New Roman"/>
              <w:kern w:val="0"/>
              <w:sz w:val="24"/>
              <w:szCs w:val="24"/>
              <w:lang w:val="en-US" w:eastAsia="zh-CN"/>
            </w:rPr>
            <w:t xml:space="preserve">S2 </w:t>
          </w:r>
          <w:r>
            <w:rPr>
              <w:rFonts w:hint="default" w:ascii="Times New Roman" w:hAnsi="Times New Roman" w:cs="Times New Roman"/>
              <w:kern w:val="0"/>
              <w:sz w:val="24"/>
              <w:szCs w:val="24"/>
              <w:lang w:eastAsia="en-US"/>
            </w:rPr>
            <w:t>Definitions and coding of variables used in the quantitative analysis</w:t>
          </w:r>
          <w:r>
            <w:rPr>
              <w:sz w:val="24"/>
              <w:szCs w:val="24"/>
            </w:rPr>
            <w:tab/>
          </w:r>
          <w:r>
            <w:rPr>
              <w:sz w:val="24"/>
              <w:szCs w:val="24"/>
            </w:rPr>
            <w:fldChar w:fldCharType="begin"/>
          </w:r>
          <w:r>
            <w:rPr>
              <w:sz w:val="24"/>
              <w:szCs w:val="24"/>
            </w:rPr>
            <w:instrText xml:space="preserve"> PAGEREF _Toc29093 \h </w:instrText>
          </w:r>
          <w:r>
            <w:rPr>
              <w:sz w:val="24"/>
              <w:szCs w:val="24"/>
            </w:rPr>
            <w:fldChar w:fldCharType="separate"/>
          </w:r>
          <w:r>
            <w:rPr>
              <w:sz w:val="24"/>
              <w:szCs w:val="24"/>
            </w:rPr>
            <w:t>3</w:t>
          </w:r>
          <w:r>
            <w:rPr>
              <w:sz w:val="24"/>
              <w:szCs w:val="24"/>
            </w:rPr>
            <w:fldChar w:fldCharType="end"/>
          </w:r>
          <w:r>
            <w:rPr>
              <w:rFonts w:hint="default" w:ascii="Times New Roman" w:hAnsi="Times New Roman" w:eastAsia="HYSinMyeongJo-Medium" w:cs="Times New Roman"/>
              <w:bCs/>
              <w:kern w:val="2"/>
              <w:sz w:val="24"/>
              <w:szCs w:val="24"/>
              <w:lang w:eastAsia="zh-CN"/>
            </w:rPr>
            <w:fldChar w:fldCharType="end"/>
          </w:r>
        </w:p>
        <w:p w14:paraId="6DA65CFF">
          <w:pPr>
            <w:pStyle w:val="3"/>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kern w:val="0"/>
              <w:sz w:val="24"/>
              <w:szCs w:val="24"/>
              <w:lang w:val="en-US" w:eastAsia="en-US"/>
            </w:rPr>
          </w:pPr>
          <w:r>
            <w:rPr>
              <w:rFonts w:hint="default" w:ascii="Times New Roman" w:hAnsi="Times New Roman" w:eastAsia="HYSinMyeongJo-Medium" w:cs="Times New Roman"/>
              <w:bCs/>
              <w:kern w:val="2"/>
              <w:sz w:val="24"/>
              <w:szCs w:val="24"/>
              <w:lang w:eastAsia="zh-CN"/>
            </w:rPr>
            <w:fldChar w:fldCharType="end"/>
          </w:r>
          <w:bookmarkStart w:id="0" w:name="_Toc6274"/>
        </w:p>
      </w:sdtContent>
    </w:sdt>
    <w:p w14:paraId="44FF75D8">
      <w:pPr>
        <w:pStyle w:val="3"/>
        <w:bidi w:val="0"/>
        <w:rPr>
          <w:rFonts w:hint="default" w:ascii="Times New Roman" w:hAnsi="Times New Roman" w:cs="Times New Roman"/>
          <w:color w:val="auto"/>
          <w:kern w:val="0"/>
          <w:sz w:val="24"/>
          <w:szCs w:val="24"/>
          <w:lang w:val="en-US" w:eastAsia="en-US"/>
        </w:rPr>
      </w:pPr>
    </w:p>
    <w:p w14:paraId="1E57E6BB">
      <w:pPr>
        <w:pStyle w:val="3"/>
        <w:bidi w:val="0"/>
        <w:rPr>
          <w:rFonts w:hint="default" w:ascii="Times New Roman" w:hAnsi="Times New Roman" w:cs="Times New Roman"/>
          <w:color w:val="auto"/>
          <w:kern w:val="0"/>
          <w:sz w:val="24"/>
          <w:szCs w:val="24"/>
          <w:lang w:val="en-US" w:eastAsia="en-US"/>
        </w:rPr>
      </w:pPr>
    </w:p>
    <w:p w14:paraId="6AADC426">
      <w:pPr>
        <w:pStyle w:val="3"/>
        <w:bidi w:val="0"/>
        <w:rPr>
          <w:rFonts w:hint="default" w:ascii="Times New Roman" w:hAnsi="Times New Roman" w:cs="Times New Roman"/>
          <w:color w:val="auto"/>
          <w:kern w:val="0"/>
          <w:sz w:val="24"/>
          <w:szCs w:val="24"/>
          <w:lang w:val="en-US" w:eastAsia="en-US"/>
        </w:rPr>
      </w:pPr>
    </w:p>
    <w:p w14:paraId="3CFD379E">
      <w:pPr>
        <w:pStyle w:val="3"/>
        <w:bidi w:val="0"/>
        <w:rPr>
          <w:rFonts w:hint="default" w:ascii="Times New Roman" w:hAnsi="Times New Roman" w:cs="Times New Roman"/>
          <w:color w:val="auto"/>
          <w:kern w:val="0"/>
          <w:sz w:val="24"/>
          <w:szCs w:val="24"/>
          <w:lang w:val="en-US" w:eastAsia="en-US"/>
        </w:rPr>
      </w:pPr>
    </w:p>
    <w:p w14:paraId="701D6CCA">
      <w:pPr>
        <w:pStyle w:val="3"/>
        <w:bidi w:val="0"/>
        <w:spacing w:before="0" w:line="240" w:lineRule="auto"/>
        <w:rPr>
          <w:rFonts w:hint="default" w:ascii="Times New Roman" w:hAnsi="Times New Roman" w:cs="Times New Roman"/>
          <w:color w:val="auto"/>
          <w:kern w:val="0"/>
          <w:sz w:val="24"/>
          <w:szCs w:val="24"/>
          <w:lang w:val="en-US" w:eastAsia="en-US"/>
        </w:rPr>
      </w:pPr>
    </w:p>
    <w:p w14:paraId="05F06384">
      <w:pPr>
        <w:pStyle w:val="3"/>
        <w:bidi w:val="0"/>
        <w:rPr>
          <w:rFonts w:hint="default" w:ascii="Times New Roman" w:hAnsi="Times New Roman" w:cs="Times New Roman"/>
          <w:color w:val="auto"/>
          <w:kern w:val="0"/>
          <w:sz w:val="24"/>
          <w:szCs w:val="24"/>
          <w:lang w:val="en-US" w:eastAsia="en-US"/>
        </w:rPr>
      </w:pPr>
    </w:p>
    <w:p w14:paraId="5DB627A7">
      <w:pPr>
        <w:pStyle w:val="3"/>
        <w:bidi w:val="0"/>
        <w:rPr>
          <w:rFonts w:hint="default" w:ascii="Times New Roman" w:hAnsi="Times New Roman" w:cs="Times New Roman"/>
          <w:color w:val="auto"/>
          <w:kern w:val="0"/>
          <w:sz w:val="24"/>
          <w:szCs w:val="24"/>
          <w:lang w:val="en-US" w:eastAsia="en-US"/>
        </w:rPr>
      </w:pPr>
    </w:p>
    <w:p w14:paraId="18EFEC8A">
      <w:pPr>
        <w:pStyle w:val="3"/>
        <w:bidi w:val="0"/>
        <w:rPr>
          <w:rFonts w:hint="default" w:ascii="Times New Roman" w:hAnsi="Times New Roman" w:cs="Times New Roman"/>
          <w:color w:val="auto"/>
          <w:kern w:val="0"/>
          <w:sz w:val="24"/>
          <w:szCs w:val="24"/>
          <w:lang w:val="en-US" w:eastAsia="en-US"/>
        </w:rPr>
      </w:pPr>
    </w:p>
    <w:p w14:paraId="727A23E8">
      <w:pPr>
        <w:pStyle w:val="3"/>
        <w:bidi w:val="0"/>
        <w:rPr>
          <w:rFonts w:hint="default" w:ascii="Times New Roman" w:hAnsi="Times New Roman" w:cs="Times New Roman"/>
          <w:color w:val="auto"/>
          <w:kern w:val="0"/>
          <w:sz w:val="24"/>
          <w:szCs w:val="24"/>
          <w:lang w:val="en-US" w:eastAsia="en-US"/>
        </w:rPr>
      </w:pPr>
    </w:p>
    <w:p w14:paraId="1F289C99">
      <w:pPr>
        <w:pStyle w:val="3"/>
        <w:bidi w:val="0"/>
        <w:rPr>
          <w:rFonts w:hint="default" w:ascii="Times New Roman" w:hAnsi="Times New Roman" w:cs="Times New Roman"/>
          <w:color w:val="auto"/>
          <w:kern w:val="0"/>
          <w:sz w:val="24"/>
          <w:szCs w:val="24"/>
          <w:lang w:val="en-US" w:eastAsia="en-US"/>
        </w:rPr>
      </w:pPr>
    </w:p>
    <w:p w14:paraId="6CF4D6D2">
      <w:pPr>
        <w:rPr>
          <w:rFonts w:hint="default" w:ascii="Times New Roman" w:hAnsi="Times New Roman" w:cs="Times New Roman"/>
          <w:color w:val="auto"/>
          <w:kern w:val="0"/>
          <w:sz w:val="24"/>
          <w:szCs w:val="24"/>
          <w:lang w:val="en-US" w:eastAsia="en-US"/>
        </w:rPr>
      </w:pPr>
    </w:p>
    <w:p w14:paraId="0832CCA3">
      <w:pPr>
        <w:rPr>
          <w:rFonts w:hint="default" w:ascii="Times New Roman" w:hAnsi="Times New Roman" w:cs="Times New Roman"/>
          <w:color w:val="auto"/>
          <w:kern w:val="0"/>
          <w:sz w:val="24"/>
          <w:szCs w:val="24"/>
          <w:lang w:val="en-US" w:eastAsia="en-US"/>
        </w:rPr>
      </w:pPr>
    </w:p>
    <w:p w14:paraId="16BA5CCD">
      <w:pPr>
        <w:pStyle w:val="3"/>
        <w:bidi w:val="0"/>
        <w:rPr>
          <w:rFonts w:hint="default"/>
          <w:sz w:val="24"/>
          <w:szCs w:val="24"/>
          <w:lang w:eastAsia="en-US"/>
        </w:rPr>
      </w:pPr>
      <w:r>
        <w:rPr>
          <w:rFonts w:hint="default" w:ascii="Times New Roman" w:hAnsi="Times New Roman" w:cs="Times New Roman"/>
          <w:color w:val="auto"/>
          <w:kern w:val="0"/>
          <w:sz w:val="24"/>
          <w:szCs w:val="24"/>
          <w:lang w:val="en-US" w:eastAsia="en-US"/>
        </w:rPr>
        <w:t xml:space="preserve">Table </w:t>
      </w:r>
      <w:r>
        <w:rPr>
          <w:rFonts w:hint="eastAsia" w:ascii="Times New Roman" w:hAnsi="Times New Roman" w:cs="Times New Roman"/>
          <w:color w:val="auto"/>
          <w:kern w:val="0"/>
          <w:sz w:val="24"/>
          <w:szCs w:val="24"/>
          <w:lang w:val="en-US" w:eastAsia="zh-CN"/>
        </w:rPr>
        <w:t>S1</w:t>
      </w:r>
      <w:r>
        <w:rPr>
          <w:rFonts w:hint="default" w:ascii="Times New Roman" w:hAnsi="Times New Roman" w:cs="Times New Roman"/>
          <w:color w:val="auto"/>
          <w:kern w:val="0"/>
          <w:sz w:val="24"/>
          <w:szCs w:val="24"/>
          <w:lang w:val="en-US" w:eastAsia="en-US"/>
        </w:rPr>
        <w:t xml:space="preserve"> Types of community-based TCM health services reported </w:t>
      </w:r>
      <w:r>
        <w:rPr>
          <w:rFonts w:hint="eastAsia" w:ascii="Times New Roman" w:hAnsi="Times New Roman" w:eastAsia="宋体" w:cs="Times New Roman"/>
          <w:color w:val="auto"/>
          <w:kern w:val="0"/>
          <w:sz w:val="24"/>
          <w:szCs w:val="24"/>
          <w:lang w:val="en-US" w:eastAsia="zh-CN"/>
        </w:rPr>
        <w:t xml:space="preserve">during the past 12 months </w:t>
      </w:r>
      <w:r>
        <w:rPr>
          <w:rFonts w:hint="default" w:ascii="Times New Roman" w:hAnsi="Times New Roman" w:cs="Times New Roman"/>
          <w:color w:val="auto"/>
          <w:kern w:val="0"/>
          <w:sz w:val="24"/>
          <w:szCs w:val="24"/>
          <w:lang w:val="en-US" w:eastAsia="en-US"/>
        </w:rPr>
        <w:t>by service users (n = 729)</w:t>
      </w:r>
      <w:bookmarkEnd w:id="0"/>
      <w:r>
        <w:rPr>
          <w:rFonts w:hint="default" w:ascii="Times New Roman" w:hAnsi="Times New Roman" w:cs="Times New Roman"/>
          <w:color w:val="auto"/>
          <w:kern w:val="0"/>
          <w:sz w:val="24"/>
          <w:szCs w:val="24"/>
          <w:lang w:val="en-US" w:eastAsia="en-US"/>
        </w:rPr>
        <w:tab/>
      </w:r>
      <w:r>
        <w:rPr>
          <w:rFonts w:hint="default"/>
          <w:sz w:val="24"/>
          <w:szCs w:val="24"/>
          <w:lang w:eastAsia="en-US"/>
        </w:rPr>
        <w:tab/>
      </w:r>
      <w:r>
        <w:rPr>
          <w:rFonts w:hint="default"/>
          <w:sz w:val="24"/>
          <w:szCs w:val="24"/>
          <w:lang w:eastAsia="en-US"/>
        </w:rPr>
        <w:tab/>
      </w:r>
    </w:p>
    <w:tbl>
      <w:tblPr>
        <w:tblStyle w:val="33"/>
        <w:tblW w:w="1483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7"/>
        <w:gridCol w:w="5533"/>
        <w:gridCol w:w="3510"/>
        <w:gridCol w:w="4800"/>
      </w:tblGrid>
      <w:tr w14:paraId="1580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987" w:type="dxa"/>
            <w:tcBorders>
              <w:top w:val="single" w:color="000000" w:sz="12" w:space="0"/>
              <w:left w:val="nil"/>
              <w:bottom w:val="single" w:color="000000" w:sz="4" w:space="0"/>
              <w:right w:val="nil"/>
              <w:tl2br w:val="nil"/>
            </w:tcBorders>
            <w:shd w:val="clear" w:color="auto" w:fill="FFFFFF"/>
            <w:vAlign w:val="center"/>
          </w:tcPr>
          <w:p w14:paraId="364873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val="0"/>
                <w:bCs/>
                <w:i w:val="0"/>
                <w:iCs w:val="0"/>
                <w:color w:val="000000"/>
                <w:kern w:val="0"/>
                <w:sz w:val="20"/>
                <w:szCs w:val="20"/>
                <w:u w:val="none"/>
                <w:lang w:val="en-US" w:eastAsia="zh-CN" w:bidi="ar"/>
              </w:rPr>
              <w:t>Rank</w:t>
            </w:r>
          </w:p>
        </w:tc>
        <w:tc>
          <w:tcPr>
            <w:tcW w:w="5533" w:type="dxa"/>
            <w:tcBorders>
              <w:top w:val="single" w:color="000000" w:sz="12" w:space="0"/>
              <w:left w:val="nil"/>
              <w:bottom w:val="single" w:color="000000" w:sz="4" w:space="0"/>
              <w:right w:val="nil"/>
            </w:tcBorders>
            <w:shd w:val="clear" w:color="auto" w:fill="FFFFFF"/>
            <w:vAlign w:val="center"/>
          </w:tcPr>
          <w:p w14:paraId="529A30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val="0"/>
                <w:bCs/>
                <w:i w:val="0"/>
                <w:iCs w:val="0"/>
                <w:color w:val="000000"/>
                <w:kern w:val="0"/>
                <w:sz w:val="20"/>
                <w:szCs w:val="20"/>
                <w:u w:val="none"/>
                <w:lang w:val="en-US" w:eastAsia="zh-CN" w:bidi="ar"/>
              </w:rPr>
              <w:t>Type of community-based TCM health service</w:t>
            </w:r>
          </w:p>
        </w:tc>
        <w:tc>
          <w:tcPr>
            <w:tcW w:w="3510" w:type="dxa"/>
            <w:tcBorders>
              <w:top w:val="single" w:color="000000" w:sz="12" w:space="0"/>
              <w:left w:val="nil"/>
              <w:bottom w:val="single" w:color="000000" w:sz="4" w:space="0"/>
              <w:right w:val="nil"/>
            </w:tcBorders>
            <w:shd w:val="clear" w:color="auto" w:fill="FFFFFF"/>
            <w:vAlign w:val="center"/>
          </w:tcPr>
          <w:p w14:paraId="589486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val="0"/>
                <w:bCs/>
                <w:i w:val="0"/>
                <w:iCs w:val="0"/>
                <w:color w:val="000000"/>
                <w:kern w:val="0"/>
                <w:sz w:val="20"/>
                <w:szCs w:val="20"/>
                <w:u w:val="none"/>
                <w:lang w:val="en-US" w:eastAsia="zh-CN" w:bidi="ar"/>
              </w:rPr>
              <w:t>Participants, n</w:t>
            </w:r>
          </w:p>
        </w:tc>
        <w:tc>
          <w:tcPr>
            <w:tcW w:w="4800" w:type="dxa"/>
            <w:tcBorders>
              <w:top w:val="single" w:color="000000" w:sz="12" w:space="0"/>
              <w:left w:val="nil"/>
              <w:bottom w:val="single" w:color="000000" w:sz="4" w:space="0"/>
              <w:right w:val="nil"/>
            </w:tcBorders>
            <w:shd w:val="clear" w:color="auto" w:fill="FFFFFF"/>
            <w:vAlign w:val="center"/>
          </w:tcPr>
          <w:p w14:paraId="1AAEBE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i w:val="0"/>
                <w:iCs w:val="0"/>
                <w:color w:val="000000"/>
                <w:sz w:val="20"/>
                <w:szCs w:val="20"/>
                <w:u w:val="none"/>
              </w:rPr>
            </w:pPr>
            <w:r>
              <w:rPr>
                <w:rFonts w:hint="default" w:ascii="Times New Roman" w:hAnsi="Times New Roman" w:eastAsia="宋体" w:cs="Times New Roman"/>
                <w:b w:val="0"/>
                <w:bCs/>
                <w:i w:val="0"/>
                <w:iCs w:val="0"/>
                <w:color w:val="000000"/>
                <w:kern w:val="0"/>
                <w:sz w:val="20"/>
                <w:szCs w:val="20"/>
                <w:u w:val="none"/>
                <w:lang w:val="en-US" w:eastAsia="zh-CN" w:bidi="ar"/>
              </w:rPr>
              <w:t>Percentage of service users, %</w:t>
            </w:r>
          </w:p>
        </w:tc>
      </w:tr>
      <w:tr w14:paraId="074B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987" w:type="dxa"/>
            <w:tcBorders>
              <w:top w:val="single" w:color="000000" w:sz="4" w:space="0"/>
              <w:left w:val="nil"/>
              <w:bottom w:val="nil"/>
              <w:right w:val="nil"/>
            </w:tcBorders>
            <w:shd w:val="clear" w:color="auto" w:fill="FFFFFF"/>
            <w:vAlign w:val="center"/>
          </w:tcPr>
          <w:p w14:paraId="43E1CC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w:t>
            </w:r>
          </w:p>
        </w:tc>
        <w:tc>
          <w:tcPr>
            <w:tcW w:w="5533" w:type="dxa"/>
            <w:tcBorders>
              <w:top w:val="single" w:color="000000" w:sz="4" w:space="0"/>
              <w:left w:val="nil"/>
              <w:bottom w:val="nil"/>
              <w:right w:val="nil"/>
            </w:tcBorders>
            <w:shd w:val="clear" w:color="auto" w:fill="FFFFFF"/>
            <w:vAlign w:val="center"/>
          </w:tcPr>
          <w:p w14:paraId="3BEEB9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Oral Chinese herbal medicine</w:t>
            </w:r>
          </w:p>
        </w:tc>
        <w:tc>
          <w:tcPr>
            <w:tcW w:w="3510" w:type="dxa"/>
            <w:tcBorders>
              <w:top w:val="single" w:color="000000" w:sz="4" w:space="0"/>
              <w:left w:val="nil"/>
              <w:bottom w:val="nil"/>
              <w:right w:val="nil"/>
            </w:tcBorders>
            <w:shd w:val="clear" w:color="auto" w:fill="FFFFFF"/>
            <w:vAlign w:val="center"/>
          </w:tcPr>
          <w:p w14:paraId="6F68C2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449</w:t>
            </w:r>
          </w:p>
        </w:tc>
        <w:tc>
          <w:tcPr>
            <w:tcW w:w="4800" w:type="dxa"/>
            <w:tcBorders>
              <w:top w:val="single" w:color="000000" w:sz="4" w:space="0"/>
              <w:left w:val="nil"/>
              <w:bottom w:val="nil"/>
              <w:right w:val="nil"/>
            </w:tcBorders>
            <w:shd w:val="clear" w:color="auto" w:fill="FFFFFF"/>
            <w:vAlign w:val="center"/>
          </w:tcPr>
          <w:p w14:paraId="7F2FE5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61.59</w:t>
            </w:r>
          </w:p>
        </w:tc>
      </w:tr>
      <w:tr w14:paraId="3A7FC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987" w:type="dxa"/>
            <w:tcBorders>
              <w:top w:val="nil"/>
              <w:left w:val="nil"/>
              <w:bottom w:val="nil"/>
              <w:right w:val="nil"/>
            </w:tcBorders>
            <w:shd w:val="clear" w:color="auto" w:fill="FFFFFF"/>
            <w:vAlign w:val="center"/>
          </w:tcPr>
          <w:p w14:paraId="13636F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w:t>
            </w:r>
          </w:p>
        </w:tc>
        <w:tc>
          <w:tcPr>
            <w:tcW w:w="5533" w:type="dxa"/>
            <w:tcBorders>
              <w:top w:val="nil"/>
              <w:left w:val="nil"/>
              <w:bottom w:val="nil"/>
              <w:right w:val="nil"/>
            </w:tcBorders>
            <w:shd w:val="clear" w:color="auto" w:fill="FFFFFF"/>
            <w:vAlign w:val="center"/>
          </w:tcPr>
          <w:p w14:paraId="29C5AC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Tuina/massage</w:t>
            </w:r>
          </w:p>
        </w:tc>
        <w:tc>
          <w:tcPr>
            <w:tcW w:w="3510" w:type="dxa"/>
            <w:tcBorders>
              <w:top w:val="nil"/>
              <w:left w:val="nil"/>
              <w:bottom w:val="nil"/>
              <w:right w:val="nil"/>
            </w:tcBorders>
            <w:shd w:val="clear" w:color="auto" w:fill="FFFFFF"/>
            <w:vAlign w:val="center"/>
          </w:tcPr>
          <w:p w14:paraId="7B45B8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316</w:t>
            </w:r>
          </w:p>
        </w:tc>
        <w:tc>
          <w:tcPr>
            <w:tcW w:w="4800" w:type="dxa"/>
            <w:tcBorders>
              <w:top w:val="nil"/>
              <w:left w:val="nil"/>
              <w:bottom w:val="nil"/>
              <w:right w:val="nil"/>
            </w:tcBorders>
            <w:shd w:val="clear" w:color="auto" w:fill="FFFFFF"/>
            <w:vAlign w:val="center"/>
          </w:tcPr>
          <w:p w14:paraId="1A3D36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43.35</w:t>
            </w:r>
          </w:p>
        </w:tc>
      </w:tr>
      <w:tr w14:paraId="690F0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987" w:type="dxa"/>
            <w:tcBorders>
              <w:top w:val="nil"/>
              <w:left w:val="nil"/>
              <w:bottom w:val="nil"/>
              <w:right w:val="nil"/>
            </w:tcBorders>
            <w:shd w:val="clear" w:color="auto" w:fill="FFFFFF"/>
            <w:vAlign w:val="center"/>
          </w:tcPr>
          <w:p w14:paraId="5F0D6A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3</w:t>
            </w:r>
          </w:p>
        </w:tc>
        <w:tc>
          <w:tcPr>
            <w:tcW w:w="5533" w:type="dxa"/>
            <w:tcBorders>
              <w:top w:val="nil"/>
              <w:left w:val="nil"/>
              <w:bottom w:val="nil"/>
              <w:right w:val="nil"/>
            </w:tcBorders>
            <w:shd w:val="clear" w:color="auto" w:fill="FFFFFF"/>
            <w:vAlign w:val="center"/>
          </w:tcPr>
          <w:p w14:paraId="7252D2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External TCM therapies</w:t>
            </w:r>
          </w:p>
        </w:tc>
        <w:tc>
          <w:tcPr>
            <w:tcW w:w="3510" w:type="dxa"/>
            <w:tcBorders>
              <w:top w:val="nil"/>
              <w:left w:val="nil"/>
              <w:bottom w:val="nil"/>
              <w:right w:val="nil"/>
            </w:tcBorders>
            <w:shd w:val="clear" w:color="auto" w:fill="FFFFFF"/>
            <w:vAlign w:val="center"/>
          </w:tcPr>
          <w:p w14:paraId="690430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312</w:t>
            </w:r>
          </w:p>
        </w:tc>
        <w:tc>
          <w:tcPr>
            <w:tcW w:w="4800" w:type="dxa"/>
            <w:tcBorders>
              <w:top w:val="nil"/>
              <w:left w:val="nil"/>
              <w:bottom w:val="nil"/>
              <w:right w:val="nil"/>
            </w:tcBorders>
            <w:shd w:val="clear" w:color="auto" w:fill="FFFFFF"/>
            <w:vAlign w:val="center"/>
          </w:tcPr>
          <w:p w14:paraId="39DE10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42.8</w:t>
            </w:r>
            <w:r>
              <w:rPr>
                <w:rFonts w:hint="eastAsia" w:ascii="Times New Roman" w:hAnsi="Times New Roman" w:eastAsia="宋体" w:cs="Times New Roman"/>
                <w:b w:val="0"/>
                <w:i w:val="0"/>
                <w:iCs w:val="0"/>
                <w:color w:val="000000"/>
                <w:kern w:val="0"/>
                <w:sz w:val="20"/>
                <w:szCs w:val="20"/>
                <w:u w:val="none"/>
                <w:lang w:val="en-US" w:eastAsia="zh-CN" w:bidi="ar"/>
              </w:rPr>
              <w:t>0</w:t>
            </w:r>
          </w:p>
        </w:tc>
      </w:tr>
      <w:tr w14:paraId="56099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987" w:type="dxa"/>
            <w:tcBorders>
              <w:top w:val="nil"/>
              <w:left w:val="nil"/>
              <w:bottom w:val="nil"/>
              <w:right w:val="nil"/>
            </w:tcBorders>
            <w:shd w:val="clear" w:color="auto" w:fill="FFFFFF"/>
            <w:vAlign w:val="center"/>
          </w:tcPr>
          <w:p w14:paraId="3CAC8C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4</w:t>
            </w:r>
          </w:p>
        </w:tc>
        <w:tc>
          <w:tcPr>
            <w:tcW w:w="5533" w:type="dxa"/>
            <w:tcBorders>
              <w:top w:val="nil"/>
              <w:left w:val="nil"/>
              <w:bottom w:val="nil"/>
              <w:right w:val="nil"/>
            </w:tcBorders>
            <w:shd w:val="clear" w:color="auto" w:fill="FFFFFF"/>
            <w:vAlign w:val="center"/>
          </w:tcPr>
          <w:p w14:paraId="685DC0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Acupuncture</w:t>
            </w:r>
          </w:p>
        </w:tc>
        <w:tc>
          <w:tcPr>
            <w:tcW w:w="3510" w:type="dxa"/>
            <w:tcBorders>
              <w:top w:val="nil"/>
              <w:left w:val="nil"/>
              <w:bottom w:val="nil"/>
              <w:right w:val="nil"/>
            </w:tcBorders>
            <w:shd w:val="clear" w:color="auto" w:fill="FFFFFF"/>
            <w:vAlign w:val="center"/>
          </w:tcPr>
          <w:p w14:paraId="73ABBE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304</w:t>
            </w:r>
          </w:p>
        </w:tc>
        <w:tc>
          <w:tcPr>
            <w:tcW w:w="4800" w:type="dxa"/>
            <w:tcBorders>
              <w:top w:val="nil"/>
              <w:left w:val="nil"/>
              <w:bottom w:val="nil"/>
              <w:right w:val="nil"/>
            </w:tcBorders>
            <w:shd w:val="clear" w:color="auto" w:fill="FFFFFF"/>
            <w:vAlign w:val="center"/>
          </w:tcPr>
          <w:p w14:paraId="7CF66E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lang w:val="en-US"/>
              </w:rPr>
            </w:pPr>
            <w:r>
              <w:rPr>
                <w:rFonts w:hint="default" w:ascii="Times New Roman" w:hAnsi="Times New Roman" w:eastAsia="宋体" w:cs="Times New Roman"/>
                <w:b w:val="0"/>
                <w:i w:val="0"/>
                <w:iCs w:val="0"/>
                <w:color w:val="000000"/>
                <w:kern w:val="0"/>
                <w:sz w:val="20"/>
                <w:szCs w:val="20"/>
                <w:u w:val="none"/>
                <w:lang w:val="en-US" w:eastAsia="zh-CN" w:bidi="ar"/>
              </w:rPr>
              <w:t>41.7</w:t>
            </w:r>
            <w:r>
              <w:rPr>
                <w:rFonts w:hint="eastAsia" w:ascii="Times New Roman" w:hAnsi="Times New Roman" w:eastAsia="宋体" w:cs="Times New Roman"/>
                <w:b w:val="0"/>
                <w:i w:val="0"/>
                <w:iCs w:val="0"/>
                <w:color w:val="000000"/>
                <w:kern w:val="0"/>
                <w:sz w:val="20"/>
                <w:szCs w:val="20"/>
                <w:u w:val="none"/>
                <w:lang w:val="en-US" w:eastAsia="zh-CN" w:bidi="ar"/>
              </w:rPr>
              <w:t>0</w:t>
            </w:r>
          </w:p>
        </w:tc>
      </w:tr>
      <w:tr w14:paraId="70EB3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trPr>
        <w:tc>
          <w:tcPr>
            <w:tcW w:w="987" w:type="dxa"/>
            <w:tcBorders>
              <w:top w:val="nil"/>
              <w:left w:val="nil"/>
              <w:bottom w:val="nil"/>
              <w:right w:val="nil"/>
            </w:tcBorders>
            <w:shd w:val="clear" w:color="auto" w:fill="FFFFFF"/>
            <w:vAlign w:val="center"/>
          </w:tcPr>
          <w:p w14:paraId="07C4EF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5</w:t>
            </w:r>
          </w:p>
        </w:tc>
        <w:tc>
          <w:tcPr>
            <w:tcW w:w="5533" w:type="dxa"/>
            <w:tcBorders>
              <w:top w:val="nil"/>
              <w:left w:val="nil"/>
              <w:bottom w:val="nil"/>
              <w:right w:val="nil"/>
            </w:tcBorders>
            <w:shd w:val="clear" w:color="auto" w:fill="FFFFFF"/>
            <w:vAlign w:val="center"/>
          </w:tcPr>
          <w:p w14:paraId="5BC0D1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Cupping</w:t>
            </w:r>
          </w:p>
        </w:tc>
        <w:tc>
          <w:tcPr>
            <w:tcW w:w="3510" w:type="dxa"/>
            <w:tcBorders>
              <w:top w:val="nil"/>
              <w:left w:val="nil"/>
              <w:bottom w:val="nil"/>
              <w:right w:val="nil"/>
            </w:tcBorders>
            <w:shd w:val="clear" w:color="auto" w:fill="FFFFFF"/>
            <w:vAlign w:val="center"/>
          </w:tcPr>
          <w:p w14:paraId="728C26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302</w:t>
            </w:r>
          </w:p>
        </w:tc>
        <w:tc>
          <w:tcPr>
            <w:tcW w:w="4800" w:type="dxa"/>
            <w:tcBorders>
              <w:top w:val="nil"/>
              <w:left w:val="nil"/>
              <w:bottom w:val="nil"/>
              <w:right w:val="nil"/>
            </w:tcBorders>
            <w:shd w:val="clear" w:color="auto" w:fill="FFFFFF"/>
            <w:vAlign w:val="center"/>
          </w:tcPr>
          <w:p w14:paraId="0ACC5F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41.43</w:t>
            </w:r>
          </w:p>
        </w:tc>
      </w:tr>
      <w:tr w14:paraId="2FBA0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987" w:type="dxa"/>
            <w:tcBorders>
              <w:top w:val="nil"/>
              <w:left w:val="nil"/>
              <w:bottom w:val="nil"/>
              <w:right w:val="nil"/>
            </w:tcBorders>
            <w:shd w:val="clear" w:color="auto" w:fill="FFFFFF"/>
            <w:vAlign w:val="center"/>
          </w:tcPr>
          <w:p w14:paraId="7A3885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6</w:t>
            </w:r>
          </w:p>
        </w:tc>
        <w:tc>
          <w:tcPr>
            <w:tcW w:w="5533" w:type="dxa"/>
            <w:tcBorders>
              <w:top w:val="nil"/>
              <w:left w:val="nil"/>
              <w:bottom w:val="nil"/>
              <w:right w:val="nil"/>
            </w:tcBorders>
            <w:shd w:val="clear" w:color="auto" w:fill="FFFFFF"/>
            <w:vAlign w:val="center"/>
          </w:tcPr>
          <w:p w14:paraId="7AF64A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Moxibustion</w:t>
            </w:r>
          </w:p>
        </w:tc>
        <w:tc>
          <w:tcPr>
            <w:tcW w:w="3510" w:type="dxa"/>
            <w:tcBorders>
              <w:top w:val="nil"/>
              <w:left w:val="nil"/>
              <w:bottom w:val="nil"/>
              <w:right w:val="nil"/>
            </w:tcBorders>
            <w:shd w:val="clear" w:color="auto" w:fill="FFFFFF"/>
            <w:vAlign w:val="center"/>
          </w:tcPr>
          <w:p w14:paraId="354778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272</w:t>
            </w:r>
          </w:p>
        </w:tc>
        <w:tc>
          <w:tcPr>
            <w:tcW w:w="4800" w:type="dxa"/>
            <w:tcBorders>
              <w:top w:val="nil"/>
              <w:left w:val="nil"/>
              <w:bottom w:val="nil"/>
              <w:right w:val="nil"/>
            </w:tcBorders>
            <w:shd w:val="clear" w:color="auto" w:fill="FFFFFF"/>
            <w:vAlign w:val="center"/>
          </w:tcPr>
          <w:p w14:paraId="436656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37.31</w:t>
            </w:r>
          </w:p>
        </w:tc>
      </w:tr>
      <w:tr w14:paraId="61E9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987" w:type="dxa"/>
            <w:tcBorders>
              <w:top w:val="nil"/>
              <w:left w:val="nil"/>
              <w:bottom w:val="nil"/>
              <w:right w:val="nil"/>
            </w:tcBorders>
            <w:shd w:val="clear" w:color="auto" w:fill="FFFFFF"/>
            <w:vAlign w:val="center"/>
          </w:tcPr>
          <w:p w14:paraId="77278D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7</w:t>
            </w:r>
          </w:p>
        </w:tc>
        <w:tc>
          <w:tcPr>
            <w:tcW w:w="5533" w:type="dxa"/>
            <w:tcBorders>
              <w:top w:val="nil"/>
              <w:left w:val="nil"/>
              <w:bottom w:val="nil"/>
              <w:right w:val="nil"/>
            </w:tcBorders>
            <w:shd w:val="clear" w:color="auto" w:fill="FFFFFF"/>
            <w:vAlign w:val="center"/>
          </w:tcPr>
          <w:p w14:paraId="0F7031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Gua sha/scraping</w:t>
            </w:r>
          </w:p>
        </w:tc>
        <w:tc>
          <w:tcPr>
            <w:tcW w:w="3510" w:type="dxa"/>
            <w:tcBorders>
              <w:top w:val="nil"/>
              <w:left w:val="nil"/>
              <w:bottom w:val="nil"/>
              <w:right w:val="nil"/>
            </w:tcBorders>
            <w:shd w:val="clear" w:color="auto" w:fill="FFFFFF"/>
            <w:vAlign w:val="center"/>
          </w:tcPr>
          <w:p w14:paraId="74E034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190</w:t>
            </w:r>
          </w:p>
        </w:tc>
        <w:tc>
          <w:tcPr>
            <w:tcW w:w="4800" w:type="dxa"/>
            <w:tcBorders>
              <w:top w:val="nil"/>
              <w:left w:val="nil"/>
              <w:bottom w:val="nil"/>
              <w:right w:val="nil"/>
            </w:tcBorders>
            <w:shd w:val="clear" w:color="auto" w:fill="FFFFFF"/>
            <w:vAlign w:val="center"/>
          </w:tcPr>
          <w:p w14:paraId="5A7394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26.06</w:t>
            </w:r>
          </w:p>
        </w:tc>
      </w:tr>
      <w:tr w14:paraId="78779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987" w:type="dxa"/>
            <w:tcBorders>
              <w:top w:val="nil"/>
              <w:left w:val="nil"/>
              <w:bottom w:val="nil"/>
              <w:right w:val="nil"/>
            </w:tcBorders>
            <w:shd w:val="clear" w:color="auto" w:fill="FFFFFF"/>
            <w:vAlign w:val="center"/>
          </w:tcPr>
          <w:p w14:paraId="1B8722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8</w:t>
            </w:r>
          </w:p>
        </w:tc>
        <w:tc>
          <w:tcPr>
            <w:tcW w:w="5533" w:type="dxa"/>
            <w:tcBorders>
              <w:top w:val="nil"/>
              <w:left w:val="nil"/>
              <w:bottom w:val="nil"/>
              <w:right w:val="nil"/>
            </w:tcBorders>
            <w:shd w:val="clear" w:color="auto" w:fill="FFFFFF"/>
            <w:vAlign w:val="center"/>
          </w:tcPr>
          <w:p w14:paraId="632A2F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TCM constitution identification</w:t>
            </w:r>
          </w:p>
        </w:tc>
        <w:tc>
          <w:tcPr>
            <w:tcW w:w="3510" w:type="dxa"/>
            <w:tcBorders>
              <w:top w:val="nil"/>
              <w:left w:val="nil"/>
              <w:bottom w:val="nil"/>
              <w:right w:val="nil"/>
            </w:tcBorders>
            <w:shd w:val="clear" w:color="auto" w:fill="FFFFFF"/>
            <w:vAlign w:val="center"/>
          </w:tcPr>
          <w:p w14:paraId="1211DA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185</w:t>
            </w:r>
          </w:p>
        </w:tc>
        <w:tc>
          <w:tcPr>
            <w:tcW w:w="4800" w:type="dxa"/>
            <w:tcBorders>
              <w:top w:val="nil"/>
              <w:left w:val="nil"/>
              <w:bottom w:val="nil"/>
              <w:right w:val="nil"/>
            </w:tcBorders>
            <w:shd w:val="clear" w:color="auto" w:fill="FFFFFF"/>
            <w:vAlign w:val="center"/>
          </w:tcPr>
          <w:p w14:paraId="70E099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25.38</w:t>
            </w:r>
          </w:p>
        </w:tc>
      </w:tr>
      <w:tr w14:paraId="4D7F2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987" w:type="dxa"/>
            <w:tcBorders>
              <w:top w:val="nil"/>
              <w:left w:val="nil"/>
              <w:bottom w:val="nil"/>
              <w:right w:val="nil"/>
            </w:tcBorders>
            <w:shd w:val="clear" w:color="auto" w:fill="FFFFFF"/>
            <w:vAlign w:val="center"/>
          </w:tcPr>
          <w:p w14:paraId="226E4F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9</w:t>
            </w:r>
          </w:p>
        </w:tc>
        <w:tc>
          <w:tcPr>
            <w:tcW w:w="5533" w:type="dxa"/>
            <w:tcBorders>
              <w:top w:val="nil"/>
              <w:left w:val="nil"/>
              <w:bottom w:val="nil"/>
              <w:right w:val="nil"/>
            </w:tcBorders>
            <w:shd w:val="clear" w:color="auto" w:fill="FFFFFF"/>
            <w:vAlign w:val="center"/>
          </w:tcPr>
          <w:p w14:paraId="0EB2F3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Auricular acupressure</w:t>
            </w:r>
          </w:p>
        </w:tc>
        <w:tc>
          <w:tcPr>
            <w:tcW w:w="3510" w:type="dxa"/>
            <w:tcBorders>
              <w:top w:val="nil"/>
              <w:left w:val="nil"/>
              <w:bottom w:val="nil"/>
              <w:right w:val="nil"/>
            </w:tcBorders>
            <w:shd w:val="clear" w:color="auto" w:fill="FFFFFF"/>
            <w:vAlign w:val="center"/>
          </w:tcPr>
          <w:p w14:paraId="326EFD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96</w:t>
            </w:r>
          </w:p>
        </w:tc>
        <w:tc>
          <w:tcPr>
            <w:tcW w:w="4800" w:type="dxa"/>
            <w:tcBorders>
              <w:top w:val="nil"/>
              <w:left w:val="nil"/>
              <w:bottom w:val="nil"/>
              <w:right w:val="nil"/>
            </w:tcBorders>
            <w:shd w:val="clear" w:color="auto" w:fill="FFFFFF"/>
            <w:vAlign w:val="center"/>
          </w:tcPr>
          <w:p w14:paraId="584E7D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13.17</w:t>
            </w:r>
          </w:p>
        </w:tc>
      </w:tr>
      <w:tr w14:paraId="3951B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987" w:type="dxa"/>
            <w:tcBorders>
              <w:top w:val="nil"/>
              <w:left w:val="nil"/>
              <w:bottom w:val="single" w:color="000000" w:sz="12" w:space="0"/>
              <w:right w:val="nil"/>
            </w:tcBorders>
            <w:shd w:val="clear" w:color="auto" w:fill="FFFFFF"/>
            <w:vAlign w:val="center"/>
          </w:tcPr>
          <w:p w14:paraId="2C30C8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10</w:t>
            </w:r>
          </w:p>
        </w:tc>
        <w:tc>
          <w:tcPr>
            <w:tcW w:w="5533" w:type="dxa"/>
            <w:tcBorders>
              <w:top w:val="nil"/>
              <w:left w:val="nil"/>
              <w:bottom w:val="single" w:color="000000" w:sz="12" w:space="0"/>
              <w:right w:val="nil"/>
            </w:tcBorders>
            <w:shd w:val="clear" w:color="auto" w:fill="FFFFFF"/>
            <w:vAlign w:val="center"/>
          </w:tcPr>
          <w:p w14:paraId="503062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Other services</w:t>
            </w:r>
          </w:p>
        </w:tc>
        <w:tc>
          <w:tcPr>
            <w:tcW w:w="3510" w:type="dxa"/>
            <w:tcBorders>
              <w:top w:val="nil"/>
              <w:left w:val="nil"/>
              <w:bottom w:val="single" w:color="000000" w:sz="12" w:space="0"/>
              <w:right w:val="nil"/>
            </w:tcBorders>
            <w:shd w:val="clear" w:color="auto" w:fill="FFFFFF"/>
            <w:vAlign w:val="center"/>
          </w:tcPr>
          <w:p w14:paraId="70669C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2</w:t>
            </w:r>
          </w:p>
        </w:tc>
        <w:tc>
          <w:tcPr>
            <w:tcW w:w="4800" w:type="dxa"/>
            <w:tcBorders>
              <w:top w:val="nil"/>
              <w:left w:val="nil"/>
              <w:bottom w:val="single" w:color="000000" w:sz="12" w:space="0"/>
              <w:right w:val="nil"/>
            </w:tcBorders>
            <w:shd w:val="clear" w:color="auto" w:fill="FFFFFF"/>
            <w:vAlign w:val="center"/>
          </w:tcPr>
          <w:p w14:paraId="271D7B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i w:val="0"/>
                <w:iCs w:val="0"/>
                <w:color w:val="000000"/>
                <w:sz w:val="20"/>
                <w:szCs w:val="20"/>
                <w:u w:val="none"/>
              </w:rPr>
            </w:pPr>
            <w:r>
              <w:rPr>
                <w:rFonts w:hint="default" w:ascii="Times New Roman" w:hAnsi="Times New Roman" w:eastAsia="宋体" w:cs="Times New Roman"/>
                <w:b w:val="0"/>
                <w:i w:val="0"/>
                <w:iCs w:val="0"/>
                <w:color w:val="000000"/>
                <w:kern w:val="0"/>
                <w:sz w:val="20"/>
                <w:szCs w:val="20"/>
                <w:u w:val="none"/>
                <w:lang w:val="en-US" w:eastAsia="zh-CN" w:bidi="ar"/>
              </w:rPr>
              <w:t>0.27</w:t>
            </w:r>
          </w:p>
        </w:tc>
      </w:tr>
    </w:tbl>
    <w:p w14:paraId="178E832B">
      <w:pPr>
        <w:pStyle w:val="3"/>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kern w:val="0"/>
          <w:sz w:val="24"/>
          <w:szCs w:val="24"/>
          <w:lang w:eastAsia="en-US"/>
        </w:rPr>
      </w:pPr>
    </w:p>
    <w:p w14:paraId="7B16123C">
      <w:pPr>
        <w:spacing w:before="120" w:after="40"/>
        <w:rPr>
          <w:rFonts w:hint="default" w:ascii="Times New Roman" w:hAnsi="Times New Roman" w:eastAsia="Arial" w:cs="Times New Roman"/>
          <w:b w:val="0"/>
          <w:i w:val="0"/>
          <w:sz w:val="24"/>
          <w:szCs w:val="24"/>
          <w:lang w:eastAsia="en-US"/>
        </w:rPr>
      </w:pPr>
      <w:r>
        <w:rPr>
          <w:rFonts w:hint="default" w:ascii="Times New Roman" w:hAnsi="Times New Roman" w:eastAsia="Arial" w:cs="Times New Roman"/>
          <w:b w:val="0"/>
          <w:i/>
          <w:iCs/>
          <w:sz w:val="24"/>
          <w:szCs w:val="24"/>
        </w:rPr>
        <w:t>Note</w:t>
      </w:r>
      <w:r>
        <w:rPr>
          <w:rFonts w:hint="default" w:ascii="Times New Roman" w:hAnsi="Times New Roman" w:eastAsia="Arial" w:cs="Times New Roman"/>
          <w:b w:val="0"/>
          <w:i w:val="0"/>
          <w:sz w:val="24"/>
          <w:szCs w:val="24"/>
        </w:rPr>
        <w:t>: Percentages were calculated using the 729 participants who reported receiving at least one community-based TCM health service during the past 12 months as the denominator. Multiple responses were permitted; therefore, the categories were not mutually exclusive and the percentages do not sum to 100%.</w:t>
      </w:r>
    </w:p>
    <w:p w14:paraId="330D47FA">
      <w:pPr>
        <w:rPr>
          <w:rFonts w:hint="default"/>
          <w:lang w:eastAsia="en-US"/>
        </w:rPr>
      </w:pPr>
    </w:p>
    <w:p w14:paraId="2FE6A581">
      <w:pPr>
        <w:rPr>
          <w:rFonts w:hint="default"/>
          <w:lang w:eastAsia="en-US"/>
        </w:rPr>
      </w:pPr>
    </w:p>
    <w:p w14:paraId="2AD2248D">
      <w:pPr>
        <w:rPr>
          <w:rFonts w:hint="default"/>
          <w:lang w:eastAsia="en-US"/>
        </w:rPr>
      </w:pPr>
    </w:p>
    <w:p w14:paraId="41EAE629">
      <w:pPr>
        <w:rPr>
          <w:rFonts w:hint="default"/>
          <w:lang w:eastAsia="en-US"/>
        </w:rPr>
      </w:pPr>
    </w:p>
    <w:p w14:paraId="3628FB04">
      <w:pPr>
        <w:rPr>
          <w:rFonts w:hint="default"/>
          <w:lang w:eastAsia="en-US"/>
        </w:rPr>
      </w:pPr>
    </w:p>
    <w:p w14:paraId="38F9BB2B">
      <w:pPr>
        <w:rPr>
          <w:rFonts w:hint="default"/>
          <w:lang w:eastAsia="en-US"/>
        </w:rPr>
      </w:pPr>
    </w:p>
    <w:p w14:paraId="19E11BA3">
      <w:pPr>
        <w:rPr>
          <w:rFonts w:hint="default"/>
          <w:lang w:eastAsia="en-US"/>
        </w:rPr>
      </w:pPr>
    </w:p>
    <w:p w14:paraId="4BFBC577">
      <w:pPr>
        <w:rPr>
          <w:rFonts w:hint="default"/>
          <w:lang w:eastAsia="en-US"/>
        </w:rPr>
      </w:pPr>
    </w:p>
    <w:p w14:paraId="5E72A03F">
      <w:pPr>
        <w:rPr>
          <w:rFonts w:hint="default"/>
          <w:lang w:eastAsia="en-US"/>
        </w:rPr>
      </w:pPr>
    </w:p>
    <w:p w14:paraId="7AF9548C">
      <w:pPr>
        <w:rPr>
          <w:rFonts w:hint="default"/>
          <w:lang w:eastAsia="en-US"/>
        </w:rPr>
      </w:pPr>
    </w:p>
    <w:p w14:paraId="310BCADC">
      <w:pPr>
        <w:rPr>
          <w:rFonts w:hint="default"/>
          <w:lang w:eastAsia="en-US"/>
        </w:rPr>
      </w:pPr>
    </w:p>
    <w:p w14:paraId="40BD8091">
      <w:pPr>
        <w:rPr>
          <w:rFonts w:hint="default"/>
          <w:lang w:eastAsia="en-US"/>
        </w:rPr>
      </w:pPr>
    </w:p>
    <w:p w14:paraId="2D2C8C45">
      <w:pPr>
        <w:rPr>
          <w:rFonts w:hint="default"/>
          <w:lang w:eastAsia="en-US"/>
        </w:rPr>
      </w:pPr>
    </w:p>
    <w:p w14:paraId="1FE91606">
      <w:pPr>
        <w:rPr>
          <w:rFonts w:hint="default"/>
          <w:lang w:eastAsia="en-US"/>
        </w:rPr>
      </w:pPr>
    </w:p>
    <w:p w14:paraId="7A6D3FF1">
      <w:pPr>
        <w:rPr>
          <w:rFonts w:hint="default"/>
          <w:lang w:eastAsia="en-US"/>
        </w:rPr>
      </w:pPr>
    </w:p>
    <w:p w14:paraId="2AAB35A4">
      <w:pPr>
        <w:rPr>
          <w:rFonts w:hint="default"/>
          <w:lang w:eastAsia="en-US"/>
        </w:rPr>
      </w:pPr>
    </w:p>
    <w:p w14:paraId="62165229">
      <w:pPr>
        <w:pStyle w:val="3"/>
        <w:pageBreakBefore w:val="0"/>
        <w:widowControl/>
        <w:kinsoku/>
        <w:overflowPunct/>
        <w:topLinePunct w:val="0"/>
        <w:autoSpaceDE/>
        <w:autoSpaceDN/>
        <w:bidi w:val="0"/>
        <w:adjustRightInd/>
        <w:snapToGrid/>
        <w:spacing w:before="0" w:after="0" w:line="240" w:lineRule="auto"/>
        <w:ind w:left="0" w:firstLine="0"/>
        <w:jc w:val="both"/>
        <w:textAlignment w:val="auto"/>
        <w:rPr>
          <w:rFonts w:hint="default" w:ascii="Times New Roman" w:hAnsi="Times New Roman" w:cs="Times New Roman"/>
          <w:color w:val="auto"/>
          <w:kern w:val="0"/>
          <w:sz w:val="24"/>
          <w:szCs w:val="24"/>
          <w:lang w:eastAsia="en-US"/>
        </w:rPr>
      </w:pPr>
      <w:bookmarkStart w:id="1" w:name="_Toc29093"/>
      <w:r>
        <w:rPr>
          <w:rFonts w:hint="default" w:ascii="Times New Roman" w:hAnsi="Times New Roman" w:cs="Times New Roman"/>
          <w:color w:val="auto"/>
          <w:kern w:val="0"/>
          <w:sz w:val="24"/>
          <w:szCs w:val="24"/>
          <w:lang w:val="en-US" w:eastAsia="en-US"/>
        </w:rPr>
        <w:t xml:space="preserve">Table </w:t>
      </w:r>
      <w:r>
        <w:rPr>
          <w:rFonts w:hint="eastAsia" w:ascii="Times New Roman" w:hAnsi="Times New Roman" w:cs="Times New Roman"/>
          <w:color w:val="auto"/>
          <w:kern w:val="0"/>
          <w:sz w:val="24"/>
          <w:szCs w:val="24"/>
          <w:lang w:val="en-US" w:eastAsia="zh-CN"/>
        </w:rPr>
        <w:t xml:space="preserve">S2 </w:t>
      </w:r>
      <w:r>
        <w:rPr>
          <w:rFonts w:hint="default" w:ascii="Times New Roman" w:hAnsi="Times New Roman" w:cs="Times New Roman"/>
          <w:color w:val="auto"/>
          <w:kern w:val="0"/>
          <w:sz w:val="24"/>
          <w:szCs w:val="24"/>
          <w:lang w:eastAsia="en-US"/>
        </w:rPr>
        <w:t>Definitions and coding of variables used in the quantitative analysis</w:t>
      </w:r>
      <w:bookmarkEnd w:id="1"/>
    </w:p>
    <w:p w14:paraId="3C1FFBC9">
      <w:pPr>
        <w:spacing w:after="120" w:line="240" w:lineRule="auto"/>
        <w:rPr>
          <w:rFonts w:hint="default" w:ascii="Times New Roman" w:hAnsi="Times New Roman" w:cs="Times New Roman"/>
          <w:sz w:val="24"/>
          <w:szCs w:val="24"/>
        </w:rPr>
      </w:pPr>
      <w:r>
        <w:rPr>
          <w:rFonts w:hint="default" w:ascii="Times New Roman" w:hAnsi="Times New Roman" w:eastAsia="Arial" w:cs="Times New Roman"/>
          <w:b w:val="0"/>
          <w:i w:val="0"/>
          <w:sz w:val="24"/>
          <w:szCs w:val="24"/>
        </w:rPr>
        <w:t>The table below provides the operational definitions, original questionnaire responses, analysis coding, reference categories, and analytical roles of all variables reported in Table 1 and used in the quantitative analyses.</w:t>
      </w:r>
    </w:p>
    <w:tbl>
      <w:tblPr>
        <w:tblStyle w:val="34"/>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403"/>
        <w:gridCol w:w="1438"/>
        <w:gridCol w:w="3062"/>
        <w:gridCol w:w="2988"/>
        <w:gridCol w:w="1450"/>
        <w:gridCol w:w="2203"/>
      </w:tblGrid>
      <w:tr w14:paraId="33BCE6B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tblHeader/>
          <w:jc w:val="center"/>
        </w:trPr>
        <w:tc>
          <w:tcPr>
            <w:tcW w:w="3403" w:type="dxa"/>
            <w:tcBorders>
              <w:top w:val="single" w:color="000000" w:sz="12" w:space="0"/>
              <w:left w:val="nil"/>
              <w:bottom w:val="single" w:color="000000" w:sz="4" w:space="0"/>
              <w:right w:val="nil"/>
              <w:tl2br w:val="nil"/>
            </w:tcBorders>
            <w:shd w:val="clear" w:color="auto" w:fill="FFFFFF"/>
            <w:tcMar>
              <w:top w:w="50" w:type="dxa"/>
              <w:left w:w="60" w:type="dxa"/>
              <w:bottom w:w="50" w:type="dxa"/>
              <w:right w:w="60" w:type="dxa"/>
            </w:tcMar>
            <w:vAlign w:val="center"/>
          </w:tcPr>
          <w:p w14:paraId="6B0434AA">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Variable</w:t>
            </w:r>
          </w:p>
        </w:tc>
        <w:tc>
          <w:tcPr>
            <w:tcW w:w="1438" w:type="dxa"/>
            <w:tcBorders>
              <w:top w:val="single" w:color="000000" w:sz="12" w:space="0"/>
              <w:left w:val="nil"/>
              <w:bottom w:val="single" w:color="000000" w:sz="4" w:space="0"/>
              <w:right w:val="nil"/>
            </w:tcBorders>
            <w:shd w:val="clear" w:color="auto" w:fill="FFFFFF"/>
            <w:tcMar>
              <w:top w:w="50" w:type="dxa"/>
              <w:left w:w="60" w:type="dxa"/>
              <w:bottom w:w="50" w:type="dxa"/>
              <w:right w:w="60" w:type="dxa"/>
            </w:tcMar>
            <w:vAlign w:val="center"/>
          </w:tcPr>
          <w:p w14:paraId="45AF97D5">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Questionnaire item</w:t>
            </w:r>
          </w:p>
        </w:tc>
        <w:tc>
          <w:tcPr>
            <w:tcW w:w="3062" w:type="dxa"/>
            <w:tcBorders>
              <w:top w:val="single" w:color="000000" w:sz="12" w:space="0"/>
              <w:left w:val="nil"/>
              <w:bottom w:val="single" w:color="000000" w:sz="4" w:space="0"/>
              <w:right w:val="nil"/>
            </w:tcBorders>
            <w:shd w:val="clear" w:color="auto" w:fill="FFFFFF"/>
            <w:tcMar>
              <w:top w:w="50" w:type="dxa"/>
              <w:left w:w="60" w:type="dxa"/>
              <w:bottom w:w="50" w:type="dxa"/>
              <w:right w:w="60" w:type="dxa"/>
            </w:tcMar>
            <w:vAlign w:val="center"/>
          </w:tcPr>
          <w:p w14:paraId="2F795ABF">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Original response</w:t>
            </w:r>
          </w:p>
        </w:tc>
        <w:tc>
          <w:tcPr>
            <w:tcW w:w="2988" w:type="dxa"/>
            <w:tcBorders>
              <w:top w:val="single" w:color="000000" w:sz="12" w:space="0"/>
              <w:left w:val="nil"/>
              <w:bottom w:val="single" w:color="000000" w:sz="4" w:space="0"/>
              <w:right w:val="nil"/>
            </w:tcBorders>
            <w:shd w:val="clear" w:color="auto" w:fill="FFFFFF"/>
            <w:tcMar>
              <w:top w:w="50" w:type="dxa"/>
              <w:left w:w="60" w:type="dxa"/>
              <w:bottom w:w="50" w:type="dxa"/>
              <w:right w:w="60" w:type="dxa"/>
            </w:tcMar>
            <w:vAlign w:val="center"/>
          </w:tcPr>
          <w:p w14:paraId="16FBC513">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Analysis coding</w:t>
            </w:r>
          </w:p>
        </w:tc>
        <w:tc>
          <w:tcPr>
            <w:tcW w:w="1450" w:type="dxa"/>
            <w:tcBorders>
              <w:top w:val="single" w:color="000000" w:sz="12" w:space="0"/>
              <w:left w:val="nil"/>
              <w:bottom w:val="single" w:color="000000" w:sz="4" w:space="0"/>
              <w:right w:val="nil"/>
            </w:tcBorders>
            <w:shd w:val="clear" w:color="auto" w:fill="FFFFFF"/>
            <w:tcMar>
              <w:top w:w="50" w:type="dxa"/>
              <w:left w:w="60" w:type="dxa"/>
              <w:bottom w:w="50" w:type="dxa"/>
              <w:right w:w="60" w:type="dxa"/>
            </w:tcMar>
            <w:vAlign w:val="center"/>
          </w:tcPr>
          <w:p w14:paraId="4F284660">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Reference category</w:t>
            </w:r>
          </w:p>
        </w:tc>
        <w:tc>
          <w:tcPr>
            <w:tcW w:w="2203" w:type="dxa"/>
            <w:tcBorders>
              <w:top w:val="single" w:color="000000" w:sz="12" w:space="0"/>
              <w:left w:val="nil"/>
              <w:bottom w:val="single" w:color="000000" w:sz="4" w:space="0"/>
              <w:right w:val="nil"/>
            </w:tcBorders>
            <w:shd w:val="clear" w:color="auto" w:fill="FFFFFF"/>
            <w:tcMar>
              <w:top w:w="50" w:type="dxa"/>
              <w:left w:w="60" w:type="dxa"/>
              <w:bottom w:w="50" w:type="dxa"/>
              <w:right w:w="60" w:type="dxa"/>
            </w:tcMar>
            <w:vAlign w:val="center"/>
          </w:tcPr>
          <w:p w14:paraId="75D1AA4D">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Role in analysis</w:t>
            </w:r>
          </w:p>
        </w:tc>
      </w:tr>
      <w:tr w14:paraId="7BCE199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single" w:color="000000" w:sz="4" w:space="0"/>
              <w:left w:val="nil"/>
              <w:bottom w:val="nil"/>
              <w:right w:val="nil"/>
            </w:tcBorders>
            <w:shd w:val="clear" w:color="auto" w:fill="FFFFFF"/>
            <w:tcMar>
              <w:top w:w="50" w:type="dxa"/>
              <w:left w:w="60" w:type="dxa"/>
              <w:bottom w:w="50" w:type="dxa"/>
              <w:right w:w="60" w:type="dxa"/>
            </w:tcMar>
            <w:vAlign w:val="center"/>
          </w:tcPr>
          <w:p w14:paraId="1867C32D">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Use of community-based TCM health services during the past 12 months</w:t>
            </w:r>
          </w:p>
        </w:tc>
        <w:tc>
          <w:tcPr>
            <w:tcW w:w="1438" w:type="dxa"/>
            <w:tcBorders>
              <w:top w:val="single" w:color="000000" w:sz="4" w:space="0"/>
              <w:left w:val="nil"/>
              <w:bottom w:val="nil"/>
              <w:right w:val="nil"/>
            </w:tcBorders>
            <w:shd w:val="clear" w:color="auto" w:fill="FFFFFF"/>
            <w:tcMar>
              <w:top w:w="50" w:type="dxa"/>
              <w:left w:w="60" w:type="dxa"/>
              <w:bottom w:w="50" w:type="dxa"/>
              <w:right w:w="60" w:type="dxa"/>
            </w:tcMar>
            <w:vAlign w:val="center"/>
          </w:tcPr>
          <w:p w14:paraId="458A844C">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14</w:t>
            </w:r>
          </w:p>
        </w:tc>
        <w:tc>
          <w:tcPr>
            <w:tcW w:w="3062" w:type="dxa"/>
            <w:tcBorders>
              <w:top w:val="single" w:color="000000" w:sz="4" w:space="0"/>
              <w:left w:val="nil"/>
              <w:bottom w:val="nil"/>
              <w:right w:val="nil"/>
            </w:tcBorders>
            <w:shd w:val="clear" w:color="auto" w:fill="FFFFFF"/>
            <w:tcMar>
              <w:top w:w="50" w:type="dxa"/>
              <w:left w:w="60" w:type="dxa"/>
              <w:bottom w:w="50" w:type="dxa"/>
              <w:right w:w="60" w:type="dxa"/>
            </w:tcMar>
            <w:vAlign w:val="center"/>
          </w:tcPr>
          <w:p w14:paraId="2C365E8A">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Multiple-response checklist of specific services; “None of the above”</w:t>
            </w:r>
          </w:p>
        </w:tc>
        <w:tc>
          <w:tcPr>
            <w:tcW w:w="2988" w:type="dxa"/>
            <w:tcBorders>
              <w:top w:val="single" w:color="000000" w:sz="4" w:space="0"/>
              <w:left w:val="nil"/>
              <w:bottom w:val="nil"/>
              <w:right w:val="nil"/>
            </w:tcBorders>
            <w:shd w:val="clear" w:color="auto" w:fill="FFFFFF"/>
            <w:tcMar>
              <w:top w:w="50" w:type="dxa"/>
              <w:left w:w="60" w:type="dxa"/>
              <w:bottom w:w="50" w:type="dxa"/>
              <w:right w:w="60" w:type="dxa"/>
            </w:tcMar>
            <w:vAlign w:val="center"/>
          </w:tcPr>
          <w:p w14:paraId="0F52D1A3">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User (selected at least one specific service)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0 = Non-user (selected “None of the above”)</w:t>
            </w:r>
          </w:p>
        </w:tc>
        <w:tc>
          <w:tcPr>
            <w:tcW w:w="1450" w:type="dxa"/>
            <w:tcBorders>
              <w:top w:val="single" w:color="000000" w:sz="4" w:space="0"/>
              <w:left w:val="nil"/>
              <w:bottom w:val="nil"/>
              <w:right w:val="nil"/>
            </w:tcBorders>
            <w:shd w:val="clear" w:color="auto" w:fill="FFFFFF"/>
            <w:tcMar>
              <w:top w:w="50" w:type="dxa"/>
              <w:left w:w="60" w:type="dxa"/>
              <w:bottom w:w="50" w:type="dxa"/>
              <w:right w:w="60" w:type="dxa"/>
            </w:tcMar>
            <w:vAlign w:val="center"/>
          </w:tcPr>
          <w:p w14:paraId="4EB15FDE">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Non-user</w:t>
            </w:r>
          </w:p>
        </w:tc>
        <w:tc>
          <w:tcPr>
            <w:tcW w:w="2203" w:type="dxa"/>
            <w:tcBorders>
              <w:top w:val="single" w:color="000000" w:sz="4" w:space="0"/>
              <w:left w:val="nil"/>
              <w:bottom w:val="nil"/>
              <w:right w:val="nil"/>
            </w:tcBorders>
            <w:shd w:val="clear" w:color="auto" w:fill="FFFFFF"/>
            <w:tcMar>
              <w:top w:w="50" w:type="dxa"/>
              <w:left w:w="60" w:type="dxa"/>
              <w:bottom w:w="50" w:type="dxa"/>
              <w:right w:w="60" w:type="dxa"/>
            </w:tcMar>
            <w:vAlign w:val="center"/>
          </w:tcPr>
          <w:p w14:paraId="63A92806">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Primary binary outcome</w:t>
            </w:r>
          </w:p>
        </w:tc>
      </w:tr>
      <w:tr w14:paraId="25A1C28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740F1810">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Sex</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0E53377F">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2F135291">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Male; Female</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3D7357F9">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Male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Female</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6B214EDF">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Male</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65E3FC48">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Predisposing factor; covariate</w:t>
            </w:r>
          </w:p>
        </w:tc>
      </w:tr>
      <w:tr w14:paraId="0F28312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3D6A007A">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Age group</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606D067C">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2</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29544824">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Age in completed years (open numeric response)</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4E8A0F70">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60–70 years</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71–80 years</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≥81 years</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312249B8">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60–70 years</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45F2E705">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Predisposing factor; covariate</w:t>
            </w:r>
          </w:p>
        </w:tc>
      </w:tr>
      <w:tr w14:paraId="748ECB4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6D1D8641">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Marital status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5A2A9C75">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3</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071B3ECF">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Married; Divorced; Widowed</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3F8DFBC7">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Married</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Divorced</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Widowed</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256B6365">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Married</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6DDE41E6">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Predisposing factor; covariate</w:t>
            </w:r>
          </w:p>
        </w:tc>
      </w:tr>
      <w:tr w14:paraId="76E0D8F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76E312F2">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Education level</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665EE823">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4</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4BE62D3D">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 schooling; Primary school; Junior middle school; Senior high/technical secondary school; College or above</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0F834D9F">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No schooling</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Primary school</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Junior middle school</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4 = Senior high/technical secondary school</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5 = College or above</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3C40BFFA">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 schooling</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432DFB55">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Predisposing factor; covariate</w:t>
            </w:r>
          </w:p>
        </w:tc>
      </w:tr>
      <w:tr w14:paraId="5B8DF0C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2E184686">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Medical insurance</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2969858F">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6</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595A507A">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Urban employee basic medical insurance; Urban resident medical insurance; New rural cooperative medical insurance; Commercial medical insurance; No insurance</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3FA91B62">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Urban employee basic medical insurance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Urban resident medical insurance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New rural cooperative medical insurance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4 = Commercial medical insurance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5 = No medical insurance</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11425F06">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Urban employee basic medical insurance</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3B5EE15C">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Enabling factor; covariate</w:t>
            </w:r>
          </w:p>
        </w:tc>
      </w:tr>
      <w:tr w14:paraId="5DF7632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04304513">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Living arrangement</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7F822D8F">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7</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1D2DA4DE">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 xml:space="preserve">Living alone; With spouse; With children/grandchildren; With spouse and children; </w:t>
            </w:r>
            <w:r>
              <w:rPr>
                <w:rFonts w:hint="eastAsia" w:ascii="Times New Roman" w:hAnsi="Times New Roman" w:eastAsia="宋体" w:cs="Times New Roman"/>
                <w:b w:val="0"/>
                <w:i w:val="0"/>
                <w:color w:val="000000"/>
                <w:sz w:val="20"/>
                <w:szCs w:val="20"/>
                <w:lang w:val="en-US" w:eastAsia="zh-CN"/>
              </w:rPr>
              <w:t>W</w:t>
            </w:r>
            <w:r>
              <w:rPr>
                <w:rFonts w:hint="default" w:ascii="Times New Roman" w:hAnsi="Times New Roman" w:eastAsia="Arial" w:cs="Times New Roman"/>
                <w:b w:val="0"/>
                <w:i w:val="0"/>
                <w:color w:val="000000"/>
                <w:sz w:val="20"/>
                <w:szCs w:val="20"/>
              </w:rPr>
              <w:t>ith other relatives</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48E47C1C">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Living alone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With spouse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With children/grandchildren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4 = With spouse and children/grandchildren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 xml:space="preserve">5 = </w:t>
            </w:r>
            <w:r>
              <w:rPr>
                <w:rFonts w:hint="eastAsia" w:ascii="Times New Roman" w:hAnsi="Times New Roman" w:eastAsia="宋体" w:cs="Times New Roman"/>
                <w:b w:val="0"/>
                <w:i w:val="0"/>
                <w:color w:val="000000"/>
                <w:sz w:val="20"/>
                <w:szCs w:val="20"/>
                <w:lang w:val="en-US" w:eastAsia="zh-CN"/>
              </w:rPr>
              <w:t>W</w:t>
            </w:r>
            <w:r>
              <w:rPr>
                <w:rFonts w:hint="default" w:ascii="Times New Roman" w:hAnsi="Times New Roman" w:eastAsia="Arial" w:cs="Times New Roman"/>
                <w:b w:val="0"/>
                <w:i w:val="0"/>
                <w:color w:val="000000"/>
                <w:sz w:val="20"/>
                <w:szCs w:val="20"/>
              </w:rPr>
              <w:t>ith other relatives</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62B93835">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Living alone</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27C4A2C1">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Enabling/social-support factor; covariate</w:t>
            </w:r>
          </w:p>
        </w:tc>
      </w:tr>
      <w:tr w14:paraId="64769A3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3EA19AF9">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Monthly household income</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7DC8E164">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9</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2ED12055">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≤1,999 yuan; 2,000–2,999 yuan; 3,000–4,999 yuan; 5,000–9,999 yuan; ≥10,000 yuan</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486BF554">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≤1,999 yuan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2,000–2,999 yuan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3,000–4,999 yuan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4 = 5,000–9,999 yuan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5 = ≥10,000 yuan</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3575214D">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≤1,999 yuan</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374F2F96">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Enabling factor; covariate</w:t>
            </w:r>
          </w:p>
        </w:tc>
      </w:tr>
      <w:tr w14:paraId="7989055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7D4AC2E2">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Smoking status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58D8AE8D">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10</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0CE18EDE">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Current smoker; Former smoker; Never smoker</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404A9855">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Current smoker</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Former smoker</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Never smoker</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42212E8F">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cs="Times New Roman"/>
                <w:b w:val="0"/>
                <w:color w:val="000000"/>
                <w:sz w:val="20"/>
                <w:szCs w:val="20"/>
              </w:rPr>
              <w:t>Current smoker</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60B396E6">
            <w:pPr>
              <w:spacing w:before="0" w:after="0" w:line="240" w:lineRule="auto"/>
              <w:jc w:val="left"/>
              <w:rPr>
                <w:rFonts w:hint="eastAsia" w:ascii="Times New Roman" w:hAnsi="Times New Roman" w:eastAsia="宋体" w:cs="Times New Roman"/>
                <w:b w:val="0"/>
                <w:color w:val="000000"/>
                <w:sz w:val="20"/>
                <w:szCs w:val="20"/>
                <w:lang w:val="en-US" w:eastAsia="zh-CN"/>
              </w:rPr>
            </w:pPr>
            <w:r>
              <w:rPr>
                <w:rFonts w:hint="eastAsia" w:ascii="Times New Roman" w:hAnsi="Times New Roman" w:eastAsia="宋体" w:cs="Times New Roman"/>
                <w:b w:val="0"/>
                <w:i w:val="0"/>
                <w:color w:val="000000"/>
                <w:sz w:val="20"/>
                <w:szCs w:val="20"/>
                <w:lang w:val="en-US" w:eastAsia="zh-CN"/>
              </w:rPr>
              <w:t>P</w:t>
            </w:r>
            <w:r>
              <w:rPr>
                <w:rFonts w:hint="default" w:ascii="Times New Roman" w:hAnsi="Times New Roman" w:eastAsia="Arial" w:cs="Times New Roman"/>
                <w:b w:val="0"/>
                <w:i w:val="0"/>
                <w:color w:val="000000"/>
                <w:sz w:val="20"/>
                <w:szCs w:val="20"/>
              </w:rPr>
              <w:t>ersonal health practi</w:t>
            </w:r>
            <w:r>
              <w:rPr>
                <w:rFonts w:hint="eastAsia" w:ascii="Times New Roman" w:hAnsi="Times New Roman" w:eastAsia="宋体" w:cs="Times New Roman"/>
                <w:b w:val="0"/>
                <w:i w:val="0"/>
                <w:color w:val="000000"/>
                <w:sz w:val="20"/>
                <w:szCs w:val="20"/>
                <w:lang w:val="en-US" w:eastAsia="zh-CN"/>
              </w:rPr>
              <w:t>ces</w:t>
            </w:r>
          </w:p>
        </w:tc>
      </w:tr>
      <w:tr w14:paraId="34409AF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764" w:hRule="atLeas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6CD41EE9">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Drinking status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5959E30E">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11</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38586BA3">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Current drinker; Former drinker; Never drinker</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4A21C489">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Current drinker</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Former drinker</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Never drinker</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0A8F78D6">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Current drinker</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58C9EC4B">
            <w:pPr>
              <w:spacing w:before="0" w:after="0" w:line="240" w:lineRule="auto"/>
              <w:jc w:val="left"/>
              <w:rPr>
                <w:rFonts w:hint="default" w:ascii="Times New Roman" w:hAnsi="Times New Roman" w:cs="Times New Roman"/>
                <w:b w:val="0"/>
                <w:i/>
                <w:iCs/>
                <w:color w:val="000000"/>
                <w:sz w:val="20"/>
                <w:szCs w:val="20"/>
              </w:rPr>
            </w:pPr>
            <w:r>
              <w:rPr>
                <w:rFonts w:hint="eastAsia" w:ascii="Times New Roman" w:hAnsi="Times New Roman" w:eastAsia="宋体" w:cs="Times New Roman"/>
                <w:b w:val="0"/>
                <w:i w:val="0"/>
                <w:color w:val="000000"/>
                <w:sz w:val="20"/>
                <w:szCs w:val="20"/>
                <w:lang w:val="en-US" w:eastAsia="zh-CN"/>
              </w:rPr>
              <w:t>P</w:t>
            </w:r>
            <w:r>
              <w:rPr>
                <w:rFonts w:hint="default" w:ascii="Times New Roman" w:hAnsi="Times New Roman" w:eastAsia="Arial" w:cs="Times New Roman"/>
                <w:b w:val="0"/>
                <w:i w:val="0"/>
                <w:color w:val="000000"/>
                <w:sz w:val="20"/>
                <w:szCs w:val="20"/>
              </w:rPr>
              <w:t>ersonal health practi</w:t>
            </w:r>
            <w:r>
              <w:rPr>
                <w:rFonts w:hint="eastAsia" w:ascii="Times New Roman" w:hAnsi="Times New Roman" w:eastAsia="宋体" w:cs="Times New Roman"/>
                <w:b w:val="0"/>
                <w:i w:val="0"/>
                <w:color w:val="000000"/>
                <w:sz w:val="20"/>
                <w:szCs w:val="20"/>
                <w:lang w:val="en-US" w:eastAsia="zh-CN"/>
              </w:rPr>
              <w:t>ces</w:t>
            </w:r>
          </w:p>
        </w:tc>
      </w:tr>
      <w:tr w14:paraId="0AADFC66">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4613CE81">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Number of chronic conditions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62529B83">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12</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137D3365">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Multiple-response disease checklist; “None”</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79F7946B">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0 = No chronic condition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1 = One chronic condition</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Two chronic conditions</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Three or more chronic conditions</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4AE8763B">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 chronic condition</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118AD6DD">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Need factor; covariate</w:t>
            </w:r>
          </w:p>
        </w:tc>
      </w:tr>
      <w:tr w14:paraId="12217D8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2C709557">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Awareness of community-based TCM health services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4B8920DE">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13</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77217C6A">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Not at all aware; Slightly aware; Moderately aware; Quite aware; Fully aware</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1AD571BC">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1 = Not at all aware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2 = Slightly aware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3 = Moderately aware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4 = Quite aware</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5 = Fully aware</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34438354">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Not at all aware</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08A6B770">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Exploratory predictor; includ</w:t>
            </w:r>
            <w:bookmarkStart w:id="2" w:name="_GoBack"/>
            <w:bookmarkEnd w:id="2"/>
            <w:r>
              <w:rPr>
                <w:rFonts w:hint="default" w:ascii="Times New Roman" w:hAnsi="Times New Roman" w:eastAsia="Arial" w:cs="Times New Roman"/>
                <w:b w:val="0"/>
                <w:i w:val="0"/>
                <w:color w:val="000000"/>
                <w:sz w:val="20"/>
                <w:szCs w:val="20"/>
              </w:rPr>
              <w:t>ed only in Model 2</w:t>
            </w:r>
          </w:p>
        </w:tc>
      </w:tr>
      <w:tr w14:paraId="40ED0CEE">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0CBE0118">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Perceived convenience of accessing community-based TCM health services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18CD3F17">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18</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1B9315BC">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Yes; No</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27E3CEB4">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0 = No</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1 = Yes</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1A6B4A21">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7EA8A25C">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Enabling factor; covariate</w:t>
            </w:r>
          </w:p>
        </w:tc>
      </w:tr>
      <w:tr w14:paraId="6A87F68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650F68B6">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Perceived complexity of the service process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519F479A">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19</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51B52561">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Yes; No</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42979B10">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0 = No</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1 = Yes</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6DDC889C">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24E40BE1">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Bivariate predictor only; not included in multivariable models</w:t>
            </w:r>
          </w:p>
        </w:tc>
      </w:tr>
      <w:tr w14:paraId="58164B5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nil"/>
              <w:right w:val="nil"/>
            </w:tcBorders>
            <w:shd w:val="clear" w:color="auto" w:fill="FFFFFF"/>
            <w:tcMar>
              <w:top w:w="50" w:type="dxa"/>
              <w:left w:w="60" w:type="dxa"/>
              <w:bottom w:w="50" w:type="dxa"/>
              <w:right w:w="60" w:type="dxa"/>
            </w:tcMar>
            <w:vAlign w:val="center"/>
          </w:tcPr>
          <w:p w14:paraId="25050825">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Perceived high cost of community-based TCM health services</w:t>
            </w:r>
          </w:p>
        </w:tc>
        <w:tc>
          <w:tcPr>
            <w:tcW w:w="1438" w:type="dxa"/>
            <w:tcBorders>
              <w:top w:val="nil"/>
              <w:left w:val="nil"/>
              <w:bottom w:val="nil"/>
              <w:right w:val="nil"/>
            </w:tcBorders>
            <w:shd w:val="clear" w:color="auto" w:fill="FFFFFF"/>
            <w:tcMar>
              <w:top w:w="50" w:type="dxa"/>
              <w:left w:w="60" w:type="dxa"/>
              <w:bottom w:w="50" w:type="dxa"/>
              <w:right w:w="60" w:type="dxa"/>
            </w:tcMar>
            <w:vAlign w:val="center"/>
          </w:tcPr>
          <w:p w14:paraId="36FF60CA">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20</w:t>
            </w:r>
          </w:p>
        </w:tc>
        <w:tc>
          <w:tcPr>
            <w:tcW w:w="3062" w:type="dxa"/>
            <w:tcBorders>
              <w:top w:val="nil"/>
              <w:left w:val="nil"/>
              <w:bottom w:val="nil"/>
              <w:right w:val="nil"/>
            </w:tcBorders>
            <w:shd w:val="clear" w:color="auto" w:fill="FFFFFF"/>
            <w:tcMar>
              <w:top w:w="50" w:type="dxa"/>
              <w:left w:w="60" w:type="dxa"/>
              <w:bottom w:w="50" w:type="dxa"/>
              <w:right w:w="60" w:type="dxa"/>
            </w:tcMar>
            <w:vAlign w:val="center"/>
          </w:tcPr>
          <w:p w14:paraId="7193BC22">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Yes; No</w:t>
            </w:r>
          </w:p>
        </w:tc>
        <w:tc>
          <w:tcPr>
            <w:tcW w:w="2988" w:type="dxa"/>
            <w:tcBorders>
              <w:top w:val="nil"/>
              <w:left w:val="nil"/>
              <w:bottom w:val="nil"/>
              <w:right w:val="nil"/>
            </w:tcBorders>
            <w:shd w:val="clear" w:color="auto" w:fill="FFFFFF"/>
            <w:tcMar>
              <w:top w:w="50" w:type="dxa"/>
              <w:left w:w="60" w:type="dxa"/>
              <w:bottom w:w="50" w:type="dxa"/>
              <w:right w:w="60" w:type="dxa"/>
            </w:tcMar>
            <w:vAlign w:val="center"/>
          </w:tcPr>
          <w:p w14:paraId="0EDDD8AD">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0 = No</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1 = Yes</w:t>
            </w:r>
          </w:p>
        </w:tc>
        <w:tc>
          <w:tcPr>
            <w:tcW w:w="1450" w:type="dxa"/>
            <w:tcBorders>
              <w:top w:val="nil"/>
              <w:left w:val="nil"/>
              <w:bottom w:val="nil"/>
              <w:right w:val="nil"/>
            </w:tcBorders>
            <w:shd w:val="clear" w:color="auto" w:fill="FFFFFF"/>
            <w:tcMar>
              <w:top w:w="50" w:type="dxa"/>
              <w:left w:w="60" w:type="dxa"/>
              <w:bottom w:w="50" w:type="dxa"/>
              <w:right w:w="60" w:type="dxa"/>
            </w:tcMar>
            <w:vAlign w:val="center"/>
          </w:tcPr>
          <w:p w14:paraId="60C2DF60">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w:t>
            </w:r>
          </w:p>
        </w:tc>
        <w:tc>
          <w:tcPr>
            <w:tcW w:w="2203" w:type="dxa"/>
            <w:tcBorders>
              <w:top w:val="nil"/>
              <w:left w:val="nil"/>
              <w:bottom w:val="nil"/>
              <w:right w:val="nil"/>
            </w:tcBorders>
            <w:shd w:val="clear" w:color="auto" w:fill="FFFFFF"/>
            <w:tcMar>
              <w:top w:w="50" w:type="dxa"/>
              <w:left w:w="60" w:type="dxa"/>
              <w:bottom w:w="50" w:type="dxa"/>
              <w:right w:w="60" w:type="dxa"/>
            </w:tcMar>
            <w:vAlign w:val="center"/>
          </w:tcPr>
          <w:p w14:paraId="2B93B40F">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Enabling factor; covariate</w:t>
            </w:r>
          </w:p>
        </w:tc>
      </w:tr>
      <w:tr w14:paraId="6C13C31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jc w:val="center"/>
        </w:trPr>
        <w:tc>
          <w:tcPr>
            <w:tcW w:w="3403" w:type="dxa"/>
            <w:tcBorders>
              <w:top w:val="nil"/>
              <w:left w:val="nil"/>
              <w:bottom w:val="single" w:color="000000" w:sz="12" w:space="0"/>
              <w:right w:val="nil"/>
            </w:tcBorders>
            <w:shd w:val="clear" w:color="auto" w:fill="FFFFFF"/>
            <w:tcMar>
              <w:top w:w="50" w:type="dxa"/>
              <w:left w:w="60" w:type="dxa"/>
              <w:bottom w:w="50" w:type="dxa"/>
              <w:right w:w="60" w:type="dxa"/>
            </w:tcMar>
            <w:vAlign w:val="center"/>
          </w:tcPr>
          <w:p w14:paraId="2B9D0676">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Perceived policy support for TCM services</w:t>
            </w:r>
          </w:p>
        </w:tc>
        <w:tc>
          <w:tcPr>
            <w:tcW w:w="1438" w:type="dxa"/>
            <w:tcBorders>
              <w:top w:val="nil"/>
              <w:left w:val="nil"/>
              <w:bottom w:val="single" w:color="000000" w:sz="12" w:space="0"/>
              <w:right w:val="nil"/>
            </w:tcBorders>
            <w:shd w:val="clear" w:color="auto" w:fill="FFFFFF"/>
            <w:tcMar>
              <w:top w:w="50" w:type="dxa"/>
              <w:left w:w="60" w:type="dxa"/>
              <w:bottom w:w="50" w:type="dxa"/>
              <w:right w:w="60" w:type="dxa"/>
            </w:tcMar>
            <w:vAlign w:val="center"/>
          </w:tcPr>
          <w:p w14:paraId="4A3A08E7">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Item 21</w:t>
            </w:r>
          </w:p>
        </w:tc>
        <w:tc>
          <w:tcPr>
            <w:tcW w:w="3062" w:type="dxa"/>
            <w:tcBorders>
              <w:top w:val="nil"/>
              <w:left w:val="nil"/>
              <w:bottom w:val="single" w:color="000000" w:sz="12" w:space="0"/>
              <w:right w:val="nil"/>
            </w:tcBorders>
            <w:shd w:val="clear" w:color="auto" w:fill="FFFFFF"/>
            <w:tcMar>
              <w:top w:w="50" w:type="dxa"/>
              <w:left w:w="60" w:type="dxa"/>
              <w:bottom w:w="50" w:type="dxa"/>
              <w:right w:w="60" w:type="dxa"/>
            </w:tcMar>
            <w:vAlign w:val="center"/>
          </w:tcPr>
          <w:p w14:paraId="235897F7">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Yes; No</w:t>
            </w:r>
          </w:p>
        </w:tc>
        <w:tc>
          <w:tcPr>
            <w:tcW w:w="2988" w:type="dxa"/>
            <w:tcBorders>
              <w:top w:val="nil"/>
              <w:left w:val="nil"/>
              <w:bottom w:val="single" w:color="000000" w:sz="12" w:space="0"/>
              <w:right w:val="nil"/>
            </w:tcBorders>
            <w:shd w:val="clear" w:color="auto" w:fill="FFFFFF"/>
            <w:tcMar>
              <w:top w:w="50" w:type="dxa"/>
              <w:left w:w="60" w:type="dxa"/>
              <w:bottom w:w="50" w:type="dxa"/>
              <w:right w:w="60" w:type="dxa"/>
            </w:tcMar>
            <w:vAlign w:val="center"/>
          </w:tcPr>
          <w:p w14:paraId="5B600CAA">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0 = No</w:t>
            </w:r>
            <w:r>
              <w:rPr>
                <w:rFonts w:hint="default" w:ascii="Times New Roman" w:hAnsi="Times New Roman" w:cs="Times New Roman"/>
                <w:b w:val="0"/>
                <w:color w:val="000000"/>
                <w:sz w:val="20"/>
                <w:szCs w:val="20"/>
              </w:rPr>
              <w:br w:type="textWrapping"/>
            </w:r>
            <w:r>
              <w:rPr>
                <w:rFonts w:hint="default" w:ascii="Times New Roman" w:hAnsi="Times New Roman" w:eastAsia="Arial" w:cs="Times New Roman"/>
                <w:b w:val="0"/>
                <w:i w:val="0"/>
                <w:color w:val="000000"/>
                <w:sz w:val="20"/>
                <w:szCs w:val="20"/>
              </w:rPr>
              <w:t>1 = Yes</w:t>
            </w:r>
          </w:p>
        </w:tc>
        <w:tc>
          <w:tcPr>
            <w:tcW w:w="1450" w:type="dxa"/>
            <w:tcBorders>
              <w:top w:val="nil"/>
              <w:left w:val="nil"/>
              <w:bottom w:val="single" w:color="000000" w:sz="12" w:space="0"/>
              <w:right w:val="nil"/>
            </w:tcBorders>
            <w:shd w:val="clear" w:color="auto" w:fill="FFFFFF"/>
            <w:tcMar>
              <w:top w:w="50" w:type="dxa"/>
              <w:left w:w="60" w:type="dxa"/>
              <w:bottom w:w="50" w:type="dxa"/>
              <w:right w:w="60" w:type="dxa"/>
            </w:tcMar>
            <w:vAlign w:val="center"/>
          </w:tcPr>
          <w:p w14:paraId="3E147FA9">
            <w:pPr>
              <w:spacing w:before="0" w:after="0" w:line="240" w:lineRule="auto"/>
              <w:jc w:val="center"/>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No</w:t>
            </w:r>
          </w:p>
        </w:tc>
        <w:tc>
          <w:tcPr>
            <w:tcW w:w="2203" w:type="dxa"/>
            <w:tcBorders>
              <w:top w:val="nil"/>
              <w:left w:val="nil"/>
              <w:bottom w:val="single" w:color="000000" w:sz="12" w:space="0"/>
              <w:right w:val="nil"/>
            </w:tcBorders>
            <w:shd w:val="clear" w:color="auto" w:fill="FFFFFF"/>
            <w:tcMar>
              <w:top w:w="50" w:type="dxa"/>
              <w:left w:w="60" w:type="dxa"/>
              <w:bottom w:w="50" w:type="dxa"/>
              <w:right w:w="60" w:type="dxa"/>
            </w:tcMar>
            <w:vAlign w:val="center"/>
          </w:tcPr>
          <w:p w14:paraId="2469C0F3">
            <w:pPr>
              <w:spacing w:before="0" w:after="0" w:line="240" w:lineRule="auto"/>
              <w:jc w:val="left"/>
              <w:rPr>
                <w:rFonts w:hint="default" w:ascii="Times New Roman" w:hAnsi="Times New Roman" w:cs="Times New Roman"/>
                <w:b w:val="0"/>
                <w:color w:val="000000"/>
                <w:sz w:val="20"/>
                <w:szCs w:val="20"/>
              </w:rPr>
            </w:pPr>
            <w:r>
              <w:rPr>
                <w:rFonts w:hint="default" w:ascii="Times New Roman" w:hAnsi="Times New Roman" w:eastAsia="Arial" w:cs="Times New Roman"/>
                <w:b w:val="0"/>
                <w:i w:val="0"/>
                <w:color w:val="000000"/>
                <w:sz w:val="20"/>
                <w:szCs w:val="20"/>
              </w:rPr>
              <w:t>Enabling factor; covariate</w:t>
            </w:r>
          </w:p>
        </w:tc>
      </w:tr>
    </w:tbl>
    <w:p w14:paraId="782C4F82">
      <w:pPr>
        <w:spacing w:before="120" w:after="40"/>
        <w:rPr>
          <w:rFonts w:hint="default" w:ascii="Times New Roman" w:hAnsi="Times New Roman" w:cs="Times New Roman"/>
          <w:sz w:val="24"/>
          <w:szCs w:val="24"/>
        </w:rPr>
      </w:pPr>
      <w:r>
        <w:rPr>
          <w:rFonts w:hint="default" w:ascii="Times New Roman" w:hAnsi="Times New Roman" w:eastAsia="Arial" w:cs="Times New Roman"/>
          <w:b w:val="0"/>
          <w:bCs/>
          <w:i/>
          <w:iCs/>
          <w:sz w:val="24"/>
          <w:szCs w:val="24"/>
        </w:rPr>
        <w:t>Notes</w:t>
      </w:r>
      <w:r>
        <w:rPr>
          <w:rFonts w:hint="eastAsia" w:ascii="Times New Roman" w:hAnsi="Times New Roman" w:eastAsia="宋体" w:cs="Times New Roman"/>
          <w:b w:val="0"/>
          <w:bCs/>
          <w:i/>
          <w:iCs/>
          <w:sz w:val="24"/>
          <w:szCs w:val="24"/>
          <w:lang w:val="en-US" w:eastAsia="zh-CN"/>
        </w:rPr>
        <w:t>:</w:t>
      </w:r>
      <w:r>
        <w:rPr>
          <w:rFonts w:hint="default" w:ascii="Times New Roman" w:hAnsi="Times New Roman" w:eastAsia="Arial" w:cs="Times New Roman"/>
          <w:b w:val="0"/>
          <w:bCs/>
          <w:i w:val="0"/>
          <w:sz w:val="24"/>
          <w:szCs w:val="24"/>
        </w:rPr>
        <w:t xml:space="preserve"> </w:t>
      </w:r>
      <w:r>
        <w:rPr>
          <w:rFonts w:hint="default" w:ascii="Times New Roman" w:hAnsi="Times New Roman" w:eastAsia="Arial" w:cs="Times New Roman"/>
          <w:b w:val="0"/>
          <w:i w:val="0"/>
          <w:sz w:val="24"/>
          <w:szCs w:val="24"/>
        </w:rPr>
        <w:t>Community-based TCM health service use was derived from Item 14 and was defined as self-reported receipt of at least one listed service during the past 12 months. Item 14 permitted multiple responses. The number of chronic conditions was derived by counting the conditions selected in Item 12; participants who selected “None” were coded as having no chronic condition.</w:t>
      </w:r>
    </w:p>
    <w:p w14:paraId="550D4441">
      <w:pPr>
        <w:spacing w:after="40"/>
        <w:rPr>
          <w:rFonts w:hint="default" w:ascii="Times New Roman" w:hAnsi="Times New Roman" w:cs="Times New Roman"/>
          <w:sz w:val="24"/>
          <w:szCs w:val="24"/>
        </w:rPr>
      </w:pPr>
      <w:r>
        <w:rPr>
          <w:rFonts w:hint="default" w:ascii="Times New Roman" w:hAnsi="Times New Roman" w:eastAsia="Arial" w:cs="Times New Roman"/>
          <w:b w:val="0"/>
          <w:i w:val="0"/>
          <w:sz w:val="24"/>
          <w:szCs w:val="24"/>
        </w:rPr>
        <w:t>Categorical predictors with more than two levels were entered into the logistic regression models as sets of indicator variables, using the reference categories shown above. Awareness was included only in the exploratory extended model (Model 2). Perceived complexity of the service process was reported in the bivariate analysis but was not entered into the multivariable models.</w:t>
      </w:r>
      <w:r>
        <w:rPr>
          <w:rFonts w:hint="eastAsia" w:ascii="Times New Roman" w:hAnsi="Times New Roman" w:eastAsia="宋体" w:cs="Times New Roman"/>
          <w:b w:val="0"/>
          <w:i w:val="0"/>
          <w:sz w:val="24"/>
          <w:szCs w:val="24"/>
          <w:lang w:val="en-US" w:eastAsia="zh-CN"/>
        </w:rPr>
        <w:t xml:space="preserve"> </w:t>
      </w:r>
      <w:r>
        <w:rPr>
          <w:rFonts w:hint="default" w:ascii="Times New Roman" w:hAnsi="Times New Roman" w:eastAsia="Arial" w:cs="Times New Roman"/>
          <w:b w:val="0"/>
          <w:i w:val="0"/>
          <w:sz w:val="24"/>
          <w:szCs w:val="24"/>
        </w:rPr>
        <w:t>Abbreviations: TCM, traditional Chinese medicine.</w:t>
      </w:r>
    </w:p>
    <w:sectPr>
      <w:footerReference r:id="rId5" w:type="default"/>
      <w:pgSz w:w="15840" w:h="12240" w:orient="landscape"/>
      <w:pgMar w:top="648" w:right="648" w:bottom="648" w:left="648"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HYSinMyeongJo-Medium">
    <w:altName w:val="Malgun Gothic"/>
    <w:panose1 w:val="0203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6513C">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1A726">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B1A726">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EE2458"/>
    <w:rsid w:val="0D4A5F0F"/>
    <w:rsid w:val="0F2D5391"/>
    <w:rsid w:val="108D2FBF"/>
    <w:rsid w:val="272F1FA5"/>
    <w:rsid w:val="2D5E5392"/>
    <w:rsid w:val="382A4631"/>
    <w:rsid w:val="3D4C106A"/>
    <w:rsid w:val="46C027C2"/>
    <w:rsid w:val="498B70B7"/>
    <w:rsid w:val="5C7B2FBB"/>
    <w:rsid w:val="6A4B0471"/>
    <w:rsid w:val="6D4A4A10"/>
    <w:rsid w:val="75A31161"/>
    <w:rsid w:val="769767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8"/>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toc 1"/>
    <w:basedOn w:val="1"/>
    <w:next w:val="1"/>
    <w:semiHidden/>
    <w:unhideWhenUsed/>
    <w:uiPriority w:val="39"/>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9"/>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e01b4b3a-54c1-4b64-bab6-94869e66b9dc</errorID>
      <errorWord>Male</errorWord>
      <group>L1_Punc</group>
      <groupName>标点问题</groupName>
      <ability>L2_Punc_EN</ability>
      <abilityName>标点符号问题</abilityName>
      <candidateList>
        <item>Male;</item>
      </candidateList>
      <explain>此处疑似有标点符号缺失，建议将Male修改为Male;</explain>
      <paraID>3D7357F9</paraID>
      <start>4</start>
      <end>8</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adaf15-5911-481b-af15-008e5e6d4517}">
  <ds:schemaRefs/>
</ds:datastoreItem>
</file>

<file path=customXml/itemProps3.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866</Words>
  <Characters>4656</Characters>
  <Lines>0</Lines>
  <Paragraphs>0</Paragraphs>
  <TotalTime>0</TotalTime>
  <ScaleCrop>false</ScaleCrop>
  <LinksUpToDate>false</LinksUpToDate>
  <CharactersWithSpaces>5337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可乐er</dc:creator>
  <dc:description>generated by python-docx</dc:description>
  <cp:lastModifiedBy>可乐er</cp:lastModifiedBy>
  <dcterms:modified xsi:type="dcterms:W3CDTF">2026-08-11T15:30:43Z</dcterms:modified>
  <dc:subject>Quantitative variable definitions and coding</dc:subject>
  <dc:title>Additional file C - Variable definitions and coding</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eyJoZGlkIjoiNTU0ZmIwYTQ3NzlmZGUxZmU3Zjk0M2IyZTNmM2IxNjAiLCJ1c2VySWQiOiIxMTA1NjM0NzY5In0=</vt:lpwstr>
  </property>
  <property fmtid="{D5CDD505-2E9C-101B-9397-08002B2CF9AE}" pid="3" name="KSOProductBuildVer">
    <vt:lpwstr>2052-12.1.0.26895</vt:lpwstr>
  </property>
  <property fmtid="{D5CDD505-2E9C-101B-9397-08002B2CF9AE}" pid="4" name="ICV">
    <vt:lpwstr>F7B27419CBC64976B2C2D703740D4614_13</vt:lpwstr>
  </property>
</Properties>
</file>