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4230"/>
        <w:gridCol w:w="1345"/>
        <w:gridCol w:w="815"/>
        <w:gridCol w:w="990"/>
        <w:gridCol w:w="1350"/>
        <w:gridCol w:w="1080"/>
        <w:gridCol w:w="1530"/>
      </w:tblGrid>
      <w:tr w:rsidR="00A8592A" w:rsidRPr="00B039DD" w14:paraId="08648417" w14:textId="77777777" w:rsidTr="00AA07CA">
        <w:trPr>
          <w:trHeight w:val="458"/>
        </w:trPr>
        <w:tc>
          <w:tcPr>
            <w:tcW w:w="11340" w:type="dxa"/>
            <w:gridSpan w:val="7"/>
            <w:tcBorders>
              <w:top w:val="nil"/>
              <w:left w:val="nil"/>
              <w:right w:val="nil"/>
            </w:tcBorders>
            <w:noWrap/>
            <w:hideMark/>
          </w:tcPr>
          <w:p w14:paraId="7A46C79B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1. </w:t>
            </w:r>
            <w:r w:rsidRPr="00B039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All </w:t>
            </w: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predictors of contact and engagement within 12 months of randomization among qualified HNHC adults randomized to the treatment arm of a national care coordination intervention RCT in 2018–2019</w:t>
            </w:r>
          </w:p>
        </w:tc>
      </w:tr>
      <w:tr w:rsidR="00A8592A" w:rsidRPr="00B039DD" w14:paraId="280D07A3" w14:textId="77777777" w:rsidTr="00AA07CA">
        <w:trPr>
          <w:trHeight w:val="530"/>
        </w:trPr>
        <w:tc>
          <w:tcPr>
            <w:tcW w:w="4230" w:type="dxa"/>
            <w:noWrap/>
            <w:hideMark/>
          </w:tcPr>
          <w:p w14:paraId="132C26B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hideMark/>
          </w:tcPr>
          <w:p w14:paraId="1FD63BCF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Predicting Contact (N=46,483)</w:t>
            </w:r>
          </w:p>
        </w:tc>
        <w:tc>
          <w:tcPr>
            <w:tcW w:w="3960" w:type="dxa"/>
            <w:gridSpan w:val="3"/>
            <w:hideMark/>
          </w:tcPr>
          <w:p w14:paraId="78C13B4E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Predicting Engagement</w:t>
            </w:r>
            <w:r w:rsidRPr="00B039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Among People Contacted</w:t>
            </w: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(N=27,444)</w:t>
            </w:r>
          </w:p>
        </w:tc>
      </w:tr>
      <w:tr w:rsidR="00A8592A" w:rsidRPr="00B039DD" w14:paraId="70661A98" w14:textId="77777777" w:rsidTr="00AA07CA">
        <w:trPr>
          <w:trHeight w:val="728"/>
        </w:trPr>
        <w:tc>
          <w:tcPr>
            <w:tcW w:w="4230" w:type="dxa"/>
            <w:noWrap/>
            <w:hideMark/>
          </w:tcPr>
          <w:p w14:paraId="16EACC1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</w:p>
        </w:tc>
        <w:tc>
          <w:tcPr>
            <w:tcW w:w="1345" w:type="dxa"/>
            <w:hideMark/>
          </w:tcPr>
          <w:p w14:paraId="48A33F1B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Percentage Point Difference</w:t>
            </w:r>
          </w:p>
        </w:tc>
        <w:tc>
          <w:tcPr>
            <w:tcW w:w="815" w:type="dxa"/>
            <w:noWrap/>
            <w:hideMark/>
          </w:tcPr>
          <w:p w14:paraId="39B8B89D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90" w:type="dxa"/>
            <w:noWrap/>
            <w:hideMark/>
          </w:tcPr>
          <w:p w14:paraId="7E8F35A6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350" w:type="dxa"/>
            <w:hideMark/>
          </w:tcPr>
          <w:p w14:paraId="570A209B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Percentage Point Difference</w:t>
            </w:r>
          </w:p>
        </w:tc>
        <w:tc>
          <w:tcPr>
            <w:tcW w:w="1080" w:type="dxa"/>
            <w:noWrap/>
            <w:hideMark/>
          </w:tcPr>
          <w:p w14:paraId="3A91CB87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530" w:type="dxa"/>
            <w:noWrap/>
            <w:hideMark/>
          </w:tcPr>
          <w:p w14:paraId="0639BF21" w14:textId="77777777" w:rsidR="00A8592A" w:rsidRPr="00B039DD" w:rsidRDefault="00A8592A" w:rsidP="00AA0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A8592A" w:rsidRPr="00B039DD" w14:paraId="1AD70A8B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8172F9C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Age group (reference: 55–64) </w:t>
            </w:r>
          </w:p>
        </w:tc>
        <w:tc>
          <w:tcPr>
            <w:tcW w:w="1345" w:type="dxa"/>
            <w:noWrap/>
            <w:vAlign w:val="bottom"/>
            <w:hideMark/>
          </w:tcPr>
          <w:p w14:paraId="4C8A26D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noWrap/>
            <w:vAlign w:val="bottom"/>
            <w:hideMark/>
          </w:tcPr>
          <w:p w14:paraId="6B012EF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2774B02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vAlign w:val="bottom"/>
            <w:hideMark/>
          </w:tcPr>
          <w:p w14:paraId="42966E9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201E111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3C83797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92A" w:rsidRPr="00B039DD" w14:paraId="3F70F932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46BC413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18–24</w:t>
            </w:r>
          </w:p>
        </w:tc>
        <w:tc>
          <w:tcPr>
            <w:tcW w:w="1345" w:type="dxa"/>
            <w:noWrap/>
            <w:vAlign w:val="bottom"/>
            <w:hideMark/>
          </w:tcPr>
          <w:p w14:paraId="3F1E1F0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-12%</w:t>
            </w:r>
          </w:p>
        </w:tc>
        <w:tc>
          <w:tcPr>
            <w:tcW w:w="815" w:type="dxa"/>
            <w:noWrap/>
            <w:vAlign w:val="bottom"/>
            <w:hideMark/>
          </w:tcPr>
          <w:p w14:paraId="0199907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7B48B45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F3A8E6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-15%</w:t>
            </w:r>
          </w:p>
        </w:tc>
        <w:tc>
          <w:tcPr>
            <w:tcW w:w="1080" w:type="dxa"/>
            <w:noWrap/>
            <w:vAlign w:val="bottom"/>
            <w:hideMark/>
          </w:tcPr>
          <w:p w14:paraId="7474BD2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30" w:type="dxa"/>
            <w:noWrap/>
            <w:vAlign w:val="bottom"/>
            <w:hideMark/>
          </w:tcPr>
          <w:p w14:paraId="3D88AD6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583630FF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6C14D68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25–34</w:t>
            </w:r>
          </w:p>
        </w:tc>
        <w:tc>
          <w:tcPr>
            <w:tcW w:w="1345" w:type="dxa"/>
            <w:noWrap/>
            <w:vAlign w:val="bottom"/>
            <w:hideMark/>
          </w:tcPr>
          <w:p w14:paraId="7676809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815" w:type="dxa"/>
            <w:noWrap/>
            <w:vAlign w:val="bottom"/>
            <w:hideMark/>
          </w:tcPr>
          <w:p w14:paraId="3B30C7D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596FAE5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C7F352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1080" w:type="dxa"/>
            <w:noWrap/>
            <w:vAlign w:val="bottom"/>
            <w:hideMark/>
          </w:tcPr>
          <w:p w14:paraId="2726662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729588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3A62391C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32028D7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345" w:type="dxa"/>
            <w:noWrap/>
            <w:vAlign w:val="bottom"/>
            <w:hideMark/>
          </w:tcPr>
          <w:p w14:paraId="26F8E39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815" w:type="dxa"/>
            <w:noWrap/>
            <w:vAlign w:val="bottom"/>
            <w:hideMark/>
          </w:tcPr>
          <w:p w14:paraId="35410DC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1BB9411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D01D32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1080" w:type="dxa"/>
            <w:noWrap/>
            <w:vAlign w:val="bottom"/>
            <w:hideMark/>
          </w:tcPr>
          <w:p w14:paraId="3A0DB4C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3ADC8EE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6A889531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6535CC2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345" w:type="dxa"/>
            <w:noWrap/>
            <w:vAlign w:val="bottom"/>
            <w:hideMark/>
          </w:tcPr>
          <w:p w14:paraId="5BE6AE7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815" w:type="dxa"/>
            <w:noWrap/>
            <w:vAlign w:val="bottom"/>
            <w:hideMark/>
          </w:tcPr>
          <w:p w14:paraId="3BC0F0F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73E806D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75C712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080" w:type="dxa"/>
            <w:noWrap/>
            <w:vAlign w:val="bottom"/>
            <w:hideMark/>
          </w:tcPr>
          <w:p w14:paraId="206CC9D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888288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28283CC4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4D06F31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Female</w:t>
            </w:r>
          </w:p>
        </w:tc>
        <w:tc>
          <w:tcPr>
            <w:tcW w:w="1345" w:type="dxa"/>
            <w:noWrap/>
            <w:vAlign w:val="bottom"/>
            <w:hideMark/>
          </w:tcPr>
          <w:p w14:paraId="1B465DF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75901BF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90" w:type="dxa"/>
            <w:noWrap/>
            <w:vAlign w:val="bottom"/>
            <w:hideMark/>
          </w:tcPr>
          <w:p w14:paraId="348E560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350" w:type="dxa"/>
            <w:noWrap/>
            <w:vAlign w:val="bottom"/>
            <w:hideMark/>
          </w:tcPr>
          <w:p w14:paraId="53884A4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vAlign w:val="bottom"/>
            <w:hideMark/>
          </w:tcPr>
          <w:p w14:paraId="2E955A0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32ACBF0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A8592A" w:rsidRPr="00B039DD" w14:paraId="3A1089D8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2AAFF5E9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Region (reference: Northeast)</w:t>
            </w:r>
          </w:p>
        </w:tc>
        <w:tc>
          <w:tcPr>
            <w:tcW w:w="1345" w:type="dxa"/>
            <w:noWrap/>
            <w:vAlign w:val="bottom"/>
            <w:hideMark/>
          </w:tcPr>
          <w:p w14:paraId="3B79A2C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noWrap/>
            <w:vAlign w:val="bottom"/>
            <w:hideMark/>
          </w:tcPr>
          <w:p w14:paraId="4467139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4167A3D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vAlign w:val="bottom"/>
            <w:hideMark/>
          </w:tcPr>
          <w:p w14:paraId="4005E92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3DCDE91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1F73D71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92A" w:rsidRPr="00B039DD" w14:paraId="06CCD4A7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2784E52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Midwest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3058FB0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815" w:type="dxa"/>
            <w:noWrap/>
            <w:vAlign w:val="bottom"/>
            <w:hideMark/>
          </w:tcPr>
          <w:p w14:paraId="60A2921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57CC04D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48E3006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vAlign w:val="bottom"/>
            <w:hideMark/>
          </w:tcPr>
          <w:p w14:paraId="4792534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5391433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A8592A" w:rsidRPr="00B039DD" w14:paraId="7C478DBE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B06B03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South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4AA2BB2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15" w:type="dxa"/>
            <w:noWrap/>
            <w:vAlign w:val="bottom"/>
            <w:hideMark/>
          </w:tcPr>
          <w:p w14:paraId="5FF3394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10E8949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350" w:type="dxa"/>
            <w:noWrap/>
            <w:vAlign w:val="bottom"/>
            <w:hideMark/>
          </w:tcPr>
          <w:p w14:paraId="4599F34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3E168CA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21F0D2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</w:tr>
      <w:tr w:rsidR="00A8592A" w:rsidRPr="00B039DD" w14:paraId="35DD6F1D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60159B4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West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37F3AB5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815" w:type="dxa"/>
            <w:noWrap/>
            <w:vAlign w:val="bottom"/>
            <w:hideMark/>
          </w:tcPr>
          <w:p w14:paraId="1A00342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14DE251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942E56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0666D99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32B71CE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A8592A" w:rsidRPr="00B039DD" w14:paraId="2D47A8BE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0AFC7C29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Plan Type (reference: POS)</w:t>
            </w:r>
          </w:p>
        </w:tc>
        <w:tc>
          <w:tcPr>
            <w:tcW w:w="1345" w:type="dxa"/>
            <w:noWrap/>
            <w:vAlign w:val="bottom"/>
            <w:hideMark/>
          </w:tcPr>
          <w:p w14:paraId="1333F57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noWrap/>
            <w:vAlign w:val="bottom"/>
            <w:hideMark/>
          </w:tcPr>
          <w:p w14:paraId="4B5C44B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2DC44D8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vAlign w:val="bottom"/>
            <w:hideMark/>
          </w:tcPr>
          <w:p w14:paraId="5EDF57A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3933C96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12C1BBA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92A" w:rsidRPr="00B039DD" w14:paraId="56899C86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31213CA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HMO, HMO+</w:t>
            </w:r>
          </w:p>
        </w:tc>
        <w:tc>
          <w:tcPr>
            <w:tcW w:w="1345" w:type="dxa"/>
            <w:noWrap/>
            <w:vAlign w:val="bottom"/>
            <w:hideMark/>
          </w:tcPr>
          <w:p w14:paraId="6321361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0C245B7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69D5683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350" w:type="dxa"/>
            <w:noWrap/>
            <w:vAlign w:val="bottom"/>
            <w:hideMark/>
          </w:tcPr>
          <w:p w14:paraId="3B0B5E6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vAlign w:val="bottom"/>
            <w:hideMark/>
          </w:tcPr>
          <w:p w14:paraId="3E320C4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210EF99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A8592A" w:rsidRPr="00B039DD" w14:paraId="458492B0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846A0E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EPO</w:t>
            </w:r>
          </w:p>
        </w:tc>
        <w:tc>
          <w:tcPr>
            <w:tcW w:w="1345" w:type="dxa"/>
            <w:noWrap/>
            <w:vAlign w:val="bottom"/>
            <w:hideMark/>
          </w:tcPr>
          <w:p w14:paraId="489706F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64F4391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083EA94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350" w:type="dxa"/>
            <w:noWrap/>
            <w:vAlign w:val="bottom"/>
            <w:hideMark/>
          </w:tcPr>
          <w:p w14:paraId="66F1E48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68D9356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6FE1D3B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A8592A" w:rsidRPr="00B039DD" w14:paraId="23FC98E1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09FC373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PPO or IND</w:t>
            </w:r>
          </w:p>
        </w:tc>
        <w:tc>
          <w:tcPr>
            <w:tcW w:w="1345" w:type="dxa"/>
            <w:noWrap/>
            <w:vAlign w:val="bottom"/>
            <w:hideMark/>
          </w:tcPr>
          <w:p w14:paraId="2BDE10B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815" w:type="dxa"/>
            <w:noWrap/>
            <w:vAlign w:val="bottom"/>
            <w:hideMark/>
          </w:tcPr>
          <w:p w14:paraId="0133317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90" w:type="dxa"/>
            <w:noWrap/>
            <w:vAlign w:val="bottom"/>
            <w:hideMark/>
          </w:tcPr>
          <w:p w14:paraId="23FE646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350" w:type="dxa"/>
            <w:noWrap/>
            <w:vAlign w:val="bottom"/>
            <w:hideMark/>
          </w:tcPr>
          <w:p w14:paraId="715F5F2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vAlign w:val="bottom"/>
            <w:hideMark/>
          </w:tcPr>
          <w:p w14:paraId="72D2FB7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530" w:type="dxa"/>
            <w:noWrap/>
            <w:vAlign w:val="bottom"/>
            <w:hideMark/>
          </w:tcPr>
          <w:p w14:paraId="230578E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A8592A" w:rsidRPr="00B039DD" w14:paraId="4C274A64" w14:textId="77777777" w:rsidTr="00AA07CA">
        <w:trPr>
          <w:trHeight w:val="290"/>
        </w:trPr>
        <w:tc>
          <w:tcPr>
            <w:tcW w:w="7380" w:type="dxa"/>
            <w:gridSpan w:val="4"/>
            <w:noWrap/>
            <w:hideMark/>
          </w:tcPr>
          <w:p w14:paraId="2C81AA7C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Number of quarters enrolled in baseline year (</w:t>
            </w:r>
            <w:r w:rsidRPr="00B039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reference: </w:t>
            </w: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0–1 quarter)                        </w:t>
            </w:r>
          </w:p>
        </w:tc>
        <w:tc>
          <w:tcPr>
            <w:tcW w:w="1350" w:type="dxa"/>
            <w:noWrap/>
            <w:vAlign w:val="bottom"/>
            <w:hideMark/>
          </w:tcPr>
          <w:p w14:paraId="05761A1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1ED46D7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5677C75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92A" w:rsidRPr="00B039DD" w14:paraId="4322669A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A5DCCD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 quarters</w:t>
            </w:r>
          </w:p>
        </w:tc>
        <w:tc>
          <w:tcPr>
            <w:tcW w:w="1345" w:type="dxa"/>
            <w:noWrap/>
            <w:vAlign w:val="bottom"/>
            <w:hideMark/>
          </w:tcPr>
          <w:p w14:paraId="1B88779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5D610F7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6F9AE46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350" w:type="dxa"/>
            <w:noWrap/>
            <w:vAlign w:val="bottom"/>
            <w:hideMark/>
          </w:tcPr>
          <w:p w14:paraId="243928A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vAlign w:val="bottom"/>
            <w:hideMark/>
          </w:tcPr>
          <w:p w14:paraId="3FD92B1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955FEF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A8592A" w:rsidRPr="00B039DD" w14:paraId="62FB23DB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9C6EFE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 quarters</w:t>
            </w:r>
          </w:p>
        </w:tc>
        <w:tc>
          <w:tcPr>
            <w:tcW w:w="1345" w:type="dxa"/>
            <w:noWrap/>
            <w:vAlign w:val="bottom"/>
            <w:hideMark/>
          </w:tcPr>
          <w:p w14:paraId="7FED144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815" w:type="dxa"/>
            <w:noWrap/>
            <w:vAlign w:val="bottom"/>
            <w:hideMark/>
          </w:tcPr>
          <w:p w14:paraId="452EDE1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320A5E7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50" w:type="dxa"/>
            <w:noWrap/>
            <w:vAlign w:val="bottom"/>
            <w:hideMark/>
          </w:tcPr>
          <w:p w14:paraId="52D5B8D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vAlign w:val="bottom"/>
            <w:hideMark/>
          </w:tcPr>
          <w:p w14:paraId="6C21EFB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6CF736B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A8592A" w:rsidRPr="00B039DD" w14:paraId="2BC46D7A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579B81D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4 quarters</w:t>
            </w:r>
          </w:p>
        </w:tc>
        <w:tc>
          <w:tcPr>
            <w:tcW w:w="1345" w:type="dxa"/>
            <w:noWrap/>
            <w:vAlign w:val="bottom"/>
            <w:hideMark/>
          </w:tcPr>
          <w:p w14:paraId="03D1FE6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815" w:type="dxa"/>
            <w:noWrap/>
            <w:vAlign w:val="bottom"/>
            <w:hideMark/>
          </w:tcPr>
          <w:p w14:paraId="2A19D70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3C5B6CC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1A6804F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-6%</w:t>
            </w:r>
          </w:p>
        </w:tc>
        <w:tc>
          <w:tcPr>
            <w:tcW w:w="1080" w:type="dxa"/>
            <w:noWrap/>
            <w:vAlign w:val="bottom"/>
            <w:hideMark/>
          </w:tcPr>
          <w:p w14:paraId="2392BA2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4EFBC51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1ECFAC4F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29A8B9AA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Comorbidities</w:t>
            </w:r>
          </w:p>
        </w:tc>
        <w:tc>
          <w:tcPr>
            <w:tcW w:w="1345" w:type="dxa"/>
            <w:noWrap/>
            <w:vAlign w:val="bottom"/>
            <w:hideMark/>
          </w:tcPr>
          <w:p w14:paraId="48E76827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" w:type="dxa"/>
            <w:noWrap/>
            <w:vAlign w:val="bottom"/>
            <w:hideMark/>
          </w:tcPr>
          <w:p w14:paraId="70937F4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6585A75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vAlign w:val="bottom"/>
            <w:hideMark/>
          </w:tcPr>
          <w:p w14:paraId="5371C6C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4EE41BD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200C9C2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92A" w:rsidRPr="00B039DD" w14:paraId="2F9BC610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20121D4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71F9162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15" w:type="dxa"/>
            <w:noWrap/>
            <w:vAlign w:val="bottom"/>
            <w:hideMark/>
          </w:tcPr>
          <w:p w14:paraId="7BD5058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3642010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1D2D720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080" w:type="dxa"/>
            <w:noWrap/>
            <w:vAlign w:val="bottom"/>
            <w:hideMark/>
          </w:tcPr>
          <w:p w14:paraId="737C819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A851C4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8592A" w:rsidRPr="00B039DD" w14:paraId="36447BBD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060A129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4B78800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68D45D7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36127EA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350" w:type="dxa"/>
            <w:noWrap/>
            <w:vAlign w:val="bottom"/>
            <w:hideMark/>
          </w:tcPr>
          <w:p w14:paraId="7E9210D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vAlign w:val="bottom"/>
            <w:hideMark/>
          </w:tcPr>
          <w:p w14:paraId="449C836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436935D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A8592A" w:rsidRPr="00B039DD" w14:paraId="7F4B0886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C4BBF5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Atrial fibrillation/cardiac dysrhythmias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00F7BFC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3B85DDA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1994789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350" w:type="dxa"/>
            <w:noWrap/>
            <w:vAlign w:val="bottom"/>
            <w:hideMark/>
          </w:tcPr>
          <w:p w14:paraId="6FE38EB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07E6524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29F035C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</w:tr>
      <w:tr w:rsidR="00A8592A" w:rsidRPr="00B039DD" w14:paraId="724C4A95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C92ED9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Autism 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2BB1D63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6074729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90" w:type="dxa"/>
            <w:noWrap/>
            <w:vAlign w:val="bottom"/>
            <w:hideMark/>
          </w:tcPr>
          <w:p w14:paraId="6E5C1C6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350" w:type="dxa"/>
            <w:noWrap/>
            <w:vAlign w:val="bottom"/>
            <w:hideMark/>
          </w:tcPr>
          <w:p w14:paraId="5EBACC0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080" w:type="dxa"/>
            <w:noWrap/>
            <w:vAlign w:val="bottom"/>
            <w:hideMark/>
          </w:tcPr>
          <w:p w14:paraId="3F31E0F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30" w:type="dxa"/>
            <w:noWrap/>
            <w:vAlign w:val="bottom"/>
            <w:hideMark/>
          </w:tcPr>
          <w:p w14:paraId="779034F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A8592A" w:rsidRPr="00B039DD" w14:paraId="024FC1A6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3D61D2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Cancer 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7829581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15" w:type="dxa"/>
            <w:noWrap/>
            <w:vAlign w:val="bottom"/>
            <w:hideMark/>
          </w:tcPr>
          <w:p w14:paraId="6524DB4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51FDB8F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350" w:type="dxa"/>
            <w:noWrap/>
            <w:vAlign w:val="bottom"/>
            <w:hideMark/>
          </w:tcPr>
          <w:p w14:paraId="0DADCB1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5F546E9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45239D2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A8592A" w:rsidRPr="00B039DD" w14:paraId="5D42EDC9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48C4BBC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Chronic obstructive pulmonary disease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3E65475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15" w:type="dxa"/>
            <w:noWrap/>
            <w:vAlign w:val="bottom"/>
            <w:hideMark/>
          </w:tcPr>
          <w:p w14:paraId="4E6DE6D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693D759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350" w:type="dxa"/>
            <w:noWrap/>
            <w:vAlign w:val="bottom"/>
            <w:hideMark/>
          </w:tcPr>
          <w:p w14:paraId="75D5C1A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080" w:type="dxa"/>
            <w:noWrap/>
            <w:vAlign w:val="bottom"/>
            <w:hideMark/>
          </w:tcPr>
          <w:p w14:paraId="247317A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6E5F68C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8592A" w:rsidRPr="00B039DD" w14:paraId="0824825E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6BA9160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Congestive heart failure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50BFEF5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815" w:type="dxa"/>
            <w:noWrap/>
            <w:vAlign w:val="bottom"/>
            <w:hideMark/>
          </w:tcPr>
          <w:p w14:paraId="6E4E28A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4779BFF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4C757E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vAlign w:val="bottom"/>
            <w:hideMark/>
          </w:tcPr>
          <w:p w14:paraId="0E84109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30" w:type="dxa"/>
            <w:noWrap/>
            <w:vAlign w:val="bottom"/>
            <w:hideMark/>
          </w:tcPr>
          <w:p w14:paraId="7B7D11E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A8592A" w:rsidRPr="00B039DD" w14:paraId="1FC8930B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BAA138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Dementia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46BB476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19AE367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90" w:type="dxa"/>
            <w:noWrap/>
            <w:vAlign w:val="bottom"/>
            <w:hideMark/>
          </w:tcPr>
          <w:p w14:paraId="4B6C787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350" w:type="dxa"/>
            <w:noWrap/>
            <w:vAlign w:val="bottom"/>
            <w:hideMark/>
          </w:tcPr>
          <w:p w14:paraId="1B55D25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1080" w:type="dxa"/>
            <w:noWrap/>
            <w:vAlign w:val="bottom"/>
            <w:hideMark/>
          </w:tcPr>
          <w:p w14:paraId="4672D8B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30" w:type="dxa"/>
            <w:noWrap/>
            <w:vAlign w:val="bottom"/>
            <w:hideMark/>
          </w:tcPr>
          <w:p w14:paraId="3EF0325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A8592A" w:rsidRPr="00B039DD" w14:paraId="5FD9EAA6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6CBDD97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Depression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4A4DC86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250F285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518C29B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50" w:type="dxa"/>
            <w:noWrap/>
            <w:vAlign w:val="bottom"/>
            <w:hideMark/>
          </w:tcPr>
          <w:p w14:paraId="09281DB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63094BC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76ACD7A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A8592A" w:rsidRPr="00B039DD" w14:paraId="7D030283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460BB92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345" w:type="dxa"/>
            <w:noWrap/>
            <w:vAlign w:val="bottom"/>
            <w:hideMark/>
          </w:tcPr>
          <w:p w14:paraId="4ACAAE4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15" w:type="dxa"/>
            <w:noWrap/>
            <w:vAlign w:val="bottom"/>
            <w:hideMark/>
          </w:tcPr>
          <w:p w14:paraId="5C8D0B4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29F7483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350" w:type="dxa"/>
            <w:noWrap/>
            <w:vAlign w:val="bottom"/>
            <w:hideMark/>
          </w:tcPr>
          <w:p w14:paraId="0E9A252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4A8FDB0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0BD171A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A8592A" w:rsidRPr="00B039DD" w14:paraId="15E670E5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78467C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Hypertension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2D8E37C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43FF8CB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3DC608C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350" w:type="dxa"/>
            <w:noWrap/>
            <w:vAlign w:val="bottom"/>
            <w:hideMark/>
          </w:tcPr>
          <w:p w14:paraId="714B418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6F1EFC8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12CB221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A8592A" w:rsidRPr="00B039DD" w14:paraId="245FDC4E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4485B3B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HIV    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584B777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815" w:type="dxa"/>
            <w:noWrap/>
            <w:vAlign w:val="bottom"/>
            <w:hideMark/>
          </w:tcPr>
          <w:p w14:paraId="6233458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6400484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50" w:type="dxa"/>
            <w:noWrap/>
            <w:vAlign w:val="bottom"/>
            <w:hideMark/>
          </w:tcPr>
          <w:p w14:paraId="79E2AB8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07DA658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30" w:type="dxa"/>
            <w:noWrap/>
            <w:vAlign w:val="bottom"/>
            <w:hideMark/>
          </w:tcPr>
          <w:p w14:paraId="6075DB0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A8592A" w:rsidRPr="00B039DD" w14:paraId="7173622A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0C936A7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Hyperlipidemia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0E69023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6D86084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49F7D2D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350" w:type="dxa"/>
            <w:noWrap/>
            <w:vAlign w:val="bottom"/>
            <w:hideMark/>
          </w:tcPr>
          <w:p w14:paraId="4360A6D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6DEEA34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76FA0A8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A8592A" w:rsidRPr="00B039DD" w14:paraId="20272E74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7289E63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Liver disease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2F51705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15" w:type="dxa"/>
            <w:noWrap/>
            <w:vAlign w:val="bottom"/>
            <w:hideMark/>
          </w:tcPr>
          <w:p w14:paraId="624ED75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05A952B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350" w:type="dxa"/>
            <w:noWrap/>
            <w:vAlign w:val="bottom"/>
            <w:hideMark/>
          </w:tcPr>
          <w:p w14:paraId="4BD641D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080" w:type="dxa"/>
            <w:noWrap/>
            <w:vAlign w:val="bottom"/>
            <w:hideMark/>
          </w:tcPr>
          <w:p w14:paraId="75A7CFE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41DEEC9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A8592A" w:rsidRPr="00B039DD" w14:paraId="64134B58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A2DEA9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Myocardial infarction/coronary artery disease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6E8C68A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noWrap/>
            <w:vAlign w:val="bottom"/>
            <w:hideMark/>
          </w:tcPr>
          <w:p w14:paraId="1B97E6C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2D7D099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350" w:type="dxa"/>
            <w:noWrap/>
            <w:vAlign w:val="bottom"/>
            <w:hideMark/>
          </w:tcPr>
          <w:p w14:paraId="30E54FD4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noWrap/>
            <w:vAlign w:val="bottom"/>
            <w:hideMark/>
          </w:tcPr>
          <w:p w14:paraId="6834426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37E4EAD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A8592A" w:rsidRPr="00B039DD" w14:paraId="5F821F65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533E631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Osteoporosis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1B6CF17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815" w:type="dxa"/>
            <w:noWrap/>
            <w:vAlign w:val="bottom"/>
            <w:hideMark/>
          </w:tcPr>
          <w:p w14:paraId="3D78BA0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90" w:type="dxa"/>
            <w:noWrap/>
            <w:vAlign w:val="bottom"/>
            <w:hideMark/>
          </w:tcPr>
          <w:p w14:paraId="5B8556D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noWrap/>
            <w:vAlign w:val="bottom"/>
            <w:hideMark/>
          </w:tcPr>
          <w:p w14:paraId="25605337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7B651CC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30" w:type="dxa"/>
            <w:noWrap/>
            <w:vAlign w:val="bottom"/>
            <w:hideMark/>
          </w:tcPr>
          <w:p w14:paraId="710ECAA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A8592A" w:rsidRPr="00B039DD" w14:paraId="02EC358B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1DFB49B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Schizophrenia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4C48047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01E117C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90" w:type="dxa"/>
            <w:noWrap/>
            <w:vAlign w:val="bottom"/>
            <w:hideMark/>
          </w:tcPr>
          <w:p w14:paraId="335A54D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350" w:type="dxa"/>
            <w:noWrap/>
            <w:vAlign w:val="bottom"/>
            <w:hideMark/>
          </w:tcPr>
          <w:p w14:paraId="2B754EE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080" w:type="dxa"/>
            <w:noWrap/>
            <w:vAlign w:val="bottom"/>
            <w:hideMark/>
          </w:tcPr>
          <w:p w14:paraId="4E61483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30" w:type="dxa"/>
            <w:noWrap/>
            <w:vAlign w:val="bottom"/>
            <w:hideMark/>
          </w:tcPr>
          <w:p w14:paraId="051B49D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A8592A" w:rsidRPr="00B039DD" w14:paraId="47372DB8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3ACEBBB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Stroke         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28040106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15" w:type="dxa"/>
            <w:noWrap/>
            <w:vAlign w:val="bottom"/>
            <w:hideMark/>
          </w:tcPr>
          <w:p w14:paraId="3CA80DB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1623B4E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350" w:type="dxa"/>
            <w:noWrap/>
            <w:vAlign w:val="bottom"/>
            <w:hideMark/>
          </w:tcPr>
          <w:p w14:paraId="72DEA51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80" w:type="dxa"/>
            <w:noWrap/>
            <w:vAlign w:val="bottom"/>
            <w:hideMark/>
          </w:tcPr>
          <w:p w14:paraId="6270CB5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1C35638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A8592A" w:rsidRPr="00B039DD" w14:paraId="55F166FE" w14:textId="77777777" w:rsidTr="00AA07CA">
        <w:trPr>
          <w:trHeight w:val="290"/>
        </w:trPr>
        <w:tc>
          <w:tcPr>
            <w:tcW w:w="4230" w:type="dxa"/>
            <w:noWrap/>
            <w:hideMark/>
          </w:tcPr>
          <w:p w14:paraId="2AE1CE3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 xml:space="preserve">Substance abuse                                                                                                                                       </w:t>
            </w:r>
          </w:p>
        </w:tc>
        <w:tc>
          <w:tcPr>
            <w:tcW w:w="1345" w:type="dxa"/>
            <w:noWrap/>
            <w:vAlign w:val="bottom"/>
            <w:hideMark/>
          </w:tcPr>
          <w:p w14:paraId="33B14D8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815" w:type="dxa"/>
            <w:noWrap/>
            <w:vAlign w:val="bottom"/>
            <w:hideMark/>
          </w:tcPr>
          <w:p w14:paraId="33F71DD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noWrap/>
            <w:vAlign w:val="bottom"/>
            <w:hideMark/>
          </w:tcPr>
          <w:p w14:paraId="2A3F872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350" w:type="dxa"/>
            <w:noWrap/>
            <w:vAlign w:val="bottom"/>
            <w:hideMark/>
          </w:tcPr>
          <w:p w14:paraId="623003A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1080" w:type="dxa"/>
            <w:noWrap/>
            <w:vAlign w:val="bottom"/>
            <w:hideMark/>
          </w:tcPr>
          <w:p w14:paraId="6708475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noWrap/>
            <w:vAlign w:val="bottom"/>
            <w:hideMark/>
          </w:tcPr>
          <w:p w14:paraId="43A617F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A8592A" w:rsidRPr="00B039DD" w14:paraId="36FF8D77" w14:textId="77777777" w:rsidTr="00AA07CA">
        <w:trPr>
          <w:trHeight w:val="290"/>
        </w:trPr>
        <w:tc>
          <w:tcPr>
            <w:tcW w:w="5575" w:type="dxa"/>
            <w:gridSpan w:val="2"/>
            <w:noWrap/>
            <w:hideMark/>
          </w:tcPr>
          <w:p w14:paraId="29091470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Variables within 3 months of randomization</w:t>
            </w:r>
          </w:p>
        </w:tc>
        <w:tc>
          <w:tcPr>
            <w:tcW w:w="815" w:type="dxa"/>
            <w:noWrap/>
            <w:vAlign w:val="bottom"/>
            <w:hideMark/>
          </w:tcPr>
          <w:p w14:paraId="5C61D152" w14:textId="77777777" w:rsidR="00A8592A" w:rsidRPr="00B039DD" w:rsidRDefault="00A8592A" w:rsidP="00AA0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14:paraId="2FA81F51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5FC628D0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vAlign w:val="bottom"/>
            <w:hideMark/>
          </w:tcPr>
          <w:p w14:paraId="50188AD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noWrap/>
            <w:vAlign w:val="bottom"/>
            <w:hideMark/>
          </w:tcPr>
          <w:p w14:paraId="5893BE7C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92A" w:rsidRPr="00B039DD" w14:paraId="66443CDF" w14:textId="77777777" w:rsidTr="00AA07CA">
        <w:trPr>
          <w:trHeight w:val="290"/>
        </w:trPr>
        <w:tc>
          <w:tcPr>
            <w:tcW w:w="4230" w:type="dxa"/>
            <w:tcBorders>
              <w:right w:val="single" w:sz="4" w:space="0" w:color="auto"/>
            </w:tcBorders>
            <w:noWrap/>
            <w:hideMark/>
          </w:tcPr>
          <w:p w14:paraId="04E2CFB9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Any inpatient admissions within 3 months before randomization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7963F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B9E8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E020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987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151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5FCE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8592A" w:rsidRPr="00B039DD" w14:paraId="0B69882A" w14:textId="77777777" w:rsidTr="00AA07CA">
        <w:trPr>
          <w:trHeight w:val="290"/>
        </w:trPr>
        <w:tc>
          <w:tcPr>
            <w:tcW w:w="4230" w:type="dxa"/>
            <w:tcBorders>
              <w:top w:val="single" w:sz="4" w:space="0" w:color="auto"/>
            </w:tcBorders>
            <w:noWrap/>
            <w:hideMark/>
          </w:tcPr>
          <w:p w14:paraId="62E02B73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Any ER visits within 3 months of randomization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EFBEF5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7D913A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3917D8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9546EAB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266E9D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6E52C2" w14:textId="77777777" w:rsidR="00A8592A" w:rsidRPr="00B039DD" w:rsidRDefault="00A8592A" w:rsidP="00AA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9D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</w:tbl>
    <w:p w14:paraId="6A9962C3" w14:textId="77777777" w:rsidR="00A8592A" w:rsidRPr="00B039DD" w:rsidRDefault="00A8592A" w:rsidP="00A8592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039DD">
        <w:rPr>
          <w:rFonts w:ascii="Times New Roman" w:hAnsi="Times New Roman" w:cs="Times New Roman"/>
          <w:i/>
          <w:iCs/>
          <w:sz w:val="24"/>
          <w:szCs w:val="24"/>
        </w:rPr>
        <w:t>Notes: POS = point of service, HMO = health maintenance organization, EPO = exclusive provider organization, PPO = preferred provider organization, IND = indemnity, SE = standard error</w:t>
      </w:r>
    </w:p>
    <w:p w14:paraId="3CDC7484" w14:textId="77777777" w:rsidR="00A8592A" w:rsidRDefault="00A8592A"/>
    <w:sectPr w:rsidR="00A85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2A"/>
    <w:rsid w:val="00937896"/>
    <w:rsid w:val="00A8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212E3"/>
  <w15:chartTrackingRefBased/>
  <w15:docId w15:val="{776842DE-5F1E-4203-91CA-965A1E56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92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9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9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9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9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9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9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9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9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9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92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92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5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92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859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9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592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4452</Characters>
  <Application>Microsoft Office Word</Application>
  <DocSecurity>0</DocSecurity>
  <Lines>37</Lines>
  <Paragraphs>10</Paragraphs>
  <ScaleCrop>false</ScaleCrop>
  <Company>UCLA Health Sciences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Mendez, Jonathan A</dc:creator>
  <cp:keywords/>
  <dc:description/>
  <cp:lastModifiedBy>Mendez, Jonathan A</cp:lastModifiedBy>
  <cp:revision>1</cp:revision>
  <dcterms:created xsi:type="dcterms:W3CDTF">2026-06-16T16:37:00Z</dcterms:created>
  <dcterms:modified xsi:type="dcterms:W3CDTF">2026-06-16T16:39:00Z</dcterms:modified>
</cp:coreProperties>
</file>