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D77E" w14:textId="77777777" w:rsidR="0025405E" w:rsidRDefault="007D1863">
      <w:pPr>
        <w:jc w:val="center"/>
      </w:pPr>
      <w:r>
        <w:rPr>
          <w:b/>
          <w:sz w:val="32"/>
        </w:rPr>
        <w:t>Supplementary Material</w:t>
      </w:r>
    </w:p>
    <w:p w14:paraId="2F93C35B" w14:textId="77777777" w:rsidR="0025405E" w:rsidRDefault="007D1863">
      <w:pPr>
        <w:jc w:val="center"/>
      </w:pPr>
      <w:r>
        <w:rPr>
          <w:b/>
          <w:sz w:val="26"/>
        </w:rPr>
        <w:t>Sensitivity Analysis: Additional Adjustment for Arrest Cause</w:t>
      </w:r>
    </w:p>
    <w:p w14:paraId="52BA57F1" w14:textId="77777777" w:rsidR="0025405E" w:rsidRDefault="0025405E"/>
    <w:p w14:paraId="51CCA93E" w14:textId="77777777" w:rsidR="0025405E" w:rsidRDefault="007D1863">
      <w:pPr>
        <w:pStyle w:val="Heading2"/>
      </w:pPr>
      <w:r>
        <w:t>Supplementary Table S1. Sensitivity analyses additionally adjusted for arrest cause</w:t>
      </w:r>
    </w:p>
    <w:p w14:paraId="3385908F" w14:textId="77777777" w:rsidR="0025405E" w:rsidRDefault="007D1863">
      <w:r>
        <w:t>Sensitivity analyses were conducted by additionally adjusting the primary logistic regression models for arrest cause (medical versus trauma). The analytical cohort included 1,511 patients with at least two recorded EMS providers and a documented ROSC outcome. Arrest cause was available for all patients in the analytical cohort.</w:t>
      </w:r>
    </w:p>
    <w:tbl>
      <w:tblPr>
        <w:tblStyle w:val="TableGrid"/>
        <w:tblW w:w="0" w:type="auto"/>
        <w:jc w:val="center"/>
        <w:tblLook w:val="04A0" w:firstRow="1" w:lastRow="0" w:firstColumn="1" w:lastColumn="0" w:noHBand="0" w:noVBand="1"/>
      </w:tblPr>
      <w:tblGrid>
        <w:gridCol w:w="2158"/>
        <w:gridCol w:w="2158"/>
        <w:gridCol w:w="2157"/>
        <w:gridCol w:w="2157"/>
      </w:tblGrid>
      <w:tr w:rsidR="0025405E" w14:paraId="416B8332" w14:textId="77777777">
        <w:trPr>
          <w:jc w:val="center"/>
        </w:trPr>
        <w:tc>
          <w:tcPr>
            <w:tcW w:w="2160" w:type="dxa"/>
            <w:vAlign w:val="center"/>
          </w:tcPr>
          <w:p w14:paraId="26077A0B" w14:textId="77777777" w:rsidR="0025405E" w:rsidRDefault="007D1863">
            <w:r>
              <w:rPr>
                <w:b/>
              </w:rPr>
              <w:t>Model / Predictor</w:t>
            </w:r>
          </w:p>
        </w:tc>
        <w:tc>
          <w:tcPr>
            <w:tcW w:w="2160" w:type="dxa"/>
            <w:vAlign w:val="center"/>
          </w:tcPr>
          <w:p w14:paraId="07E1C567" w14:textId="77777777" w:rsidR="0025405E" w:rsidRDefault="007D1863">
            <w:r>
              <w:rPr>
                <w:b/>
              </w:rPr>
              <w:t>Adjusted OR</w:t>
            </w:r>
          </w:p>
        </w:tc>
        <w:tc>
          <w:tcPr>
            <w:tcW w:w="2160" w:type="dxa"/>
            <w:vAlign w:val="center"/>
          </w:tcPr>
          <w:p w14:paraId="7B5EA5E1" w14:textId="77777777" w:rsidR="0025405E" w:rsidRDefault="007D1863">
            <w:r>
              <w:rPr>
                <w:b/>
              </w:rPr>
              <w:t>95% CI</w:t>
            </w:r>
          </w:p>
        </w:tc>
        <w:tc>
          <w:tcPr>
            <w:tcW w:w="2160" w:type="dxa"/>
            <w:vAlign w:val="center"/>
          </w:tcPr>
          <w:p w14:paraId="790EA20B" w14:textId="77777777" w:rsidR="0025405E" w:rsidRDefault="007D1863">
            <w:r>
              <w:rPr>
                <w:b/>
              </w:rPr>
              <w:t>P-value</w:t>
            </w:r>
          </w:p>
        </w:tc>
      </w:tr>
      <w:tr w:rsidR="0025405E" w14:paraId="4C4F43B7" w14:textId="77777777">
        <w:trPr>
          <w:jc w:val="center"/>
        </w:trPr>
        <w:tc>
          <w:tcPr>
            <w:tcW w:w="2160" w:type="dxa"/>
            <w:vAlign w:val="center"/>
          </w:tcPr>
          <w:p w14:paraId="5494F11A" w14:textId="77777777" w:rsidR="0025405E" w:rsidRDefault="007D1863">
            <w:r>
              <w:rPr>
                <w:b/>
              </w:rPr>
              <w:t>Model 1: Crew size</w:t>
            </w:r>
          </w:p>
        </w:tc>
        <w:tc>
          <w:tcPr>
            <w:tcW w:w="2160" w:type="dxa"/>
            <w:vAlign w:val="center"/>
          </w:tcPr>
          <w:p w14:paraId="70F24769" w14:textId="77777777" w:rsidR="0025405E" w:rsidRDefault="0025405E"/>
        </w:tc>
        <w:tc>
          <w:tcPr>
            <w:tcW w:w="2160" w:type="dxa"/>
            <w:vAlign w:val="center"/>
          </w:tcPr>
          <w:p w14:paraId="19AA869A" w14:textId="77777777" w:rsidR="0025405E" w:rsidRDefault="0025405E"/>
        </w:tc>
        <w:tc>
          <w:tcPr>
            <w:tcW w:w="2160" w:type="dxa"/>
            <w:vAlign w:val="center"/>
          </w:tcPr>
          <w:p w14:paraId="3DFA745F" w14:textId="77777777" w:rsidR="0025405E" w:rsidRDefault="0025405E"/>
        </w:tc>
      </w:tr>
      <w:tr w:rsidR="0025405E" w14:paraId="0EA9BDA2" w14:textId="77777777">
        <w:trPr>
          <w:jc w:val="center"/>
        </w:trPr>
        <w:tc>
          <w:tcPr>
            <w:tcW w:w="2160" w:type="dxa"/>
            <w:vAlign w:val="center"/>
          </w:tcPr>
          <w:p w14:paraId="17E5B034" w14:textId="77777777" w:rsidR="0025405E" w:rsidRDefault="007D1863">
            <w:r>
              <w:t>3 providers vs 2 providers</w:t>
            </w:r>
          </w:p>
        </w:tc>
        <w:tc>
          <w:tcPr>
            <w:tcW w:w="2160" w:type="dxa"/>
            <w:vAlign w:val="center"/>
          </w:tcPr>
          <w:p w14:paraId="61A583DE" w14:textId="77777777" w:rsidR="0025405E" w:rsidRDefault="007D1863">
            <w:r>
              <w:t>0.81</w:t>
            </w:r>
          </w:p>
        </w:tc>
        <w:tc>
          <w:tcPr>
            <w:tcW w:w="2160" w:type="dxa"/>
            <w:vAlign w:val="center"/>
          </w:tcPr>
          <w:p w14:paraId="25C0D8B5" w14:textId="77777777" w:rsidR="0025405E" w:rsidRDefault="007D1863">
            <w:r>
              <w:t>0.53–1.22</w:t>
            </w:r>
          </w:p>
        </w:tc>
        <w:tc>
          <w:tcPr>
            <w:tcW w:w="2160" w:type="dxa"/>
            <w:vAlign w:val="center"/>
          </w:tcPr>
          <w:p w14:paraId="7246514C" w14:textId="77777777" w:rsidR="0025405E" w:rsidRDefault="007D1863">
            <w:r>
              <w:t>0.328</w:t>
            </w:r>
          </w:p>
        </w:tc>
      </w:tr>
      <w:tr w:rsidR="0025405E" w14:paraId="03A8F4E4" w14:textId="77777777">
        <w:trPr>
          <w:jc w:val="center"/>
        </w:trPr>
        <w:tc>
          <w:tcPr>
            <w:tcW w:w="2160" w:type="dxa"/>
            <w:vAlign w:val="center"/>
          </w:tcPr>
          <w:p w14:paraId="20DCAE6B" w14:textId="77777777" w:rsidR="0025405E" w:rsidRDefault="007D1863">
            <w:r>
              <w:t>≥4 providers vs 2 providers</w:t>
            </w:r>
          </w:p>
        </w:tc>
        <w:tc>
          <w:tcPr>
            <w:tcW w:w="2160" w:type="dxa"/>
            <w:vAlign w:val="center"/>
          </w:tcPr>
          <w:p w14:paraId="4D1C0C0C" w14:textId="77777777" w:rsidR="0025405E" w:rsidRDefault="007D1863">
            <w:r>
              <w:t>1.34</w:t>
            </w:r>
          </w:p>
        </w:tc>
        <w:tc>
          <w:tcPr>
            <w:tcW w:w="2160" w:type="dxa"/>
            <w:vAlign w:val="center"/>
          </w:tcPr>
          <w:p w14:paraId="480705A5" w14:textId="77777777" w:rsidR="0025405E" w:rsidRDefault="007D1863">
            <w:r>
              <w:t>0.78–2.25</w:t>
            </w:r>
          </w:p>
        </w:tc>
        <w:tc>
          <w:tcPr>
            <w:tcW w:w="2160" w:type="dxa"/>
            <w:vAlign w:val="center"/>
          </w:tcPr>
          <w:p w14:paraId="50706A40" w14:textId="77777777" w:rsidR="0025405E" w:rsidRDefault="007D1863">
            <w:r>
              <w:t>0.276</w:t>
            </w:r>
          </w:p>
        </w:tc>
      </w:tr>
      <w:tr w:rsidR="0025405E" w14:paraId="2D822B0E" w14:textId="77777777">
        <w:trPr>
          <w:jc w:val="center"/>
        </w:trPr>
        <w:tc>
          <w:tcPr>
            <w:tcW w:w="2160" w:type="dxa"/>
            <w:vAlign w:val="center"/>
          </w:tcPr>
          <w:p w14:paraId="03C787ED" w14:textId="77777777" w:rsidR="0025405E" w:rsidRDefault="007D1863">
            <w:r>
              <w:t>Arrest cause: Trauma vs Medical</w:t>
            </w:r>
          </w:p>
        </w:tc>
        <w:tc>
          <w:tcPr>
            <w:tcW w:w="2160" w:type="dxa"/>
            <w:vAlign w:val="center"/>
          </w:tcPr>
          <w:p w14:paraId="18B65250" w14:textId="77777777" w:rsidR="0025405E" w:rsidRDefault="007D1863">
            <w:r>
              <w:t>1.05</w:t>
            </w:r>
          </w:p>
        </w:tc>
        <w:tc>
          <w:tcPr>
            <w:tcW w:w="2160" w:type="dxa"/>
            <w:vAlign w:val="center"/>
          </w:tcPr>
          <w:p w14:paraId="258077EB" w14:textId="77777777" w:rsidR="0025405E" w:rsidRDefault="007D1863">
            <w:r>
              <w:t>0.70–1.58</w:t>
            </w:r>
          </w:p>
        </w:tc>
        <w:tc>
          <w:tcPr>
            <w:tcW w:w="2160" w:type="dxa"/>
            <w:vAlign w:val="center"/>
          </w:tcPr>
          <w:p w14:paraId="4C853655" w14:textId="77777777" w:rsidR="0025405E" w:rsidRDefault="007D1863">
            <w:r>
              <w:t>0.798</w:t>
            </w:r>
          </w:p>
        </w:tc>
      </w:tr>
      <w:tr w:rsidR="0025405E" w14:paraId="2F262C6B" w14:textId="77777777">
        <w:trPr>
          <w:jc w:val="center"/>
        </w:trPr>
        <w:tc>
          <w:tcPr>
            <w:tcW w:w="2160" w:type="dxa"/>
            <w:vAlign w:val="center"/>
          </w:tcPr>
          <w:p w14:paraId="75BA7932" w14:textId="77777777" w:rsidR="0025405E" w:rsidRDefault="007D1863">
            <w:r>
              <w:rPr>
                <w:b/>
              </w:rPr>
              <w:t>Model 3: Number of ALS providers</w:t>
            </w:r>
          </w:p>
        </w:tc>
        <w:tc>
          <w:tcPr>
            <w:tcW w:w="2160" w:type="dxa"/>
            <w:vAlign w:val="center"/>
          </w:tcPr>
          <w:p w14:paraId="0DC86D73" w14:textId="77777777" w:rsidR="0025405E" w:rsidRDefault="0025405E"/>
        </w:tc>
        <w:tc>
          <w:tcPr>
            <w:tcW w:w="2160" w:type="dxa"/>
            <w:vAlign w:val="center"/>
          </w:tcPr>
          <w:p w14:paraId="5D1B9909" w14:textId="77777777" w:rsidR="0025405E" w:rsidRDefault="0025405E"/>
        </w:tc>
        <w:tc>
          <w:tcPr>
            <w:tcW w:w="2160" w:type="dxa"/>
            <w:vAlign w:val="center"/>
          </w:tcPr>
          <w:p w14:paraId="06CADA52" w14:textId="77777777" w:rsidR="0025405E" w:rsidRDefault="0025405E"/>
        </w:tc>
      </w:tr>
      <w:tr w:rsidR="0025405E" w14:paraId="3375B884" w14:textId="77777777">
        <w:trPr>
          <w:jc w:val="center"/>
        </w:trPr>
        <w:tc>
          <w:tcPr>
            <w:tcW w:w="2160" w:type="dxa"/>
            <w:vAlign w:val="center"/>
          </w:tcPr>
          <w:p w14:paraId="6682DA4A" w14:textId="77777777" w:rsidR="0025405E" w:rsidRDefault="007D1863">
            <w:r>
              <w:t>Each additional ALS provider</w:t>
            </w:r>
          </w:p>
        </w:tc>
        <w:tc>
          <w:tcPr>
            <w:tcW w:w="2160" w:type="dxa"/>
            <w:vAlign w:val="center"/>
          </w:tcPr>
          <w:p w14:paraId="44FD256B" w14:textId="77777777" w:rsidR="0025405E" w:rsidRDefault="007D1863">
            <w:r>
              <w:t>1.20</w:t>
            </w:r>
          </w:p>
        </w:tc>
        <w:tc>
          <w:tcPr>
            <w:tcW w:w="2160" w:type="dxa"/>
            <w:vAlign w:val="center"/>
          </w:tcPr>
          <w:p w14:paraId="3E916039" w14:textId="77777777" w:rsidR="0025405E" w:rsidRDefault="007D1863">
            <w:r>
              <w:t>1.00–1.44</w:t>
            </w:r>
          </w:p>
        </w:tc>
        <w:tc>
          <w:tcPr>
            <w:tcW w:w="2160" w:type="dxa"/>
            <w:vAlign w:val="center"/>
          </w:tcPr>
          <w:p w14:paraId="6A254930" w14:textId="77777777" w:rsidR="0025405E" w:rsidRDefault="007D1863">
            <w:r>
              <w:t>0.054</w:t>
            </w:r>
          </w:p>
        </w:tc>
      </w:tr>
      <w:tr w:rsidR="0025405E" w14:paraId="4CEB037E" w14:textId="77777777">
        <w:trPr>
          <w:jc w:val="center"/>
        </w:trPr>
        <w:tc>
          <w:tcPr>
            <w:tcW w:w="2160" w:type="dxa"/>
            <w:vAlign w:val="center"/>
          </w:tcPr>
          <w:p w14:paraId="46346004" w14:textId="77777777" w:rsidR="0025405E" w:rsidRDefault="007D1863">
            <w:r>
              <w:t>Arrest cause: Trauma vs Medical</w:t>
            </w:r>
          </w:p>
        </w:tc>
        <w:tc>
          <w:tcPr>
            <w:tcW w:w="2160" w:type="dxa"/>
            <w:vAlign w:val="center"/>
          </w:tcPr>
          <w:p w14:paraId="62545EE7" w14:textId="77777777" w:rsidR="0025405E" w:rsidRDefault="007D1863">
            <w:r>
              <w:t>1.06</w:t>
            </w:r>
          </w:p>
        </w:tc>
        <w:tc>
          <w:tcPr>
            <w:tcW w:w="2160" w:type="dxa"/>
            <w:vAlign w:val="center"/>
          </w:tcPr>
          <w:p w14:paraId="59C9C1DF" w14:textId="77777777" w:rsidR="0025405E" w:rsidRDefault="007D1863">
            <w:r>
              <w:t>0.70–1.58</w:t>
            </w:r>
          </w:p>
        </w:tc>
        <w:tc>
          <w:tcPr>
            <w:tcW w:w="2160" w:type="dxa"/>
            <w:vAlign w:val="center"/>
          </w:tcPr>
          <w:p w14:paraId="2C1F6ED1" w14:textId="77777777" w:rsidR="0025405E" w:rsidRDefault="007D1863">
            <w:r>
              <w:t>0.778</w:t>
            </w:r>
          </w:p>
        </w:tc>
      </w:tr>
    </w:tbl>
    <w:p w14:paraId="6EF1E21F" w14:textId="77777777" w:rsidR="0025405E" w:rsidRDefault="0025405E"/>
    <w:p w14:paraId="507CA7F0" w14:textId="77777777" w:rsidR="0025405E" w:rsidRDefault="007D1863">
      <w:r>
        <w:t>Notes: OR = odds ratio; CI = confidence interval; ALS = advanced life support. Models were adjusted for the staffing variable specified for each model, age, sex, EMS response time, initial rhythm categorized as shockable versus non-shockable, and arrest cause. Arrest cause was categorized as medical or trauma. The primary models were not replaced by these sensitivity analyses.</w:t>
      </w:r>
    </w:p>
    <w:p w14:paraId="59437296" w14:textId="77777777" w:rsidR="0025405E" w:rsidRDefault="007D1863">
      <w:pPr>
        <w:pStyle w:val="Heading2"/>
      </w:pPr>
      <w:r>
        <w:t>Supplementary Methods</w:t>
      </w:r>
    </w:p>
    <w:p w14:paraId="0B8FBA83" w14:textId="77777777" w:rsidR="0025405E" w:rsidRDefault="007D1863">
      <w:r>
        <w:t>To evaluate the potential influence of arrest etiology on the observed associations, three sensitivity analyses were performed using the same analytical cohort and model specifications as the primary analyses, with arrest cause additionally included as a covariate. Arrest cause was categorized as medical or trauma.</w:t>
      </w:r>
    </w:p>
    <w:p w14:paraId="23F2FB26" w14:textId="77777777" w:rsidR="0025405E" w:rsidRDefault="007D1863">
      <w:pPr>
        <w:pStyle w:val="Heading2"/>
      </w:pPr>
      <w:r>
        <w:t>Supplementary Results</w:t>
      </w:r>
    </w:p>
    <w:p w14:paraId="3B99A630" w14:textId="77777777" w:rsidR="0025405E" w:rsidRDefault="007D1863">
      <w:r>
        <w:t xml:space="preserve">Additional adjustment for arrest cause did not materially alter the findings for crew size or ALS provider count. In the crew-size model, three providers versus two providers had an adjusted OR of 0.81 (95% CI 0.53–1.22; P=0.328), while four or more providers versus two had an adjusted OR of 1.34 (95% CI 0.78–2.25; P=0.276). In the ALS-provider model, the </w:t>
      </w:r>
      <w:r>
        <w:lastRenderedPageBreak/>
        <w:t>adjusted OR per additional ALS provider remained 1.20 (95% CI 1.00–1.44; P=0.054). Arrest cause itself was not significantly associated with ROSC in either model.</w:t>
      </w:r>
    </w:p>
    <w:sectPr w:rsidR="0025405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906732">
    <w:abstractNumId w:val="8"/>
  </w:num>
  <w:num w:numId="2" w16cid:durableId="1223954088">
    <w:abstractNumId w:val="6"/>
  </w:num>
  <w:num w:numId="3" w16cid:durableId="99492810">
    <w:abstractNumId w:val="5"/>
  </w:num>
  <w:num w:numId="4" w16cid:durableId="1894078145">
    <w:abstractNumId w:val="4"/>
  </w:num>
  <w:num w:numId="5" w16cid:durableId="1280993740">
    <w:abstractNumId w:val="7"/>
  </w:num>
  <w:num w:numId="6" w16cid:durableId="773599925">
    <w:abstractNumId w:val="3"/>
  </w:num>
  <w:num w:numId="7" w16cid:durableId="892544156">
    <w:abstractNumId w:val="2"/>
  </w:num>
  <w:num w:numId="8" w16cid:durableId="1391004168">
    <w:abstractNumId w:val="1"/>
  </w:num>
  <w:num w:numId="9" w16cid:durableId="704908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405E"/>
    <w:rsid w:val="0029639D"/>
    <w:rsid w:val="00326F90"/>
    <w:rsid w:val="00524500"/>
    <w:rsid w:val="007D186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69875BF-05D2-7548-B3EC-8C21E7E56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ALHARBI</cp:lastModifiedBy>
  <cp:revision>2</cp:revision>
  <dcterms:created xsi:type="dcterms:W3CDTF">2026-09-08T22:09:00Z</dcterms:created>
  <dcterms:modified xsi:type="dcterms:W3CDTF">2026-09-08T22:09:00Z</dcterms:modified>
  <cp:category/>
</cp:coreProperties>
</file>