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4705" w:type="pct"/>
        <w:tblInd w:w="3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2349"/>
        <w:gridCol w:w="3305"/>
        <w:gridCol w:w="1884"/>
      </w:tblGrid>
      <w:tr w14:paraId="6360F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000" w:type="pct"/>
            <w:gridSpan w:val="4"/>
            <w:tcBorders>
              <w:top w:val="nil"/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</w:tcPr>
          <w:p w14:paraId="790C9F8C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Table S1 D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efin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ition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 xml:space="preserve">of 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variable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s.</w:t>
            </w:r>
          </w:p>
        </w:tc>
      </w:tr>
      <w:tr w14:paraId="2B8E1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3546FC3C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黑体" w:cs="Times New Roman"/>
                <w:b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No.</w:t>
            </w:r>
          </w:p>
        </w:tc>
        <w:tc>
          <w:tcPr>
            <w:tcW w:w="151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61AB41FB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黑体" w:cs="Times New Roman"/>
                <w:b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V</w:t>
            </w:r>
            <w:r>
              <w:rPr>
                <w:rFonts w:hint="default" w:ascii="Times New Roman" w:hAnsi="Times New Roman" w:eastAsia="黑体" w:cs="Times New Roman"/>
                <w:b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ariable</w:t>
            </w:r>
            <w:r>
              <w:rPr>
                <w:rFonts w:hint="default" w:ascii="Times New Roman" w:hAnsi="Times New Roman" w:eastAsia="黑体" w:cs="Times New Roman"/>
                <w:b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s</w:t>
            </w:r>
          </w:p>
        </w:tc>
        <w:tc>
          <w:tcPr>
            <w:tcW w:w="211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70E4F404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eastAsia="黑体" w:cs="Times New Roman"/>
                <w:b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epresents</w:t>
            </w:r>
          </w:p>
        </w:tc>
        <w:tc>
          <w:tcPr>
            <w:tcW w:w="122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44A47F3F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Variable Unit</w:t>
            </w:r>
          </w:p>
        </w:tc>
      </w:tr>
      <w:tr w14:paraId="2C683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60FB19F9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 xml:space="preserve">DEA input 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indicators </w:t>
            </w:r>
          </w:p>
        </w:tc>
      </w:tr>
      <w:tr w14:paraId="5C2B6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EBD6A7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F9DA2B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Clinical room usable area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FAA60F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the usable area of the fever clinic rooms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C15BD8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square meter</w:t>
            </w:r>
          </w:p>
        </w:tc>
      </w:tr>
      <w:tr w14:paraId="051B2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ACA2BE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D8B662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Hardware configuration amount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84690A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the cost of hardware configuration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, such as financial outlays for housing renovations and the purchase of equipment.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32F498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ten thousand yuan</w:t>
            </w:r>
          </w:p>
        </w:tc>
      </w:tr>
      <w:tr w14:paraId="48B49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15E636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A6A5D2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Total clinic operating days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FA57B0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the total number of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fever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clinic operating days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during 2024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FCA62C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number</w:t>
            </w:r>
          </w:p>
        </w:tc>
      </w:tr>
      <w:tr w14:paraId="10662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36C95D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C9F41B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Aggregate doctor working days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F207A6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the aggregate number of doctor working days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during 2024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74AE91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number</w:t>
            </w:r>
          </w:p>
        </w:tc>
      </w:tr>
      <w:tr w14:paraId="56397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CD39E7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D3C8AC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Aggregate nurse working days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48AC3A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the aggregate number of nurse working days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during 2024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04F05C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number</w:t>
            </w:r>
          </w:p>
        </w:tc>
      </w:tr>
      <w:tr w14:paraId="3D153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D3F663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BE2DFE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Number of pathogen antigen detection types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A7F483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the number of pathogen antigen detection types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available in fever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clinic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,including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 xml:space="preserve"> COVID-19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 xml:space="preserve"> Influenza A/B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>Mycoplasma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>Chlamydia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 xml:space="preserve"> Adenovirus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>Coxsackievirus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>Respiratory Syncytial Virus (RSV)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and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>Parainfluenza virus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65ABB8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number</w:t>
            </w:r>
          </w:p>
        </w:tc>
      </w:tr>
      <w:tr w14:paraId="2F74D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532E76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B4A1E2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Number of pathogen antibody detection types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198BDC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the number of pathogen antibody detection types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available in fever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clinic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including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>COVID-19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>, i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>nfluenza A/B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 xml:space="preserve"> Mycoplasma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 xml:space="preserve"> Chlamydia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 xml:space="preserve"> Adenovirus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>Coxsackievirus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>Respiratory Syncytial Virus (RSV)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>Parainfluenza virus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</w:rPr>
              <w:t>Streptococcus pneumoniae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1BC6B8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number</w:t>
            </w:r>
          </w:p>
        </w:tc>
      </w:tr>
      <w:tr w14:paraId="3DB87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90E1A0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 xml:space="preserve">DEA output 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indicators </w:t>
            </w:r>
          </w:p>
        </w:tc>
      </w:tr>
      <w:tr w14:paraId="48E9F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EAAD05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424FCB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otal visits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number 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CF42D3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the total number of visits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during 2024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4EA0C1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number</w:t>
            </w:r>
          </w:p>
        </w:tc>
      </w:tr>
      <w:tr w14:paraId="50FD1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B2988F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912EA3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otal number of confirmed SARS-CoV infections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C642D8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the total number of confirmed SARS-CoV infections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during 2024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E9BB02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number</w:t>
            </w:r>
          </w:p>
        </w:tc>
      </w:tr>
      <w:tr w14:paraId="290A7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AF4F80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815943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otal number of confirmed Flu A/Flu B infections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E80C54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the total number of confirmed Flu A/Flu B infections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during 2024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E98DDD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number</w:t>
            </w:r>
          </w:p>
        </w:tc>
      </w:tr>
      <w:tr w14:paraId="536B4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F1D164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264727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otal referrals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number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F5C92D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the total number of referrals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during 2024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(i.e., patients requiring transfer to higher-level hospitals)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4F9CE7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number</w:t>
            </w:r>
          </w:p>
        </w:tc>
      </w:tr>
      <w:tr w14:paraId="3D928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3A11E6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Tobit regression analysis of factors associated</w:t>
            </w:r>
          </w:p>
        </w:tc>
      </w:tr>
      <w:tr w14:paraId="773BF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059DA5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CB719D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Region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314DED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geographic region of the PHC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9A32F8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urban area or non-urban area</w:t>
            </w:r>
          </w:p>
        </w:tc>
      </w:tr>
      <w:tr w14:paraId="37A96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29835A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147D4D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Permanent population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97E5FB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 xml:space="preserve">registered population in the service area of 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the PHC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179BD3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ten thousand people</w:t>
            </w:r>
          </w:p>
        </w:tc>
      </w:tr>
      <w:tr w14:paraId="5C5D1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784F4A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FCA41B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PHC area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827169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he PHC service area in terms of land size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D33D9D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square kilometer</w:t>
            </w:r>
          </w:p>
        </w:tc>
      </w:tr>
      <w:tr w14:paraId="3E726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46D58B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3BFCD9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Building area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0F8FA5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Usable Area of the PHC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992D46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square meter</w:t>
            </w:r>
          </w:p>
        </w:tc>
      </w:tr>
      <w:tr w14:paraId="4C8C8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F7E237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8AB161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Clinic maintenance cost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0CD205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the cost of equipment maintenance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of fever clinic, exclusive of water, electricity, and gas consumption costs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F877F5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ten thousand yuan/ year</w:t>
            </w:r>
          </w:p>
        </w:tc>
      </w:tr>
      <w:tr w14:paraId="04E01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DC3FCF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93425D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Clinic staff replenishment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6E284E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supplemental pay for fever clinic staff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of fever clinic apart from salary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F25195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ten thousand yuan/ year</w:t>
            </w:r>
          </w:p>
        </w:tc>
      </w:tr>
      <w:tr w14:paraId="5D4FE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95ECF2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5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A910E4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X-ray machine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516D0A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the availability of DR X-ray equipment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within PHC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366189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yes or no</w:t>
            </w:r>
          </w:p>
        </w:tc>
      </w:tr>
      <w:tr w14:paraId="1998F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11F25545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51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4157F9EB">
            <w:pPr>
              <w:pStyle w:val="2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CT machine</w:t>
            </w:r>
          </w:p>
        </w:tc>
        <w:tc>
          <w:tcPr>
            <w:tcW w:w="211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5913C29C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the availability of CT equipment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within PHC</w:t>
            </w:r>
          </w:p>
        </w:tc>
        <w:tc>
          <w:tcPr>
            <w:tcW w:w="12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28CE3B02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yes or no</w:t>
            </w:r>
          </w:p>
        </w:tc>
      </w:tr>
      <w:bookmarkEnd w:id="0"/>
    </w:tbl>
    <w:p w14:paraId="6EBBB3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5F1B4D"/>
    <w:rsid w:val="3B3141FB"/>
    <w:rsid w:val="68E862E0"/>
    <w:rsid w:val="7CC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2026-08-02T11:43:30Z</dcterms:created>
  <dc:creator>Yun</dc:creator>
  <cp:lastModifiedBy>荣儿</cp:lastModifiedBy>
  <dcterms:modified xsi:type="dcterms:W3CDTF">2026-08-02T11:45:31Z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eyJoZGlkIjoiOTMzMWUzMzk4OGYyMDM2NTkyN2UzZjY2ZGFjMjJiNWMiLCJ1c2VySWQiOiI3MDY3MDU2NTkifQ==</vt:lpwstr>
  </property>
  <property fmtid="{D5CDD505-2E9C-101B-9397-08002B2CF9AE}" pid="4" name="ICV">
    <vt:lpwstr>E004ED0F7E4D4348A023CD14F75EC913_12</vt:lpwstr>
  </property>
</Properties>
</file>