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593" w:rsidRDefault="00AF7593" w:rsidP="00AF7593">
      <w:pPr>
        <w:autoSpaceDE w:val="0"/>
        <w:autoSpaceDN w:val="0"/>
        <w:adjustRightInd w:val="0"/>
        <w:spacing w:line="480" w:lineRule="auto"/>
        <w:rPr>
          <w:rFonts w:ascii="Arial" w:eastAsia="ArialMT" w:hAnsi="Arial" w:cs="Arial"/>
          <w:b/>
          <w:kern w:val="0"/>
          <w:sz w:val="22"/>
        </w:rPr>
      </w:pPr>
      <w:bookmarkStart w:id="0" w:name="_GoBack"/>
      <w:bookmarkEnd w:id="0"/>
      <w:r>
        <w:rPr>
          <w:rFonts w:ascii="Arial" w:hAnsi="Arial" w:cs="Arial"/>
          <w:b/>
          <w:kern w:val="0"/>
          <w:sz w:val="22"/>
        </w:rPr>
        <w:t>Additional</w:t>
      </w:r>
      <w:r>
        <w:rPr>
          <w:rFonts w:ascii="Arial" w:hAnsi="Arial" w:cs="Arial" w:hint="eastAsia"/>
          <w:b/>
          <w:kern w:val="0"/>
          <w:sz w:val="22"/>
        </w:rPr>
        <w:t xml:space="preserve"> </w:t>
      </w:r>
      <w:r>
        <w:rPr>
          <w:rFonts w:ascii="Arial" w:eastAsia="ArialMT" w:hAnsi="Arial" w:cs="Arial"/>
          <w:b/>
          <w:kern w:val="0"/>
          <w:sz w:val="22"/>
        </w:rPr>
        <w:t xml:space="preserve">File 1: </w:t>
      </w:r>
    </w:p>
    <w:p w:rsidR="00AF7593" w:rsidRDefault="00AF7593" w:rsidP="00AF7593">
      <w:pPr>
        <w:autoSpaceDE w:val="0"/>
        <w:autoSpaceDN w:val="0"/>
        <w:adjustRightInd w:val="0"/>
        <w:spacing w:line="480" w:lineRule="auto"/>
        <w:rPr>
          <w:rFonts w:ascii="Arial" w:hAnsi="Arial" w:cs="Arial"/>
          <w:kern w:val="0"/>
          <w:sz w:val="22"/>
        </w:rPr>
      </w:pPr>
      <w:r>
        <w:rPr>
          <w:rFonts w:ascii="Arial" w:eastAsia="ArialMT" w:hAnsi="Arial" w:cs="Arial"/>
          <w:kern w:val="0"/>
          <w:sz w:val="22"/>
        </w:rPr>
        <w:t>Supplementary Figures and Legends S1-S16</w:t>
      </w:r>
    </w:p>
    <w:p w:rsidR="00AF7593" w:rsidRDefault="00AF7593" w:rsidP="00AF7593">
      <w:pPr>
        <w:autoSpaceDE w:val="0"/>
        <w:autoSpaceDN w:val="0"/>
        <w:adjustRightInd w:val="0"/>
        <w:spacing w:line="480" w:lineRule="auto"/>
        <w:rPr>
          <w:rFonts w:ascii="Arial" w:hAnsi="Arial" w:cs="Arial"/>
          <w:kern w:val="0"/>
          <w:sz w:val="22"/>
        </w:rPr>
      </w:pPr>
      <w:r>
        <w:rPr>
          <w:rFonts w:ascii="Arial" w:eastAsia="ArialMT" w:hAnsi="Arial" w:cs="Arial"/>
          <w:kern w:val="0"/>
          <w:sz w:val="22"/>
        </w:rPr>
        <w:t xml:space="preserve">Supplementary </w:t>
      </w:r>
      <w:r>
        <w:rPr>
          <w:rFonts w:ascii="Arial" w:hAnsi="Arial" w:cs="Arial" w:hint="eastAsia"/>
          <w:kern w:val="0"/>
          <w:sz w:val="22"/>
        </w:rPr>
        <w:t xml:space="preserve">Tables </w:t>
      </w:r>
      <w:r>
        <w:rPr>
          <w:rFonts w:ascii="Arial" w:eastAsia="ArialMT" w:hAnsi="Arial" w:cs="Arial"/>
          <w:kern w:val="0"/>
          <w:sz w:val="22"/>
        </w:rPr>
        <w:t xml:space="preserve">S1 </w:t>
      </w:r>
      <w:r>
        <w:rPr>
          <w:rFonts w:ascii="Arial" w:hAnsi="Arial" w:cs="Arial" w:hint="eastAsia"/>
          <w:kern w:val="0"/>
          <w:sz w:val="22"/>
        </w:rPr>
        <w:t xml:space="preserve">and </w:t>
      </w:r>
      <w:r>
        <w:rPr>
          <w:rFonts w:ascii="Arial" w:hAnsi="Arial" w:cs="Arial"/>
          <w:kern w:val="0"/>
          <w:sz w:val="22"/>
        </w:rPr>
        <w:t>S</w:t>
      </w:r>
      <w:r>
        <w:rPr>
          <w:rFonts w:ascii="Arial" w:eastAsia="ArialMT" w:hAnsi="Arial" w:cs="Arial"/>
          <w:kern w:val="0"/>
          <w:sz w:val="22"/>
        </w:rPr>
        <w:t>3</w:t>
      </w:r>
    </w:p>
    <w:p w:rsidR="00CB7A79" w:rsidRDefault="00CB7A79">
      <w:pPr>
        <w:spacing w:line="480" w:lineRule="auto"/>
        <w:rPr>
          <w:rFonts w:ascii="Arial" w:eastAsia="Arial-BoldMT" w:hAnsi="Arial" w:cs="Arial"/>
          <w:b/>
          <w:bCs/>
          <w:kern w:val="0"/>
          <w:sz w:val="22"/>
        </w:rPr>
      </w:pPr>
    </w:p>
    <w:p w:rsidR="00CB7A79" w:rsidRDefault="008502F3">
      <w:pPr>
        <w:spacing w:line="480" w:lineRule="auto"/>
        <w:jc w:val="left"/>
        <w:rPr>
          <w:rFonts w:ascii="Arial" w:hAnsi="Arial" w:cs="Arial"/>
          <w:b/>
          <w:sz w:val="24"/>
        </w:rPr>
      </w:pPr>
      <w:r>
        <w:rPr>
          <w:rFonts w:ascii="Arial" w:hAnsi="Arial" w:cs="Arial"/>
          <w:b/>
          <w:sz w:val="24"/>
        </w:rPr>
        <w:t>Biological and</w:t>
      </w:r>
      <w:r>
        <w:rPr>
          <w:rFonts w:ascii="Arial" w:hAnsi="Arial" w:cs="Arial" w:hint="eastAsia"/>
          <w:b/>
          <w:sz w:val="24"/>
        </w:rPr>
        <w:t xml:space="preserve"> </w:t>
      </w:r>
      <w:r>
        <w:rPr>
          <w:rFonts w:ascii="Arial" w:hAnsi="Arial" w:cs="Arial"/>
          <w:b/>
          <w:sz w:val="24"/>
        </w:rPr>
        <w:t>RNA Regulatory</w:t>
      </w:r>
      <w:r>
        <w:rPr>
          <w:rFonts w:ascii="Arial" w:hAnsi="Arial" w:cs="Arial" w:hint="eastAsia"/>
          <w:b/>
          <w:sz w:val="24"/>
        </w:rPr>
        <w:t xml:space="preserve"> </w:t>
      </w:r>
      <w:r>
        <w:rPr>
          <w:rFonts w:ascii="Arial" w:hAnsi="Arial" w:cs="Arial"/>
          <w:b/>
          <w:sz w:val="24"/>
        </w:rPr>
        <w:t>Function</w:t>
      </w:r>
      <w:r>
        <w:rPr>
          <w:rFonts w:ascii="Arial" w:hAnsi="Arial" w:cs="Arial" w:hint="eastAsia"/>
          <w:b/>
          <w:sz w:val="24"/>
        </w:rPr>
        <w:t xml:space="preserve"> of MOV10 in Mammalian Germ Cells</w:t>
      </w:r>
    </w:p>
    <w:p w:rsidR="00CB7A79" w:rsidRDefault="008502F3">
      <w:pPr>
        <w:autoSpaceDE w:val="0"/>
        <w:autoSpaceDN w:val="0"/>
        <w:adjustRightInd w:val="0"/>
        <w:spacing w:line="480" w:lineRule="auto"/>
        <w:rPr>
          <w:rFonts w:ascii="Arial" w:hAnsi="Arial" w:cs="Arial"/>
          <w:sz w:val="22"/>
          <w:vertAlign w:val="superscript"/>
        </w:rPr>
      </w:pPr>
      <w:r>
        <w:rPr>
          <w:rFonts w:ascii="Arial" w:hAnsi="Arial" w:cs="Arial" w:hint="eastAsia"/>
          <w:sz w:val="22"/>
        </w:rPr>
        <w:t>Kaiqiang Fu</w:t>
      </w:r>
      <w:r>
        <w:rPr>
          <w:rFonts w:ascii="Arial" w:hAnsi="Arial" w:cs="Arial" w:hint="eastAsia"/>
          <w:sz w:val="22"/>
          <w:vertAlign w:val="superscript"/>
        </w:rPr>
        <w:t>1,</w:t>
      </w:r>
      <w:r>
        <w:rPr>
          <w:rFonts w:ascii="Arial" w:hAnsi="Arial" w:cs="Arial"/>
          <w:sz w:val="22"/>
          <w:vertAlign w:val="superscript"/>
        </w:rPr>
        <w:t>6</w:t>
      </w:r>
      <w:r>
        <w:rPr>
          <w:rFonts w:ascii="Arial" w:hAnsi="Arial" w:cs="Arial" w:hint="eastAsia"/>
          <w:sz w:val="22"/>
        </w:rPr>
        <w:t>, Suwen Tian</w:t>
      </w:r>
      <w:r>
        <w:rPr>
          <w:rFonts w:ascii="Arial" w:hAnsi="Arial" w:cs="Arial"/>
          <w:sz w:val="22"/>
          <w:vertAlign w:val="superscript"/>
        </w:rPr>
        <w:t>2,1,6</w:t>
      </w:r>
      <w:r>
        <w:rPr>
          <w:rFonts w:ascii="Arial" w:hAnsi="Arial" w:cs="Arial" w:hint="eastAsia"/>
          <w:sz w:val="22"/>
        </w:rPr>
        <w:t xml:space="preserve">, </w:t>
      </w:r>
      <w:r>
        <w:rPr>
          <w:rFonts w:ascii="Arial" w:hAnsi="Arial" w:cs="Arial"/>
          <w:sz w:val="22"/>
        </w:rPr>
        <w:t>Huanhuan Tan</w:t>
      </w:r>
      <w:r>
        <w:rPr>
          <w:rFonts w:ascii="Arial" w:hAnsi="Arial" w:cs="Arial" w:hint="eastAsia"/>
          <w:sz w:val="22"/>
          <w:vertAlign w:val="superscript"/>
        </w:rPr>
        <w:t>1</w:t>
      </w:r>
      <w:r>
        <w:rPr>
          <w:rFonts w:ascii="Arial" w:hAnsi="Arial" w:cs="Arial"/>
          <w:sz w:val="22"/>
          <w:vertAlign w:val="superscript"/>
        </w:rPr>
        <w:t>,6</w:t>
      </w:r>
      <w:r>
        <w:rPr>
          <w:rFonts w:ascii="Arial" w:hAnsi="Arial" w:cs="Arial" w:hint="eastAsia"/>
          <w:sz w:val="22"/>
        </w:rPr>
        <w:t xml:space="preserve">, </w:t>
      </w:r>
      <w:r>
        <w:rPr>
          <w:rFonts w:ascii="Arial" w:hAnsi="Arial" w:cs="Arial"/>
          <w:sz w:val="22"/>
        </w:rPr>
        <w:t>Caifeng Wang</w:t>
      </w:r>
      <w:r>
        <w:rPr>
          <w:rFonts w:ascii="Arial" w:hAnsi="Arial" w:cs="Arial" w:hint="eastAsia"/>
          <w:sz w:val="22"/>
          <w:vertAlign w:val="superscript"/>
        </w:rPr>
        <w:t>1</w:t>
      </w:r>
      <w:r>
        <w:rPr>
          <w:rFonts w:ascii="Arial" w:hAnsi="Arial" w:cs="Arial"/>
          <w:sz w:val="22"/>
          <w:vertAlign w:val="superscript"/>
        </w:rPr>
        <w:t>,6</w:t>
      </w:r>
      <w:r>
        <w:rPr>
          <w:rFonts w:ascii="Arial" w:hAnsi="Arial" w:cs="Arial"/>
          <w:sz w:val="22"/>
        </w:rPr>
        <w:t xml:space="preserve">, </w:t>
      </w:r>
      <w:r>
        <w:rPr>
          <w:rFonts w:ascii="Arial" w:hAnsi="Arial" w:cs="Arial" w:hint="eastAsia"/>
          <w:sz w:val="22"/>
        </w:rPr>
        <w:t>Hanben Wang</w:t>
      </w:r>
      <w:r>
        <w:rPr>
          <w:rFonts w:ascii="Arial" w:hAnsi="Arial" w:cs="Arial" w:hint="eastAsia"/>
          <w:sz w:val="22"/>
          <w:vertAlign w:val="superscript"/>
        </w:rPr>
        <w:t>1,</w:t>
      </w:r>
      <w:r>
        <w:rPr>
          <w:rFonts w:ascii="Arial" w:hAnsi="Arial" w:cs="Arial"/>
          <w:sz w:val="22"/>
          <w:vertAlign w:val="superscript"/>
        </w:rPr>
        <w:t>6</w:t>
      </w:r>
      <w:r>
        <w:rPr>
          <w:rFonts w:ascii="Arial" w:hAnsi="Arial" w:cs="Arial" w:hint="eastAsia"/>
          <w:sz w:val="22"/>
        </w:rPr>
        <w:t>, Min Wang</w:t>
      </w:r>
      <w:r>
        <w:rPr>
          <w:rFonts w:ascii="Arial" w:hAnsi="Arial" w:cs="Arial"/>
          <w:sz w:val="22"/>
          <w:vertAlign w:val="superscript"/>
        </w:rPr>
        <w:t>1</w:t>
      </w:r>
      <w:r>
        <w:rPr>
          <w:rFonts w:ascii="Arial" w:hAnsi="Arial" w:cs="Arial" w:hint="eastAsia"/>
          <w:sz w:val="22"/>
        </w:rPr>
        <w:t>,</w:t>
      </w:r>
      <w:r>
        <w:rPr>
          <w:rFonts w:ascii="Arial" w:hAnsi="Arial" w:cs="Arial"/>
          <w:sz w:val="22"/>
        </w:rPr>
        <w:t xml:space="preserve"> Yuanyuan Wang</w:t>
      </w:r>
      <w:r>
        <w:rPr>
          <w:rFonts w:ascii="Arial" w:hAnsi="Arial" w:cs="Arial"/>
          <w:sz w:val="22"/>
          <w:vertAlign w:val="superscript"/>
        </w:rPr>
        <w:t>3</w:t>
      </w:r>
      <w:r>
        <w:rPr>
          <w:rFonts w:ascii="Arial" w:hAnsi="Arial" w:cs="Arial"/>
          <w:sz w:val="22"/>
        </w:rPr>
        <w:t>, Zhen Chen</w:t>
      </w:r>
      <w:r>
        <w:rPr>
          <w:rFonts w:ascii="Arial" w:hAnsi="Arial" w:cs="Arial"/>
          <w:sz w:val="22"/>
          <w:vertAlign w:val="superscript"/>
        </w:rPr>
        <w:t>4</w:t>
      </w:r>
      <w:r>
        <w:rPr>
          <w:rFonts w:ascii="Arial" w:hAnsi="Arial" w:cs="Arial"/>
          <w:sz w:val="22"/>
        </w:rPr>
        <w:t>, Yanfeng Wang</w:t>
      </w:r>
      <w:r>
        <w:rPr>
          <w:rFonts w:ascii="Arial" w:hAnsi="Arial" w:cs="Arial"/>
          <w:sz w:val="22"/>
          <w:vertAlign w:val="superscript"/>
        </w:rPr>
        <w:t>1</w:t>
      </w:r>
      <w:r>
        <w:rPr>
          <w:rFonts w:ascii="Arial" w:hAnsi="Arial" w:cs="Arial"/>
          <w:sz w:val="22"/>
        </w:rPr>
        <w:t xml:space="preserve">, </w:t>
      </w:r>
      <w:r>
        <w:rPr>
          <w:rFonts w:ascii="Arial" w:hAnsi="Arial" w:cs="Arial" w:hint="eastAsia"/>
          <w:sz w:val="22"/>
        </w:rPr>
        <w:t>Qiuling Yue</w:t>
      </w:r>
      <w:r>
        <w:rPr>
          <w:rFonts w:ascii="Arial" w:hAnsi="Arial" w:cs="Arial"/>
          <w:sz w:val="22"/>
          <w:vertAlign w:val="superscript"/>
        </w:rPr>
        <w:t>1</w:t>
      </w:r>
      <w:r>
        <w:rPr>
          <w:rFonts w:ascii="Arial" w:hAnsi="Arial" w:cs="Arial"/>
          <w:sz w:val="22"/>
        </w:rPr>
        <w:t>, Qiushi Xu</w:t>
      </w:r>
      <w:r>
        <w:rPr>
          <w:rFonts w:ascii="Arial" w:hAnsi="Arial" w:cs="Arial"/>
          <w:sz w:val="22"/>
          <w:vertAlign w:val="superscript"/>
        </w:rPr>
        <w:t>1</w:t>
      </w:r>
      <w:r>
        <w:rPr>
          <w:rFonts w:ascii="Arial" w:hAnsi="Arial" w:cs="Arial"/>
          <w:sz w:val="22"/>
        </w:rPr>
        <w:t>, Shuya Zhang</w:t>
      </w:r>
      <w:r>
        <w:rPr>
          <w:rFonts w:ascii="Arial" w:hAnsi="Arial" w:cs="Arial"/>
          <w:sz w:val="22"/>
          <w:vertAlign w:val="superscript"/>
        </w:rPr>
        <w:t>1</w:t>
      </w:r>
      <w:r>
        <w:rPr>
          <w:rFonts w:ascii="Arial" w:hAnsi="Arial" w:cs="Arial"/>
          <w:sz w:val="22"/>
        </w:rPr>
        <w:t xml:space="preserve">, </w:t>
      </w:r>
      <w:r>
        <w:rPr>
          <w:rFonts w:ascii="Arial" w:hAnsi="Arial" w:cs="Arial" w:hint="eastAsia"/>
          <w:sz w:val="22"/>
        </w:rPr>
        <w:t>Haixin Li</w:t>
      </w:r>
      <w:r>
        <w:rPr>
          <w:rFonts w:ascii="Arial" w:hAnsi="Arial" w:cs="Arial"/>
          <w:sz w:val="22"/>
          <w:vertAlign w:val="superscript"/>
        </w:rPr>
        <w:t>1</w:t>
      </w:r>
      <w:r>
        <w:rPr>
          <w:rFonts w:ascii="Arial" w:hAnsi="Arial" w:cs="Arial" w:hint="eastAsia"/>
          <w:sz w:val="22"/>
        </w:rPr>
        <w:t>,</w:t>
      </w:r>
      <w:r>
        <w:rPr>
          <w:rFonts w:ascii="Arial" w:hAnsi="Arial" w:cs="Arial"/>
          <w:sz w:val="22"/>
        </w:rPr>
        <w:t xml:space="preserve"> </w:t>
      </w:r>
      <w:r>
        <w:rPr>
          <w:rFonts w:ascii="Arial" w:hAnsi="Arial" w:cs="Arial" w:hint="eastAsia"/>
          <w:sz w:val="22"/>
        </w:rPr>
        <w:t>Jie Xie</w:t>
      </w:r>
      <w:r>
        <w:rPr>
          <w:rFonts w:ascii="Arial" w:hAnsi="Arial" w:cs="Arial"/>
          <w:sz w:val="22"/>
          <w:vertAlign w:val="superscript"/>
        </w:rPr>
        <w:t>1</w:t>
      </w:r>
      <w:r>
        <w:rPr>
          <w:rFonts w:ascii="Arial" w:hAnsi="Arial" w:cs="Arial" w:hint="eastAsia"/>
          <w:sz w:val="22"/>
        </w:rPr>
        <w:t xml:space="preserve">, </w:t>
      </w:r>
      <w:r>
        <w:rPr>
          <w:rFonts w:ascii="Arial" w:hAnsi="Arial" w:cs="Arial"/>
          <w:sz w:val="22"/>
        </w:rPr>
        <w:t>Mingyan Lin</w:t>
      </w:r>
      <w:r>
        <w:rPr>
          <w:rFonts w:ascii="Arial" w:hAnsi="Arial" w:cs="Arial"/>
          <w:sz w:val="22"/>
          <w:vertAlign w:val="superscript"/>
        </w:rPr>
        <w:t>3</w:t>
      </w:r>
      <w:r>
        <w:rPr>
          <w:rFonts w:ascii="Arial" w:hAnsi="Arial" w:cs="Arial"/>
          <w:sz w:val="22"/>
        </w:rPr>
        <w:t>, Mengcheng Luo</w:t>
      </w:r>
      <w:r>
        <w:rPr>
          <w:rFonts w:ascii="Arial" w:hAnsi="Arial" w:cs="Arial"/>
          <w:sz w:val="22"/>
          <w:vertAlign w:val="superscript"/>
        </w:rPr>
        <w:t>4</w:t>
      </w:r>
      <w:r>
        <w:rPr>
          <w:rFonts w:ascii="Arial" w:hAnsi="Arial" w:cs="Arial"/>
          <w:sz w:val="22"/>
        </w:rPr>
        <w:t>, Feng Chen</w:t>
      </w:r>
      <w:r>
        <w:rPr>
          <w:rFonts w:ascii="Arial" w:hAnsi="Arial" w:cs="Arial"/>
          <w:sz w:val="22"/>
          <w:vertAlign w:val="superscript"/>
        </w:rPr>
        <w:t>5</w:t>
      </w:r>
      <w:r>
        <w:rPr>
          <w:rFonts w:ascii="Arial" w:hAnsi="Arial" w:cs="Arial"/>
          <w:sz w:val="22"/>
        </w:rPr>
        <w:t xml:space="preserve">, </w:t>
      </w:r>
      <w:r>
        <w:rPr>
          <w:rFonts w:ascii="Arial" w:hAnsi="Arial" w:cs="Arial" w:hint="eastAsia"/>
          <w:sz w:val="22"/>
        </w:rPr>
        <w:t>Lan Ye</w:t>
      </w:r>
      <w:r>
        <w:rPr>
          <w:rFonts w:ascii="Arial" w:hAnsi="Arial" w:cs="Arial"/>
          <w:sz w:val="22"/>
          <w:vertAlign w:val="superscript"/>
        </w:rPr>
        <w:t>1</w:t>
      </w:r>
      <w:r>
        <w:rPr>
          <w:rFonts w:ascii="Arial" w:hAnsi="Arial" w:cs="Arial" w:hint="eastAsia"/>
          <w:sz w:val="22"/>
        </w:rPr>
        <w:t>, Ke Zheng</w:t>
      </w:r>
      <w:r>
        <w:rPr>
          <w:rFonts w:ascii="Arial" w:hAnsi="Arial" w:cs="Arial"/>
          <w:sz w:val="22"/>
          <w:vertAlign w:val="superscript"/>
        </w:rPr>
        <w:t>1</w:t>
      </w:r>
      <w:r>
        <w:rPr>
          <w:rFonts w:ascii="Arial" w:hAnsi="Arial" w:cs="Arial"/>
          <w:sz w:val="22"/>
        </w:rPr>
        <w:t>*</w:t>
      </w:r>
    </w:p>
    <w:p w:rsidR="00CB7A79" w:rsidRDefault="00CB7A79">
      <w:pPr>
        <w:autoSpaceDE w:val="0"/>
        <w:autoSpaceDN w:val="0"/>
        <w:adjustRightInd w:val="0"/>
        <w:spacing w:line="480" w:lineRule="auto"/>
        <w:rPr>
          <w:rFonts w:ascii="Arial" w:hAnsi="Arial" w:cs="Arial"/>
          <w:sz w:val="22"/>
        </w:rPr>
      </w:pPr>
    </w:p>
    <w:p w:rsidR="00CB7A79" w:rsidRDefault="008502F3">
      <w:pPr>
        <w:autoSpaceDE w:val="0"/>
        <w:autoSpaceDN w:val="0"/>
        <w:adjustRightInd w:val="0"/>
        <w:spacing w:line="480" w:lineRule="auto"/>
        <w:rPr>
          <w:rFonts w:ascii="Arial" w:hAnsi="Arial" w:cs="Arial"/>
          <w:sz w:val="22"/>
        </w:rPr>
      </w:pPr>
      <w:r>
        <w:rPr>
          <w:rFonts w:ascii="Arial" w:hAnsi="Arial" w:cs="Arial"/>
          <w:sz w:val="22"/>
          <w:vertAlign w:val="superscript"/>
        </w:rPr>
        <w:t>1</w:t>
      </w:r>
      <w:r>
        <w:rPr>
          <w:rFonts w:ascii="Arial" w:hAnsi="Arial" w:cs="Arial"/>
          <w:sz w:val="22"/>
        </w:rPr>
        <w:t>State Key Laboratory of Reproductive Medicine, Nanjing Medical</w:t>
      </w:r>
      <w:r>
        <w:rPr>
          <w:rFonts w:ascii="Arial" w:hAnsi="Arial" w:cs="Arial" w:hint="eastAsia"/>
          <w:sz w:val="22"/>
        </w:rPr>
        <w:t xml:space="preserve"> </w:t>
      </w:r>
      <w:r>
        <w:rPr>
          <w:rFonts w:ascii="Arial" w:hAnsi="Arial" w:cs="Arial"/>
          <w:sz w:val="22"/>
        </w:rPr>
        <w:t>University, Nanjing 211166,</w:t>
      </w:r>
      <w:r>
        <w:rPr>
          <w:rFonts w:ascii="Arial" w:hAnsi="Arial" w:cs="Arial" w:hint="eastAsia"/>
          <w:sz w:val="22"/>
        </w:rPr>
        <w:t xml:space="preserve"> </w:t>
      </w:r>
      <w:r>
        <w:rPr>
          <w:rFonts w:ascii="Arial" w:hAnsi="Arial" w:cs="Arial"/>
          <w:sz w:val="22"/>
        </w:rPr>
        <w:t>China</w:t>
      </w:r>
      <w:r>
        <w:rPr>
          <w:rFonts w:ascii="Arial" w:hAnsi="Arial" w:cs="Arial" w:hint="eastAsia"/>
          <w:sz w:val="22"/>
        </w:rPr>
        <w:t>;</w:t>
      </w:r>
    </w:p>
    <w:p w:rsidR="00CB7A79" w:rsidRDefault="008502F3">
      <w:pPr>
        <w:autoSpaceDE w:val="0"/>
        <w:autoSpaceDN w:val="0"/>
        <w:adjustRightInd w:val="0"/>
        <w:spacing w:line="480" w:lineRule="auto"/>
        <w:rPr>
          <w:rFonts w:ascii="Arial" w:hAnsi="Arial" w:cs="Arial"/>
          <w:sz w:val="22"/>
        </w:rPr>
      </w:pPr>
      <w:r>
        <w:rPr>
          <w:rFonts w:ascii="Arial" w:hAnsi="Arial" w:cs="Arial"/>
          <w:sz w:val="22"/>
          <w:vertAlign w:val="superscript"/>
        </w:rPr>
        <w:t>2</w:t>
      </w:r>
      <w:r>
        <w:rPr>
          <w:rFonts w:ascii="Arial" w:hAnsi="Arial" w:cs="Arial"/>
          <w:sz w:val="22"/>
        </w:rPr>
        <w:t>Department of Preventive Medicine, Heze Medical College, Heze 274000, China;</w:t>
      </w:r>
    </w:p>
    <w:p w:rsidR="00CB7A79" w:rsidRDefault="008502F3">
      <w:pPr>
        <w:autoSpaceDE w:val="0"/>
        <w:autoSpaceDN w:val="0"/>
        <w:adjustRightInd w:val="0"/>
        <w:spacing w:line="480" w:lineRule="auto"/>
        <w:rPr>
          <w:rFonts w:ascii="Arial" w:hAnsi="Arial" w:cs="Arial"/>
          <w:sz w:val="22"/>
        </w:rPr>
      </w:pPr>
      <w:r>
        <w:rPr>
          <w:rFonts w:ascii="Arial" w:hAnsi="Arial" w:cs="Arial"/>
          <w:sz w:val="22"/>
          <w:vertAlign w:val="superscript"/>
        </w:rPr>
        <w:t>3</w:t>
      </w:r>
      <w:r>
        <w:rPr>
          <w:rFonts w:ascii="Arial" w:hAnsi="Arial" w:cs="Arial"/>
          <w:sz w:val="22"/>
        </w:rPr>
        <w:t>School of Basic Medical Sciences, Nanjing Medical</w:t>
      </w:r>
      <w:r>
        <w:rPr>
          <w:rFonts w:ascii="Arial" w:hAnsi="Arial" w:cs="Arial" w:hint="eastAsia"/>
          <w:sz w:val="22"/>
        </w:rPr>
        <w:t xml:space="preserve"> </w:t>
      </w:r>
      <w:r>
        <w:rPr>
          <w:rFonts w:ascii="Arial" w:hAnsi="Arial" w:cs="Arial"/>
          <w:sz w:val="22"/>
        </w:rPr>
        <w:t>University, Nanjing 211166,</w:t>
      </w:r>
      <w:r>
        <w:rPr>
          <w:rFonts w:ascii="Arial" w:hAnsi="Arial" w:cs="Arial" w:hint="eastAsia"/>
          <w:sz w:val="22"/>
        </w:rPr>
        <w:t xml:space="preserve"> </w:t>
      </w:r>
      <w:r>
        <w:rPr>
          <w:rFonts w:ascii="Arial" w:hAnsi="Arial" w:cs="Arial"/>
          <w:sz w:val="22"/>
        </w:rPr>
        <w:t>China</w:t>
      </w:r>
      <w:r>
        <w:rPr>
          <w:rFonts w:ascii="Arial" w:hAnsi="Arial" w:cs="Arial" w:hint="eastAsia"/>
          <w:sz w:val="22"/>
        </w:rPr>
        <w:t>;</w:t>
      </w:r>
    </w:p>
    <w:p w:rsidR="00CB7A79" w:rsidRDefault="008502F3">
      <w:pPr>
        <w:autoSpaceDE w:val="0"/>
        <w:autoSpaceDN w:val="0"/>
        <w:adjustRightInd w:val="0"/>
        <w:spacing w:line="480" w:lineRule="auto"/>
        <w:rPr>
          <w:rFonts w:ascii="Arial" w:hAnsi="Arial" w:cs="Arial"/>
          <w:sz w:val="22"/>
        </w:rPr>
      </w:pPr>
      <w:r>
        <w:rPr>
          <w:rFonts w:ascii="Arial" w:hAnsi="Arial" w:cs="Arial"/>
          <w:sz w:val="22"/>
          <w:vertAlign w:val="superscript"/>
        </w:rPr>
        <w:t>4</w:t>
      </w:r>
      <w:r>
        <w:rPr>
          <w:rFonts w:ascii="Arial" w:hAnsi="Arial" w:cs="Arial"/>
          <w:sz w:val="22"/>
        </w:rPr>
        <w:t>School of Basic Medical Sciences, Wuhan University, Wuhan 430072, China;</w:t>
      </w:r>
    </w:p>
    <w:p w:rsidR="00CB7A79" w:rsidRDefault="008502F3">
      <w:pPr>
        <w:autoSpaceDE w:val="0"/>
        <w:autoSpaceDN w:val="0"/>
        <w:adjustRightInd w:val="0"/>
        <w:spacing w:line="480" w:lineRule="auto"/>
        <w:rPr>
          <w:rFonts w:ascii="Arial" w:hAnsi="Arial" w:cs="Arial"/>
          <w:sz w:val="22"/>
        </w:rPr>
      </w:pPr>
      <w:r>
        <w:rPr>
          <w:rFonts w:ascii="Arial" w:hAnsi="Arial" w:cs="Arial"/>
          <w:sz w:val="22"/>
          <w:vertAlign w:val="superscript"/>
        </w:rPr>
        <w:t>5</w:t>
      </w:r>
      <w:r>
        <w:rPr>
          <w:rFonts w:ascii="Arial" w:hAnsi="Arial" w:cs="Arial"/>
          <w:sz w:val="22"/>
        </w:rPr>
        <w:t>Department of Forensic Medicine, Nanjing Medical</w:t>
      </w:r>
      <w:r>
        <w:rPr>
          <w:rFonts w:ascii="Arial" w:hAnsi="Arial" w:cs="Arial" w:hint="eastAsia"/>
          <w:sz w:val="22"/>
        </w:rPr>
        <w:t xml:space="preserve"> </w:t>
      </w:r>
      <w:r>
        <w:rPr>
          <w:rFonts w:ascii="Arial" w:hAnsi="Arial" w:cs="Arial"/>
          <w:sz w:val="22"/>
        </w:rPr>
        <w:t>University, Nanjing 211166,</w:t>
      </w:r>
      <w:r>
        <w:rPr>
          <w:rFonts w:ascii="Arial" w:hAnsi="Arial" w:cs="Arial" w:hint="eastAsia"/>
          <w:sz w:val="22"/>
        </w:rPr>
        <w:t xml:space="preserve"> </w:t>
      </w:r>
      <w:r>
        <w:rPr>
          <w:rFonts w:ascii="Arial" w:hAnsi="Arial" w:cs="Arial"/>
          <w:sz w:val="22"/>
        </w:rPr>
        <w:t>China</w:t>
      </w:r>
      <w:r>
        <w:rPr>
          <w:rFonts w:ascii="Arial" w:hAnsi="Arial" w:cs="Arial" w:hint="eastAsia"/>
          <w:sz w:val="22"/>
        </w:rPr>
        <w:t>;</w:t>
      </w:r>
    </w:p>
    <w:p w:rsidR="00CB7A79" w:rsidRDefault="008502F3">
      <w:pPr>
        <w:autoSpaceDE w:val="0"/>
        <w:autoSpaceDN w:val="0"/>
        <w:adjustRightInd w:val="0"/>
        <w:spacing w:line="480" w:lineRule="auto"/>
        <w:rPr>
          <w:rFonts w:ascii="Arial" w:hAnsi="Arial" w:cs="Arial"/>
          <w:sz w:val="22"/>
        </w:rPr>
      </w:pPr>
      <w:r>
        <w:rPr>
          <w:rFonts w:ascii="Arial" w:hAnsi="Arial" w:cs="Arial"/>
          <w:sz w:val="22"/>
          <w:vertAlign w:val="superscript"/>
        </w:rPr>
        <w:t>6</w:t>
      </w:r>
      <w:r>
        <w:rPr>
          <w:rFonts w:ascii="Arial" w:hAnsi="Arial" w:cs="Arial"/>
          <w:sz w:val="22"/>
        </w:rPr>
        <w:t>These authors contributed equally to this work;</w:t>
      </w:r>
    </w:p>
    <w:p w:rsidR="00CB7A79" w:rsidRDefault="008502F3">
      <w:pPr>
        <w:autoSpaceDE w:val="0"/>
        <w:autoSpaceDN w:val="0"/>
        <w:adjustRightInd w:val="0"/>
        <w:spacing w:line="480" w:lineRule="auto"/>
        <w:rPr>
          <w:rStyle w:val="a9"/>
          <w:rFonts w:ascii="微软雅黑" w:eastAsia="微软雅黑" w:hAnsi="微软雅黑"/>
          <w:color w:val="000000"/>
          <w:sz w:val="22"/>
        </w:rPr>
      </w:pPr>
      <w:r>
        <w:rPr>
          <w:rFonts w:ascii="Arial" w:hAnsi="Arial" w:cs="Arial"/>
          <w:sz w:val="22"/>
        </w:rPr>
        <w:t>*Correspondence:</w:t>
      </w:r>
      <w:r>
        <w:rPr>
          <w:rFonts w:ascii="Arial" w:hAnsi="Arial" w:cs="Arial" w:hint="eastAsia"/>
          <w:sz w:val="22"/>
        </w:rPr>
        <w:t xml:space="preserve"> </w:t>
      </w:r>
      <w:hyperlink r:id="rId8" w:history="1">
        <w:r>
          <w:rPr>
            <w:rFonts w:ascii="Arial" w:hAnsi="Arial" w:cs="Arial"/>
            <w:sz w:val="22"/>
          </w:rPr>
          <w:t>kezheng@njmu.edu.cn</w:t>
        </w:r>
      </w:hyperlink>
      <w:r>
        <w:rPr>
          <w:rFonts w:ascii="Arial" w:hAnsi="Arial" w:cs="Arial"/>
          <w:sz w:val="22"/>
        </w:rPr>
        <w:t xml:space="preserve"> (KZ)</w:t>
      </w:r>
    </w:p>
    <w:p w:rsidR="00CB7A79" w:rsidRDefault="00CB7A79">
      <w:pPr>
        <w:autoSpaceDE w:val="0"/>
        <w:autoSpaceDN w:val="0"/>
        <w:adjustRightInd w:val="0"/>
        <w:spacing w:line="480" w:lineRule="auto"/>
        <w:rPr>
          <w:rFonts w:ascii="AdvTT9ae090ab" w:hAnsi="AdvTT9ae090ab" w:cs="AdvTT9ae090ab"/>
          <w:kern w:val="0"/>
          <w:sz w:val="22"/>
        </w:rPr>
      </w:pPr>
    </w:p>
    <w:p w:rsidR="00CB7A79" w:rsidRDefault="008502F3">
      <w:pPr>
        <w:autoSpaceDE w:val="0"/>
        <w:autoSpaceDN w:val="0"/>
        <w:adjustRightInd w:val="0"/>
        <w:spacing w:line="480" w:lineRule="auto"/>
        <w:rPr>
          <w:rFonts w:ascii="Arial" w:hAnsi="Arial" w:cs="Arial"/>
          <w:sz w:val="22"/>
        </w:rPr>
      </w:pPr>
      <w:r>
        <w:rPr>
          <w:rFonts w:ascii="Arial" w:hAnsi="Arial" w:cs="Arial"/>
          <w:sz w:val="22"/>
        </w:rPr>
        <w:t>Running title:</w:t>
      </w:r>
      <w:r>
        <w:rPr>
          <w:rFonts w:ascii="Arial" w:hAnsi="Arial" w:cs="Arial" w:hint="eastAsia"/>
          <w:sz w:val="22"/>
        </w:rPr>
        <w:t xml:space="preserve"> </w:t>
      </w:r>
      <w:r>
        <w:rPr>
          <w:rFonts w:ascii="Arial" w:hAnsi="Arial" w:cs="Arial"/>
          <w:sz w:val="22"/>
        </w:rPr>
        <w:t>MOV10 plays a critical role in male germline</w:t>
      </w:r>
    </w:p>
    <w:p w:rsidR="00CB7A79" w:rsidRDefault="00CB7A79">
      <w:pPr>
        <w:spacing w:line="480" w:lineRule="auto"/>
        <w:rPr>
          <w:rFonts w:ascii="Arial" w:hAnsi="Arial" w:cs="Arial"/>
          <w:color w:val="FF0000"/>
          <w:sz w:val="22"/>
        </w:rPr>
      </w:pPr>
    </w:p>
    <w:p w:rsidR="00CB7A79" w:rsidRDefault="00CB7A79">
      <w:pPr>
        <w:spacing w:line="480" w:lineRule="auto"/>
        <w:rPr>
          <w:rFonts w:ascii="Arial" w:hAnsi="Arial" w:cs="Arial"/>
          <w:color w:val="FF0000"/>
          <w:sz w:val="22"/>
        </w:rPr>
      </w:pPr>
    </w:p>
    <w:p w:rsidR="00CB7A79" w:rsidRDefault="00CB7A79">
      <w:pPr>
        <w:spacing w:line="480" w:lineRule="auto"/>
        <w:rPr>
          <w:rFonts w:ascii="Arial" w:hAnsi="Arial" w:cs="Arial"/>
          <w:color w:val="FF0000"/>
          <w:sz w:val="22"/>
        </w:rPr>
      </w:pPr>
    </w:p>
    <w:p w:rsidR="00CB7A79" w:rsidRDefault="00CB7A79">
      <w:pPr>
        <w:spacing w:line="480" w:lineRule="auto"/>
        <w:rPr>
          <w:rFonts w:ascii="Arial" w:hAnsi="Arial" w:cs="Arial"/>
          <w:color w:val="FF0000"/>
          <w:sz w:val="22"/>
        </w:rPr>
      </w:pPr>
    </w:p>
    <w:p w:rsidR="00CB7A79" w:rsidRDefault="00CB7A79">
      <w:pPr>
        <w:spacing w:line="480" w:lineRule="auto"/>
        <w:rPr>
          <w:rFonts w:ascii="Arial" w:hAnsi="Arial" w:cs="Arial"/>
          <w:color w:val="FF0000"/>
          <w:sz w:val="22"/>
        </w:rPr>
      </w:pPr>
    </w:p>
    <w:p w:rsidR="00CB7A79" w:rsidRDefault="00CB7A79">
      <w:pPr>
        <w:spacing w:line="480" w:lineRule="auto"/>
        <w:rPr>
          <w:rFonts w:ascii="Arial" w:hAnsi="Arial" w:cs="Arial"/>
          <w:color w:val="FF0000"/>
          <w:sz w:val="22"/>
        </w:rPr>
      </w:pPr>
    </w:p>
    <w:p w:rsidR="00CB7A79" w:rsidRDefault="00CB7A79">
      <w:pPr>
        <w:spacing w:line="480" w:lineRule="auto"/>
        <w:rPr>
          <w:rFonts w:ascii="Arial" w:hAnsi="Arial" w:cs="Arial"/>
          <w:sz w:val="22"/>
        </w:rPr>
      </w:pPr>
    </w:p>
    <w:p w:rsidR="00B32A5A" w:rsidRDefault="00B32A5A">
      <w:pPr>
        <w:spacing w:line="480" w:lineRule="auto"/>
        <w:rPr>
          <w:rFonts w:ascii="Arial" w:hAnsi="Arial" w:cs="Arial"/>
          <w:sz w:val="22"/>
        </w:rPr>
      </w:pPr>
    </w:p>
    <w:p w:rsidR="00CB7A79" w:rsidRDefault="008502F3">
      <w:pPr>
        <w:spacing w:line="480" w:lineRule="auto"/>
        <w:jc w:val="center"/>
        <w:rPr>
          <w:rFonts w:ascii="Arial" w:hAnsi="Arial" w:cs="Arial"/>
          <w:sz w:val="22"/>
        </w:rPr>
      </w:pPr>
      <w:r>
        <w:rPr>
          <w:noProof/>
        </w:rPr>
        <w:lastRenderedPageBreak/>
        <w:drawing>
          <wp:inline distT="0" distB="0" distL="0" distR="0">
            <wp:extent cx="6279515" cy="55448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6291606" cy="5555551"/>
                    </a:xfrm>
                    <a:prstGeom prst="rect">
                      <a:avLst/>
                    </a:prstGeom>
                  </pic:spPr>
                </pic:pic>
              </a:graphicData>
            </a:graphic>
          </wp:inline>
        </w:drawing>
      </w:r>
    </w:p>
    <w:p w:rsidR="00CB7A79" w:rsidRDefault="008502F3">
      <w:pPr>
        <w:spacing w:line="480" w:lineRule="auto"/>
        <w:rPr>
          <w:rStyle w:val="fontstyle01"/>
          <w:rFonts w:ascii="Arial" w:hAnsi="Arial" w:cs="Arial"/>
          <w:sz w:val="22"/>
          <w:szCs w:val="22"/>
        </w:rPr>
      </w:pPr>
      <w:r w:rsidRPr="00D800CC">
        <w:rPr>
          <w:rFonts w:ascii="Arial" w:eastAsia="ArialMT" w:hAnsi="Arial" w:cs="Arial"/>
          <w:b/>
          <w:kern w:val="0"/>
          <w:sz w:val="22"/>
        </w:rPr>
        <w:t>Figure S1.</w:t>
      </w:r>
      <w:r w:rsidRPr="007A00DF">
        <w:rPr>
          <w:rFonts w:ascii="Arial" w:eastAsia="ArialMT" w:hAnsi="Arial" w:cs="Arial"/>
          <w:kern w:val="0"/>
          <w:sz w:val="22"/>
        </w:rPr>
        <w:t xml:space="preserve"> MOV10 antibody validation.</w:t>
      </w:r>
      <w:r>
        <w:rPr>
          <w:rFonts w:ascii="Arial" w:hAnsi="Arial" w:cs="Arial"/>
          <w:kern w:val="0"/>
          <w:sz w:val="22"/>
        </w:rPr>
        <w:t xml:space="preserve"> </w:t>
      </w:r>
      <w:r>
        <w:rPr>
          <w:rFonts w:ascii="Arial" w:eastAsia="ArialMT" w:hAnsi="Arial" w:cs="Arial"/>
          <w:kern w:val="0"/>
          <w:sz w:val="22"/>
        </w:rPr>
        <w:t xml:space="preserve">(A and B) Western blot analysis of MOV10-immunoprecipitated complex from P10 mouse testis (A) and FLAG-MOV10-overexpressing HEK293T cells (B) using two commercial anti-MOV10 antibodies (from Abcam and Proteintech, respectively). The weak bands in control represent endogenous MOV10 in HEK293T cells. (C) Western blot detection of the FLAG-MOV10 fusion protein in FLAG-immunoprecipitated complex from FLAG-MOV10-overexpressing HEK293T cells using anti-FLAG and anti-MOV10. </w:t>
      </w:r>
      <w:r>
        <w:rPr>
          <w:rFonts w:ascii="Arial" w:eastAsia="宋体" w:hAnsi="Arial" w:cs="Arial"/>
          <w:bCs/>
          <w:iCs/>
          <w:color w:val="000000"/>
          <w:sz w:val="22"/>
        </w:rPr>
        <w:t>(D)</w:t>
      </w:r>
      <w:r>
        <w:rPr>
          <w:rFonts w:ascii="Arial" w:eastAsia="宋体" w:hAnsi="Arial" w:cs="Arial"/>
          <w:bCs/>
          <w:i/>
          <w:iCs/>
          <w:color w:val="000000"/>
          <w:sz w:val="22"/>
        </w:rPr>
        <w:t xml:space="preserve"> </w:t>
      </w:r>
      <w:r>
        <w:rPr>
          <w:rStyle w:val="fontstyle01"/>
          <w:rFonts w:ascii="Arial" w:hAnsi="Arial" w:cs="Arial"/>
          <w:sz w:val="22"/>
          <w:szCs w:val="22"/>
        </w:rPr>
        <w:t>Immunofluorescence of MOV10 in frozen</w:t>
      </w:r>
      <w:r>
        <w:rPr>
          <w:rStyle w:val="fontstyle01"/>
          <w:rFonts w:ascii="Arial" w:hAnsi="Arial" w:cs="Arial"/>
          <w:sz w:val="22"/>
        </w:rPr>
        <w:t xml:space="preserve"> section</w:t>
      </w:r>
      <w:r>
        <w:rPr>
          <w:rStyle w:val="fontstyle01"/>
          <w:rFonts w:ascii="Arial" w:hAnsi="Arial" w:cs="Arial"/>
          <w:sz w:val="22"/>
          <w:szCs w:val="22"/>
        </w:rPr>
        <w:t xml:space="preserve"> of</w:t>
      </w:r>
      <w:r>
        <w:rPr>
          <w:rStyle w:val="fontstyle01"/>
          <w:rFonts w:ascii="Arial" w:eastAsia="宋体" w:hAnsi="Arial" w:cs="Arial"/>
          <w:sz w:val="22"/>
          <w:szCs w:val="22"/>
        </w:rPr>
        <w:t xml:space="preserve"> </w:t>
      </w:r>
      <w:r>
        <w:rPr>
          <w:rStyle w:val="fontstyle01"/>
          <w:rFonts w:ascii="Arial" w:hAnsi="Arial" w:cs="Arial"/>
          <w:sz w:val="22"/>
          <w:szCs w:val="22"/>
        </w:rPr>
        <w:t xml:space="preserve">testes from E16.5 </w:t>
      </w:r>
      <w:r>
        <w:rPr>
          <w:rFonts w:ascii="Arial" w:eastAsia="宋体" w:hAnsi="Arial" w:cs="Arial"/>
          <w:bCs/>
          <w:iCs/>
          <w:color w:val="000000"/>
          <w:sz w:val="22"/>
        </w:rPr>
        <w:t>(</w:t>
      </w:r>
      <w:r>
        <w:rPr>
          <w:rFonts w:ascii="Arial" w:eastAsia="宋体" w:hAnsi="Arial" w:cs="Arial" w:hint="eastAsia"/>
          <w:bCs/>
          <w:iCs/>
          <w:color w:val="000000"/>
          <w:sz w:val="22"/>
        </w:rPr>
        <w:t>left</w:t>
      </w:r>
      <w:r>
        <w:rPr>
          <w:rFonts w:ascii="Arial" w:eastAsia="宋体" w:hAnsi="Arial" w:cs="Arial"/>
          <w:bCs/>
          <w:iCs/>
          <w:color w:val="000000"/>
          <w:sz w:val="22"/>
        </w:rPr>
        <w:t>)</w:t>
      </w:r>
      <w:r>
        <w:rPr>
          <w:rStyle w:val="fontstyle01"/>
          <w:rFonts w:ascii="Arial" w:hAnsi="Arial" w:cs="Arial"/>
          <w:sz w:val="22"/>
          <w:szCs w:val="22"/>
        </w:rPr>
        <w:t xml:space="preserve"> and P1 mice</w:t>
      </w:r>
      <w:r>
        <w:rPr>
          <w:rFonts w:ascii="Arial" w:eastAsia="宋体" w:hAnsi="Arial" w:cs="Arial"/>
          <w:bCs/>
          <w:iCs/>
          <w:color w:val="000000"/>
          <w:sz w:val="22"/>
        </w:rPr>
        <w:t xml:space="preserve"> (right)</w:t>
      </w:r>
      <w:r>
        <w:rPr>
          <w:rStyle w:val="fontstyle01"/>
          <w:rFonts w:ascii="Arial" w:hAnsi="Arial" w:cs="Arial"/>
          <w:sz w:val="22"/>
          <w:szCs w:val="22"/>
        </w:rPr>
        <w:t>.</w:t>
      </w:r>
      <w:r>
        <w:rPr>
          <w:rStyle w:val="fontstyle01"/>
          <w:rFonts w:ascii="Arial" w:hAnsi="Arial" w:cs="Arial"/>
          <w:sz w:val="22"/>
        </w:rPr>
        <w:t xml:space="preserve"> </w:t>
      </w:r>
      <w:r>
        <w:rPr>
          <w:rStyle w:val="fontstyle01"/>
          <w:rFonts w:ascii="Arial" w:hAnsi="Arial" w:cs="Arial"/>
          <w:sz w:val="22"/>
          <w:szCs w:val="22"/>
        </w:rPr>
        <w:t xml:space="preserve">DNA was counterstained with </w:t>
      </w:r>
      <w:r>
        <w:rPr>
          <w:rStyle w:val="fontstyle01"/>
          <w:rFonts w:ascii="Arial" w:hAnsi="Arial" w:cs="Arial"/>
          <w:sz w:val="22"/>
        </w:rPr>
        <w:t>DAPI.</w:t>
      </w:r>
      <w:r>
        <w:rPr>
          <w:rStyle w:val="fontstyle01"/>
          <w:rFonts w:ascii="Arial" w:hAnsi="Arial" w:cs="Arial"/>
          <w:sz w:val="22"/>
          <w:szCs w:val="22"/>
        </w:rPr>
        <w:t xml:space="preserve"> Scale bar, 20</w:t>
      </w:r>
      <w:r>
        <w:rPr>
          <w:rStyle w:val="fontstyle01"/>
          <w:rFonts w:ascii="Arial" w:hAnsi="Arial" w:cs="Arial"/>
          <w:sz w:val="22"/>
        </w:rPr>
        <w:t xml:space="preserve"> </w:t>
      </w:r>
      <w:r>
        <w:rPr>
          <w:rStyle w:val="fontstyle01"/>
          <w:rFonts w:ascii="Arial" w:hAnsi="Arial" w:cs="Arial"/>
          <w:sz w:val="22"/>
          <w:szCs w:val="22"/>
        </w:rPr>
        <w:t>μm.</w:t>
      </w:r>
    </w:p>
    <w:p w:rsidR="00CB7A79" w:rsidRDefault="008502F3">
      <w:pPr>
        <w:spacing w:line="480" w:lineRule="auto"/>
        <w:jc w:val="center"/>
        <w:rPr>
          <w:rFonts w:ascii="Arial" w:eastAsia="ArialMT" w:hAnsi="Arial" w:cs="Arial"/>
          <w:kern w:val="0"/>
          <w:sz w:val="22"/>
        </w:rPr>
      </w:pPr>
      <w:r>
        <w:rPr>
          <w:noProof/>
        </w:rPr>
        <w:lastRenderedPageBreak/>
        <w:drawing>
          <wp:inline distT="0" distB="0" distL="0" distR="0">
            <wp:extent cx="5285105" cy="47523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5285714" cy="4752381"/>
                    </a:xfrm>
                    <a:prstGeom prst="rect">
                      <a:avLst/>
                    </a:prstGeom>
                  </pic:spPr>
                </pic:pic>
              </a:graphicData>
            </a:graphic>
          </wp:inline>
        </w:drawing>
      </w:r>
    </w:p>
    <w:p w:rsidR="00CB7A79" w:rsidRDefault="008502F3">
      <w:pPr>
        <w:spacing w:line="480" w:lineRule="auto"/>
        <w:rPr>
          <w:rFonts w:ascii="Arial" w:eastAsia="ArialMT" w:hAnsi="Arial" w:cs="Arial"/>
          <w:kern w:val="0"/>
          <w:sz w:val="22"/>
        </w:rPr>
      </w:pPr>
      <w:r>
        <w:rPr>
          <w:rFonts w:ascii="Arial" w:eastAsia="ArialMT" w:hAnsi="Arial" w:cs="Arial"/>
          <w:b/>
          <w:kern w:val="0"/>
          <w:sz w:val="22"/>
        </w:rPr>
        <w:t xml:space="preserve">Figure S2. </w:t>
      </w:r>
      <w:r w:rsidRPr="00D800CC">
        <w:rPr>
          <w:rFonts w:ascii="Arial" w:eastAsia="ArialMT" w:hAnsi="Arial" w:cs="Arial"/>
          <w:kern w:val="0"/>
          <w:sz w:val="22"/>
        </w:rPr>
        <w:t>The purity of isolated cell populations.</w:t>
      </w:r>
      <w:r>
        <w:rPr>
          <w:rFonts w:ascii="Arial" w:eastAsia="ArialMT" w:hAnsi="Arial" w:cs="Arial"/>
          <w:kern w:val="0"/>
          <w:sz w:val="22"/>
        </w:rPr>
        <w:t xml:space="preserve"> </w:t>
      </w:r>
      <w:r>
        <w:rPr>
          <w:rFonts w:ascii="Arial" w:hAnsi="Arial" w:cs="Arial"/>
          <w:sz w:val="22"/>
        </w:rPr>
        <w:t>(</w:t>
      </w:r>
      <w:r>
        <w:rPr>
          <w:rFonts w:ascii="Arial" w:eastAsia="宋体" w:hAnsi="Arial" w:cs="Arial"/>
          <w:sz w:val="22"/>
        </w:rPr>
        <w:t>A</w:t>
      </w:r>
      <w:r>
        <w:rPr>
          <w:rFonts w:ascii="Arial" w:hAnsi="Arial" w:cs="Arial"/>
          <w:sz w:val="22"/>
        </w:rPr>
        <w:t>)</w:t>
      </w:r>
      <w:r>
        <w:rPr>
          <w:rFonts w:ascii="Arial" w:eastAsia="ArialMT" w:hAnsi="Arial" w:cs="Arial"/>
          <w:kern w:val="0"/>
          <w:sz w:val="22"/>
        </w:rPr>
        <w:t xml:space="preserve"> The purity of germ cells isolated from mouse testis was confirmed by observation of their morphology of spermatogonia (Spg); pachytene spermatocytes (PS); round spermatids (RS). Scale bars, 20 μm. </w:t>
      </w:r>
      <w:r>
        <w:rPr>
          <w:rFonts w:ascii="Arial" w:eastAsia="宋体" w:hAnsi="Arial" w:cs="Arial"/>
          <w:kern w:val="0"/>
          <w:sz w:val="22"/>
        </w:rPr>
        <w:t>(</w:t>
      </w:r>
      <w:r>
        <w:rPr>
          <w:rFonts w:ascii="Arial" w:eastAsia="ArialMT" w:hAnsi="Arial" w:cs="Arial"/>
          <w:kern w:val="0"/>
          <w:sz w:val="22"/>
        </w:rPr>
        <w:t>B) The expression of key marker gene was tested by RT-PCR to further validate their purity.</w:t>
      </w:r>
    </w:p>
    <w:p w:rsidR="00CB7A79" w:rsidRDefault="00600C4E">
      <w:pPr>
        <w:spacing w:line="480" w:lineRule="auto"/>
        <w:jc w:val="center"/>
        <w:rPr>
          <w:rFonts w:ascii="Arial" w:hAnsi="Arial" w:cs="Arial"/>
          <w:sz w:val="22"/>
        </w:rPr>
      </w:pPr>
      <w:r>
        <w:rPr>
          <w:rFonts w:ascii="Arial" w:hAnsi="Arial" w:cs="Arial"/>
          <w:noProof/>
          <w:sz w:val="22"/>
        </w:rPr>
        <w:lastRenderedPageBreak/>
        <w:drawing>
          <wp:inline distT="0" distB="0" distL="0" distR="0">
            <wp:extent cx="6108204" cy="7623064"/>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S2_MOV10 MOV10L1 homology.png"/>
                    <pic:cNvPicPr/>
                  </pic:nvPicPr>
                  <pic:blipFill>
                    <a:blip r:embed="rId11">
                      <a:extLst>
                        <a:ext uri="{28A0092B-C50C-407E-A947-70E740481C1C}">
                          <a14:useLocalDpi xmlns:a14="http://schemas.microsoft.com/office/drawing/2010/main" val="0"/>
                        </a:ext>
                      </a:extLst>
                    </a:blip>
                    <a:stretch>
                      <a:fillRect/>
                    </a:stretch>
                  </pic:blipFill>
                  <pic:spPr>
                    <a:xfrm>
                      <a:off x="0" y="0"/>
                      <a:ext cx="6108204" cy="7623064"/>
                    </a:xfrm>
                    <a:prstGeom prst="rect">
                      <a:avLst/>
                    </a:prstGeom>
                  </pic:spPr>
                </pic:pic>
              </a:graphicData>
            </a:graphic>
          </wp:inline>
        </w:drawing>
      </w:r>
      <w:r w:rsidR="008502F3">
        <w:rPr>
          <w:rFonts w:ascii="Arial" w:hAnsi="Arial" w:cs="Arial"/>
          <w:sz w:val="22"/>
        </w:rPr>
        <w:softHyphen/>
      </w:r>
      <w:r w:rsidR="008502F3">
        <w:rPr>
          <w:rFonts w:ascii="Arial" w:hAnsi="Arial" w:cs="Arial"/>
          <w:sz w:val="22"/>
        </w:rPr>
        <w:softHyphen/>
      </w:r>
      <w:r w:rsidR="008502F3">
        <w:rPr>
          <w:rFonts w:ascii="Arial" w:hAnsi="Arial" w:cs="Arial"/>
          <w:sz w:val="22"/>
        </w:rPr>
        <w:softHyphen/>
      </w:r>
    </w:p>
    <w:p w:rsidR="00600C4E" w:rsidRDefault="00600C4E">
      <w:pPr>
        <w:spacing w:line="480" w:lineRule="auto"/>
        <w:jc w:val="center"/>
        <w:rPr>
          <w:rFonts w:ascii="Arial" w:hAnsi="Arial" w:cs="Arial"/>
          <w:sz w:val="22"/>
        </w:rPr>
      </w:pPr>
    </w:p>
    <w:p w:rsidR="00CB7A79" w:rsidRDefault="008502F3">
      <w:pPr>
        <w:autoSpaceDE w:val="0"/>
        <w:autoSpaceDN w:val="0"/>
        <w:adjustRightInd w:val="0"/>
        <w:spacing w:line="480" w:lineRule="auto"/>
        <w:rPr>
          <w:rFonts w:ascii="Arial" w:hAnsi="Arial" w:cs="Arial"/>
          <w:sz w:val="22"/>
        </w:rPr>
      </w:pPr>
      <w:r>
        <w:rPr>
          <w:rFonts w:ascii="Arial" w:eastAsia="ArialMT" w:hAnsi="Arial" w:cs="Arial"/>
          <w:b/>
          <w:kern w:val="0"/>
          <w:sz w:val="22"/>
        </w:rPr>
        <w:lastRenderedPageBreak/>
        <w:t xml:space="preserve">Figure </w:t>
      </w:r>
      <w:r>
        <w:rPr>
          <w:rFonts w:ascii="Arial" w:hAnsi="Arial" w:cs="Arial" w:hint="eastAsia"/>
          <w:b/>
          <w:kern w:val="0"/>
          <w:sz w:val="22"/>
        </w:rPr>
        <w:t>S</w:t>
      </w:r>
      <w:r>
        <w:rPr>
          <w:rFonts w:ascii="Arial" w:eastAsia="ArialMT" w:hAnsi="Arial" w:cs="Arial"/>
          <w:b/>
          <w:kern w:val="0"/>
          <w:sz w:val="22"/>
        </w:rPr>
        <w:t>3</w:t>
      </w:r>
      <w:r>
        <w:rPr>
          <w:rFonts w:ascii="Arial" w:eastAsia="ArialMT" w:hAnsi="Arial" w:cs="Arial" w:hint="eastAsia"/>
          <w:b/>
          <w:kern w:val="0"/>
          <w:sz w:val="22"/>
        </w:rPr>
        <w:t>.</w:t>
      </w:r>
      <w:r>
        <w:rPr>
          <w:rFonts w:ascii="Arial" w:hAnsi="Arial" w:cs="Arial" w:hint="eastAsia"/>
          <w:b/>
          <w:kern w:val="0"/>
          <w:sz w:val="22"/>
        </w:rPr>
        <w:t xml:space="preserve"> </w:t>
      </w:r>
      <w:r w:rsidRPr="00D800CC">
        <w:rPr>
          <w:rFonts w:ascii="Arial" w:hAnsi="Arial" w:cs="Arial"/>
          <w:bCs/>
          <w:kern w:val="0"/>
          <w:sz w:val="22"/>
        </w:rPr>
        <w:t>Comparison of MOV10 and MOV10L1</w:t>
      </w:r>
      <w:r w:rsidRPr="00D800CC">
        <w:rPr>
          <w:rFonts w:ascii="Arial" w:eastAsia="ArialMT" w:hAnsi="Arial" w:cs="Arial"/>
          <w:kern w:val="0"/>
          <w:sz w:val="22"/>
        </w:rPr>
        <w:t>.</w:t>
      </w:r>
      <w:r>
        <w:rPr>
          <w:rFonts w:ascii="Arial" w:hAnsi="Arial" w:cs="Arial"/>
          <w:i/>
          <w:kern w:val="0"/>
          <w:sz w:val="22"/>
        </w:rPr>
        <w:t xml:space="preserve"> </w:t>
      </w:r>
      <w:r>
        <w:rPr>
          <w:rFonts w:ascii="Arial" w:hAnsi="Arial" w:cs="Arial"/>
          <w:sz w:val="22"/>
        </w:rPr>
        <w:t>(</w:t>
      </w:r>
      <w:r>
        <w:rPr>
          <w:rFonts w:ascii="Arial" w:eastAsia="宋体" w:hAnsi="Arial" w:cs="Arial"/>
          <w:sz w:val="22"/>
        </w:rPr>
        <w:t>A</w:t>
      </w:r>
      <w:r>
        <w:rPr>
          <w:rFonts w:ascii="Arial" w:hAnsi="Arial" w:cs="Arial"/>
          <w:sz w:val="22"/>
        </w:rPr>
        <w:t>)</w:t>
      </w:r>
      <w:r>
        <w:rPr>
          <w:rFonts w:ascii="Arial" w:eastAsia="宋体" w:hAnsi="Arial" w:cs="Arial"/>
          <w:sz w:val="22"/>
        </w:rPr>
        <w:t xml:space="preserve"> Schematic domain structure of MOV10 and MOV10L1. The blue and green boxes represent two RecA-like domains that form a helicase core that includes </w:t>
      </w:r>
      <w:r>
        <w:rPr>
          <w:rFonts w:ascii="Arial" w:hAnsi="Arial" w:cs="Arial"/>
          <w:sz w:val="22"/>
        </w:rPr>
        <w:t xml:space="preserve">the conserved N-terminal </w:t>
      </w:r>
      <w:r>
        <w:rPr>
          <w:rFonts w:ascii="Arial" w:eastAsia="宋体" w:hAnsi="Arial" w:cs="Arial"/>
          <w:sz w:val="22"/>
        </w:rPr>
        <w:t xml:space="preserve">Walker A and B sequence motifs for ATP binding and ATP hydrolysis. </w:t>
      </w:r>
      <w:r>
        <w:rPr>
          <w:rFonts w:ascii="Arial" w:hAnsi="Arial" w:cs="Arial"/>
          <w:sz w:val="22"/>
        </w:rPr>
        <w:t>(B)</w:t>
      </w:r>
      <w:r>
        <w:rPr>
          <w:rFonts w:ascii="Arial" w:eastAsia="宋体" w:hAnsi="Arial" w:cs="Arial"/>
          <w:sz w:val="22"/>
        </w:rPr>
        <w:t xml:space="preserve"> Sequence alignment of mouse MOV10 and MOV10L1. </w:t>
      </w:r>
      <w:r>
        <w:rPr>
          <w:rFonts w:ascii="Arial" w:hAnsi="Arial" w:cs="Arial"/>
          <w:sz w:val="22"/>
        </w:rPr>
        <w:t xml:space="preserve">We cloned the full length CDS of </w:t>
      </w:r>
      <w:r>
        <w:rPr>
          <w:rFonts w:ascii="Arial" w:hAnsi="Arial" w:cs="Arial"/>
          <w:i/>
          <w:sz w:val="22"/>
        </w:rPr>
        <w:t xml:space="preserve">Mov10l1 </w:t>
      </w:r>
      <w:r>
        <w:rPr>
          <w:rFonts w:ascii="Arial" w:hAnsi="Arial" w:cs="Arial"/>
          <w:sz w:val="22"/>
        </w:rPr>
        <w:t xml:space="preserve">(accession number: KY774831). The full length </w:t>
      </w:r>
      <w:r>
        <w:rPr>
          <w:rFonts w:ascii="Arial" w:hAnsi="Arial" w:cs="Arial"/>
          <w:i/>
          <w:sz w:val="22"/>
        </w:rPr>
        <w:t xml:space="preserve">Mov10l1 </w:t>
      </w:r>
      <w:r>
        <w:rPr>
          <w:rFonts w:ascii="Arial" w:hAnsi="Arial" w:cs="Arial"/>
          <w:sz w:val="22"/>
        </w:rPr>
        <w:t>gene spans 27 exons, and encodes 1239 aa with an extended N-terminus obtained from an EST sequence (BY706660). A short form has additionally been reported that consists of only 26 exons</w:t>
      </w:r>
      <w:r>
        <w:rPr>
          <w:rFonts w:ascii="Arial" w:hAnsi="Arial" w:cs="Arial" w:hint="eastAsia"/>
          <w:sz w:val="22"/>
        </w:rPr>
        <w:t xml:space="preserve"> </w:t>
      </w:r>
      <w:r>
        <w:rPr>
          <w:rFonts w:ascii="Arial" w:hAnsi="Arial" w:cs="Arial"/>
          <w:sz w:val="22"/>
        </w:rPr>
        <w:t xml:space="preserve">(1187 aa). We also cloned the </w:t>
      </w:r>
      <w:r>
        <w:rPr>
          <w:rFonts w:ascii="Arial" w:hAnsi="Arial" w:cs="Arial"/>
          <w:i/>
          <w:sz w:val="22"/>
        </w:rPr>
        <w:t xml:space="preserve">Mov10 </w:t>
      </w:r>
      <w:r>
        <w:rPr>
          <w:rFonts w:ascii="Arial" w:hAnsi="Arial" w:cs="Arial"/>
          <w:sz w:val="22"/>
        </w:rPr>
        <w:t xml:space="preserve">gene (accession number: NM_008619), which is shorter in length than </w:t>
      </w:r>
      <w:r>
        <w:rPr>
          <w:rFonts w:ascii="Arial" w:hAnsi="Arial" w:cs="Arial"/>
          <w:i/>
          <w:sz w:val="22"/>
        </w:rPr>
        <w:t>Mov10l1</w:t>
      </w:r>
      <w:r>
        <w:rPr>
          <w:rFonts w:ascii="Arial" w:hAnsi="Arial" w:cs="Arial"/>
          <w:sz w:val="22"/>
        </w:rPr>
        <w:t xml:space="preserve">. </w:t>
      </w:r>
      <w:r>
        <w:rPr>
          <w:rFonts w:ascii="Arial" w:eastAsia="宋体" w:hAnsi="Arial" w:cs="Arial"/>
          <w:sz w:val="22"/>
        </w:rPr>
        <w:t xml:space="preserve">The consensus amino acids are shown in black. Blue and green lines identify the amino acids of Walker A and Walker B motifs. Orange and </w:t>
      </w:r>
      <w:r>
        <w:rPr>
          <w:rFonts w:ascii="Arial" w:hAnsi="Arial" w:cs="Arial"/>
          <w:sz w:val="22"/>
        </w:rPr>
        <w:t>red</w:t>
      </w:r>
      <w:r>
        <w:rPr>
          <w:rFonts w:ascii="Arial" w:eastAsia="宋体" w:hAnsi="Arial" w:cs="Arial"/>
          <w:sz w:val="22"/>
        </w:rPr>
        <w:t xml:space="preserve"> arrowheads point to functionally critical residues of the ATP binding and ATP hydrolysis motifs. </w:t>
      </w:r>
      <w:r>
        <w:rPr>
          <w:rFonts w:ascii="Arial" w:hAnsi="Arial" w:cs="Arial"/>
          <w:sz w:val="22"/>
        </w:rPr>
        <w:t xml:space="preserve">The mutations K830A and DE940AA in the long form, corresponding to K778A and DE888AA in the short form, cause loss of function of MOV10L1. </w:t>
      </w:r>
      <w:r>
        <w:rPr>
          <w:rFonts w:ascii="Arial" w:eastAsia="宋体" w:hAnsi="Arial" w:cs="Arial"/>
          <w:sz w:val="22"/>
        </w:rPr>
        <w:t>Asterisks mark sequence targets of probes shMov10-832 (violet) and shMov10-833 (pink) used for knockdown experiments.</w:t>
      </w:r>
      <w:r>
        <w:rPr>
          <w:rFonts w:ascii="Arial" w:hAnsi="Arial" w:cs="Arial"/>
          <w:sz w:val="22"/>
        </w:rPr>
        <w:t xml:space="preserve"> A</w:t>
      </w:r>
      <w:r>
        <w:rPr>
          <w:rFonts w:ascii="Arial" w:eastAsia="宋体" w:hAnsi="Arial" w:cs="Arial"/>
          <w:sz w:val="22"/>
        </w:rPr>
        <w:t>mino acids sequen</w:t>
      </w:r>
      <w:r w:rsidR="00426390">
        <w:rPr>
          <w:rFonts w:ascii="Arial" w:eastAsia="宋体" w:hAnsi="Arial" w:cs="Arial"/>
          <w:sz w:val="22"/>
        </w:rPr>
        <w:t>ces were retrieved from Uniprot</w:t>
      </w:r>
      <w:r>
        <w:rPr>
          <w:rFonts w:ascii="Arial" w:eastAsia="宋体" w:hAnsi="Arial" w:cs="Arial"/>
          <w:sz w:val="22"/>
        </w:rPr>
        <w:t xml:space="preserve"> and were aligned using DNAMAN. </w:t>
      </w:r>
      <w:r>
        <w:rPr>
          <w:rFonts w:ascii="Arial" w:hAnsi="Arial" w:cs="Arial"/>
          <w:bCs/>
          <w:kern w:val="0"/>
          <w:sz w:val="22"/>
        </w:rPr>
        <w:t>(C) Quantitative PCR analysis of mRNA levels of</w:t>
      </w:r>
      <w:r>
        <w:rPr>
          <w:rFonts w:ascii="Arial" w:hAnsi="Arial" w:cs="Arial"/>
          <w:bCs/>
          <w:i/>
          <w:kern w:val="0"/>
          <w:sz w:val="22"/>
        </w:rPr>
        <w:t xml:space="preserve"> Mov10</w:t>
      </w:r>
      <w:r>
        <w:rPr>
          <w:rFonts w:ascii="Arial" w:hAnsi="Arial" w:cs="Arial"/>
          <w:bCs/>
          <w:kern w:val="0"/>
          <w:sz w:val="22"/>
        </w:rPr>
        <w:t xml:space="preserve">, </w:t>
      </w:r>
      <w:r>
        <w:rPr>
          <w:rFonts w:ascii="Arial" w:hAnsi="Arial" w:cs="Arial"/>
          <w:bCs/>
          <w:i/>
          <w:kern w:val="0"/>
          <w:sz w:val="22"/>
        </w:rPr>
        <w:t xml:space="preserve">Mov10l1 </w:t>
      </w:r>
      <w:r>
        <w:rPr>
          <w:rFonts w:ascii="Arial" w:hAnsi="Arial" w:cs="Arial"/>
          <w:bCs/>
          <w:kern w:val="0"/>
          <w:sz w:val="22"/>
        </w:rPr>
        <w:t xml:space="preserve">and genes important for determination of SPC fate. Data represent </w:t>
      </w:r>
      <w:r>
        <w:rPr>
          <w:rFonts w:ascii="Arial" w:hAnsi="Arial" w:cs="Arial"/>
          <w:sz w:val="22"/>
        </w:rPr>
        <w:t>results from biological triplicates.</w:t>
      </w:r>
      <w:r>
        <w:rPr>
          <w:rFonts w:ascii="Arial" w:hAnsi="Arial" w:cs="Arial"/>
          <w:bCs/>
          <w:kern w:val="0"/>
          <w:sz w:val="22"/>
        </w:rPr>
        <w:t xml:space="preserve"> (D) Western blot analysis of the protein levels of genes tested in Panel C. (E) Polysome analysis of MOV10 and MOV10L1. Following fractionation using 20-50% sucrose gradients, ribonucleoprotein particles (RNP), free ribosomal subunits (40S and 60S), 80S monosomes, and polysomes were collected for western blot. Ribosomal protein L22 (RPL22): positive control for polysome protein; TUBULIN was used as positive control for RNP.</w:t>
      </w:r>
    </w:p>
    <w:p w:rsidR="00CB7A79" w:rsidRDefault="00CB7A79">
      <w:pPr>
        <w:spacing w:line="480" w:lineRule="auto"/>
        <w:jc w:val="center"/>
        <w:rPr>
          <w:rFonts w:ascii="Arial" w:hAnsi="Arial" w:cs="Arial"/>
          <w:sz w:val="22"/>
        </w:rPr>
      </w:pPr>
    </w:p>
    <w:p w:rsidR="00CB7A79" w:rsidRDefault="00CB7A79">
      <w:pPr>
        <w:spacing w:line="480" w:lineRule="auto"/>
        <w:jc w:val="center"/>
        <w:rPr>
          <w:rFonts w:ascii="Arial" w:hAnsi="Arial" w:cs="Arial"/>
          <w:sz w:val="22"/>
        </w:rPr>
      </w:pPr>
    </w:p>
    <w:p w:rsidR="00CB7A79" w:rsidRDefault="00CB7A79">
      <w:pPr>
        <w:spacing w:line="480" w:lineRule="auto"/>
        <w:jc w:val="center"/>
        <w:rPr>
          <w:rFonts w:ascii="Arial" w:hAnsi="Arial" w:cs="Arial"/>
          <w:sz w:val="22"/>
        </w:rPr>
      </w:pPr>
    </w:p>
    <w:p w:rsidR="00CB7A79" w:rsidRDefault="00CB7A79">
      <w:pPr>
        <w:spacing w:line="480" w:lineRule="auto"/>
        <w:jc w:val="center"/>
        <w:rPr>
          <w:rFonts w:ascii="Arial" w:hAnsi="Arial" w:cs="Arial"/>
          <w:sz w:val="22"/>
        </w:rPr>
      </w:pPr>
    </w:p>
    <w:p w:rsidR="00CB7A79" w:rsidRDefault="00CB7A79">
      <w:pPr>
        <w:spacing w:line="480" w:lineRule="auto"/>
        <w:jc w:val="center"/>
        <w:rPr>
          <w:rFonts w:ascii="Arial" w:hAnsi="Arial" w:cs="Arial"/>
          <w:sz w:val="22"/>
        </w:rPr>
      </w:pPr>
    </w:p>
    <w:p w:rsidR="00CB7A79" w:rsidRDefault="008502F3">
      <w:pPr>
        <w:autoSpaceDE w:val="0"/>
        <w:autoSpaceDN w:val="0"/>
        <w:adjustRightInd w:val="0"/>
        <w:ind w:firstLineChars="100" w:firstLine="200"/>
        <w:jc w:val="center"/>
        <w:rPr>
          <w:rFonts w:ascii="Times New Roman" w:hAnsi="Times New Roman" w:cs="Times New Roman"/>
          <w:kern w:val="0"/>
          <w:sz w:val="20"/>
          <w:szCs w:val="20"/>
        </w:rPr>
      </w:pPr>
      <w:r>
        <w:rPr>
          <w:rFonts w:ascii="Times New Roman" w:hAnsi="Times New Roman" w:cs="Times New Roman" w:hint="eastAsia"/>
          <w:noProof/>
          <w:kern w:val="0"/>
          <w:sz w:val="20"/>
          <w:szCs w:val="20"/>
        </w:rPr>
        <w:lastRenderedPageBreak/>
        <w:drawing>
          <wp:inline distT="0" distB="0" distL="0" distR="0">
            <wp:extent cx="4267835" cy="5256530"/>
            <wp:effectExtent l="0" t="0" r="18415" b="1270"/>
            <wp:docPr id="5" name="图片 5" descr="E:\sylamer_results\sh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sylamer_results\sh_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267835" cy="5256530"/>
                    </a:xfrm>
                    <a:prstGeom prst="rect">
                      <a:avLst/>
                    </a:prstGeom>
                    <a:noFill/>
                    <a:ln w="9525">
                      <a:noFill/>
                      <a:miter lim="800000"/>
                      <a:headEnd/>
                      <a:tailEnd/>
                    </a:ln>
                  </pic:spPr>
                </pic:pic>
              </a:graphicData>
            </a:graphic>
          </wp:inline>
        </w:drawing>
      </w:r>
    </w:p>
    <w:p w:rsidR="00CB7A79" w:rsidRDefault="00CB7A79">
      <w:pPr>
        <w:autoSpaceDE w:val="0"/>
        <w:autoSpaceDN w:val="0"/>
        <w:adjustRightInd w:val="0"/>
        <w:ind w:firstLineChars="100" w:firstLine="200"/>
        <w:jc w:val="center"/>
        <w:rPr>
          <w:rFonts w:ascii="Times New Roman" w:hAnsi="Times New Roman" w:cs="Times New Roman"/>
          <w:kern w:val="0"/>
          <w:sz w:val="20"/>
          <w:szCs w:val="20"/>
        </w:rPr>
      </w:pPr>
    </w:p>
    <w:p w:rsidR="00CB7A79" w:rsidRDefault="008502F3">
      <w:pPr>
        <w:autoSpaceDE w:val="0"/>
        <w:autoSpaceDN w:val="0"/>
        <w:adjustRightInd w:val="0"/>
        <w:spacing w:line="480" w:lineRule="auto"/>
        <w:rPr>
          <w:rFonts w:ascii="Arial" w:hAnsi="Arial" w:cs="Arial"/>
          <w:sz w:val="22"/>
        </w:rPr>
      </w:pPr>
      <w:r>
        <w:rPr>
          <w:rFonts w:ascii="Arial" w:hAnsi="Arial" w:cs="Arial"/>
          <w:b/>
          <w:bCs/>
          <w:kern w:val="0"/>
          <w:sz w:val="22"/>
        </w:rPr>
        <w:t xml:space="preserve">Figure S4. </w:t>
      </w:r>
      <w:r w:rsidRPr="00D800CC">
        <w:rPr>
          <w:rFonts w:ascii="Arial" w:hAnsi="Arial" w:cs="Arial"/>
          <w:bCs/>
          <w:kern w:val="0"/>
          <w:sz w:val="22"/>
        </w:rPr>
        <w:t xml:space="preserve">Assessment of the off-target effect of </w:t>
      </w:r>
      <w:r w:rsidRPr="00D800CC">
        <w:rPr>
          <w:rFonts w:ascii="Arial" w:hAnsi="Arial" w:cs="Arial" w:hint="eastAsia"/>
          <w:bCs/>
          <w:kern w:val="0"/>
          <w:sz w:val="22"/>
        </w:rPr>
        <w:t>sh</w:t>
      </w:r>
      <w:r w:rsidRPr="00D800CC">
        <w:rPr>
          <w:rFonts w:ascii="Arial" w:hAnsi="Arial" w:cs="Arial"/>
          <w:bCs/>
          <w:kern w:val="0"/>
          <w:sz w:val="22"/>
        </w:rPr>
        <w:t>RNA interference.</w:t>
      </w:r>
      <w:r>
        <w:rPr>
          <w:rFonts w:ascii="Arial" w:hAnsi="Arial" w:cs="Arial"/>
          <w:b/>
          <w:bCs/>
          <w:kern w:val="0"/>
          <w:sz w:val="22"/>
        </w:rPr>
        <w:t xml:space="preserve"> </w:t>
      </w:r>
      <w:r>
        <w:rPr>
          <w:rFonts w:ascii="Arial" w:hAnsi="Arial" w:cs="Arial"/>
          <w:sz w:val="22"/>
        </w:rPr>
        <w:t>Enrichment plots for a successful</w:t>
      </w:r>
      <w:r>
        <w:rPr>
          <w:rFonts w:ascii="Arial" w:hAnsi="Arial" w:cs="Arial" w:hint="eastAsia"/>
          <w:sz w:val="22"/>
        </w:rPr>
        <w:t xml:space="preserve"> sh</w:t>
      </w:r>
      <w:r>
        <w:rPr>
          <w:rFonts w:ascii="Arial" w:hAnsi="Arial" w:cs="Arial"/>
          <w:sz w:val="22"/>
        </w:rPr>
        <w:t>RNA interference experiment in</w:t>
      </w:r>
      <w:r>
        <w:rPr>
          <w:rFonts w:ascii="Arial" w:hAnsi="Arial" w:cs="Arial" w:hint="eastAsia"/>
          <w:sz w:val="22"/>
        </w:rPr>
        <w:t xml:space="preserve"> </w:t>
      </w:r>
      <w:r>
        <w:rPr>
          <w:rFonts w:ascii="Arial" w:hAnsi="Arial" w:cs="Arial"/>
          <w:sz w:val="22"/>
        </w:rPr>
        <w:t>which there were no</w:t>
      </w:r>
      <w:r>
        <w:rPr>
          <w:rFonts w:ascii="Arial" w:hAnsi="Arial" w:cs="Arial" w:hint="eastAsia"/>
          <w:sz w:val="22"/>
        </w:rPr>
        <w:t xml:space="preserve"> </w:t>
      </w:r>
      <w:r>
        <w:rPr>
          <w:rFonts w:ascii="Arial" w:hAnsi="Arial" w:cs="Arial"/>
          <w:sz w:val="22"/>
        </w:rPr>
        <w:t>apparent off-target effects</w:t>
      </w:r>
      <w:r>
        <w:rPr>
          <w:rFonts w:ascii="Arial" w:hAnsi="Arial" w:cs="Arial" w:hint="eastAsia"/>
          <w:sz w:val="22"/>
        </w:rPr>
        <w:t xml:space="preserve">. </w:t>
      </w:r>
      <w:r>
        <w:rPr>
          <w:rFonts w:ascii="Arial" w:hAnsi="Arial" w:cs="Arial"/>
          <w:sz w:val="22"/>
        </w:rPr>
        <w:t>Plot</w:t>
      </w:r>
      <w:r>
        <w:rPr>
          <w:rFonts w:ascii="Arial" w:hAnsi="Arial" w:cs="Arial" w:hint="eastAsia"/>
          <w:sz w:val="22"/>
        </w:rPr>
        <w:t xml:space="preserve"> shown</w:t>
      </w:r>
      <w:r>
        <w:rPr>
          <w:rFonts w:ascii="Arial" w:hAnsi="Arial" w:cs="Arial"/>
          <w:sz w:val="22"/>
        </w:rPr>
        <w:t xml:space="preserve"> for </w:t>
      </w:r>
      <w:r>
        <w:rPr>
          <w:rFonts w:ascii="Arial" w:hAnsi="Arial" w:cs="Arial" w:hint="eastAsia"/>
          <w:sz w:val="22"/>
        </w:rPr>
        <w:t xml:space="preserve">10 </w:t>
      </w:r>
      <w:r>
        <w:rPr>
          <w:rFonts w:ascii="Arial" w:hAnsi="Arial" w:cs="Arial"/>
          <w:sz w:val="22"/>
        </w:rPr>
        <w:t>nt word</w:t>
      </w:r>
      <w:r>
        <w:rPr>
          <w:rFonts w:ascii="Arial" w:hAnsi="Arial" w:cs="Arial" w:hint="eastAsia"/>
          <w:sz w:val="22"/>
        </w:rPr>
        <w:t>, t</w:t>
      </w:r>
      <w:r>
        <w:rPr>
          <w:rFonts w:ascii="Arial" w:hAnsi="Arial" w:cs="Arial"/>
          <w:sz w:val="22"/>
        </w:rPr>
        <w:t>he</w:t>
      </w:r>
      <w:r>
        <w:rPr>
          <w:rFonts w:ascii="Arial" w:hAnsi="Arial" w:cs="Arial" w:hint="eastAsia"/>
          <w:sz w:val="22"/>
        </w:rPr>
        <w:t xml:space="preserve"> </w:t>
      </w:r>
      <w:r>
        <w:rPr>
          <w:rFonts w:ascii="Arial" w:hAnsi="Arial" w:cs="Arial"/>
          <w:sz w:val="22"/>
        </w:rPr>
        <w:t xml:space="preserve">x-axis represented the sorted gene-list from most </w:t>
      </w:r>
      <w:r>
        <w:rPr>
          <w:rFonts w:ascii="Arial" w:hAnsi="Arial" w:cs="Arial" w:hint="eastAsia"/>
          <w:sz w:val="22"/>
        </w:rPr>
        <w:t>down</w:t>
      </w:r>
      <w:r>
        <w:rPr>
          <w:rFonts w:ascii="Arial" w:hAnsi="Arial" w:cs="Arial"/>
          <w:sz w:val="22"/>
        </w:rPr>
        <w:t xml:space="preserve">regulated (left) to most </w:t>
      </w:r>
      <w:r>
        <w:rPr>
          <w:rFonts w:ascii="Arial" w:hAnsi="Arial" w:cs="Arial" w:hint="eastAsia"/>
          <w:sz w:val="22"/>
        </w:rPr>
        <w:t>up</w:t>
      </w:r>
      <w:r>
        <w:rPr>
          <w:rFonts w:ascii="Arial" w:hAnsi="Arial" w:cs="Arial"/>
          <w:sz w:val="22"/>
        </w:rPr>
        <w:t xml:space="preserve">regulated (right). The y-axis shows the hypergeometric significance for each word at each </w:t>
      </w:r>
      <w:r>
        <w:rPr>
          <w:rFonts w:ascii="Arial" w:hAnsi="Arial" w:cs="Arial" w:hint="eastAsia"/>
          <w:sz w:val="22"/>
        </w:rPr>
        <w:t>ranked gene</w:t>
      </w:r>
      <w:r>
        <w:rPr>
          <w:rFonts w:ascii="Arial" w:hAnsi="Arial" w:cs="Arial"/>
          <w:sz w:val="22"/>
        </w:rPr>
        <w:t>-</w:t>
      </w:r>
      <w:r>
        <w:rPr>
          <w:rFonts w:ascii="Arial" w:hAnsi="Arial" w:cs="Arial" w:hint="eastAsia"/>
          <w:sz w:val="22"/>
        </w:rPr>
        <w:t>list set</w:t>
      </w:r>
      <w:r>
        <w:rPr>
          <w:rFonts w:ascii="Arial" w:hAnsi="Arial" w:cs="Arial"/>
          <w:sz w:val="22"/>
        </w:rPr>
        <w:t>.</w:t>
      </w:r>
      <w:r>
        <w:rPr>
          <w:rFonts w:ascii="Arial" w:hAnsi="Arial" w:cs="Arial" w:hint="eastAsia"/>
          <w:sz w:val="22"/>
        </w:rPr>
        <w:t xml:space="preserve"> </w:t>
      </w:r>
      <w:r>
        <w:rPr>
          <w:rFonts w:ascii="Arial" w:hAnsi="Arial" w:cs="Arial"/>
          <w:sz w:val="22"/>
        </w:rPr>
        <w:t>Positive values indicate enrichment (−log10 (P-value)) and negative values, depletion</w:t>
      </w:r>
      <w:r>
        <w:rPr>
          <w:rFonts w:ascii="Arial" w:hAnsi="Arial" w:cs="Arial" w:hint="eastAsia"/>
          <w:sz w:val="22"/>
        </w:rPr>
        <w:t xml:space="preserve"> </w:t>
      </w:r>
      <w:r>
        <w:rPr>
          <w:rFonts w:ascii="Arial" w:hAnsi="Arial" w:cs="Arial"/>
          <w:sz w:val="22"/>
        </w:rPr>
        <w:t>(log10 (P-value)). The horizontal line represents a</w:t>
      </w:r>
      <w:r>
        <w:rPr>
          <w:rFonts w:ascii="Arial" w:hAnsi="Arial" w:cs="Arial" w:hint="eastAsia"/>
          <w:sz w:val="22"/>
        </w:rPr>
        <w:t xml:space="preserve"> </w:t>
      </w:r>
      <w:r>
        <w:rPr>
          <w:rFonts w:ascii="Arial" w:hAnsi="Arial" w:cs="Arial"/>
          <w:sz w:val="22"/>
        </w:rPr>
        <w:t>threshold (Bonferroni corrected</w:t>
      </w:r>
      <w:r>
        <w:rPr>
          <w:rFonts w:ascii="Arial" w:hAnsi="Arial" w:cs="Arial" w:hint="eastAsia"/>
          <w:sz w:val="22"/>
        </w:rPr>
        <w:t xml:space="preserve"> </w:t>
      </w:r>
      <w:r>
        <w:rPr>
          <w:rFonts w:ascii="Arial" w:hAnsi="Arial" w:cs="Arial"/>
          <w:sz w:val="22"/>
        </w:rPr>
        <w:t>p value)</w:t>
      </w:r>
      <w:r>
        <w:rPr>
          <w:rFonts w:ascii="Arial" w:hAnsi="Arial" w:cs="Arial" w:hint="eastAsia"/>
          <w:sz w:val="22"/>
        </w:rPr>
        <w:t xml:space="preserve"> </w:t>
      </w:r>
      <w:r>
        <w:rPr>
          <w:rFonts w:ascii="Arial" w:hAnsi="Arial" w:cs="Arial"/>
          <w:sz w:val="22"/>
        </w:rPr>
        <w:t>of 0.01.Grey lines show the profiles of all possible 10-bp words</w:t>
      </w:r>
      <w:r>
        <w:rPr>
          <w:rFonts w:ascii="Arial" w:hAnsi="Arial" w:cs="Arial" w:hint="eastAsia"/>
          <w:sz w:val="22"/>
        </w:rPr>
        <w:t xml:space="preserve"> of </w:t>
      </w:r>
      <w:r>
        <w:rPr>
          <w:rFonts w:ascii="Arial" w:hAnsi="Arial" w:cs="Arial"/>
          <w:sz w:val="22"/>
        </w:rPr>
        <w:t>coding sequences of differentially expressed genes, while</w:t>
      </w:r>
      <w:r>
        <w:rPr>
          <w:rFonts w:ascii="Arial" w:hAnsi="Arial" w:cs="Arial" w:hint="eastAsia"/>
          <w:sz w:val="22"/>
        </w:rPr>
        <w:t xml:space="preserve"> </w:t>
      </w:r>
      <w:r>
        <w:rPr>
          <w:rFonts w:ascii="Arial" w:hAnsi="Arial" w:cs="Arial"/>
          <w:sz w:val="22"/>
        </w:rPr>
        <w:t>colored lines represent all possible 10-bp words out of shRNA sequences.</w:t>
      </w:r>
      <w:r>
        <w:rPr>
          <w:rFonts w:ascii="Arial" w:hAnsi="Arial" w:cs="Arial" w:hint="eastAsia"/>
          <w:sz w:val="22"/>
        </w:rPr>
        <w:t xml:space="preserve"> No</w:t>
      </w:r>
      <w:r>
        <w:rPr>
          <w:rFonts w:ascii="Arial" w:hAnsi="Arial" w:cs="Arial"/>
          <w:sz w:val="22"/>
        </w:rPr>
        <w:t xml:space="preserve"> words out of shRNA sequences were significantly enriched. </w:t>
      </w:r>
    </w:p>
    <w:p w:rsidR="00CB7A79" w:rsidRDefault="006D787E">
      <w:pPr>
        <w:spacing w:line="480" w:lineRule="auto"/>
        <w:jc w:val="center"/>
        <w:rPr>
          <w:rFonts w:ascii="Arial" w:hAnsi="Arial" w:cs="Arial"/>
          <w:sz w:val="22"/>
        </w:rPr>
      </w:pPr>
      <w:r>
        <w:rPr>
          <w:rFonts w:ascii="Arial" w:hAnsi="Arial" w:cs="Arial"/>
          <w:noProof/>
          <w:sz w:val="22"/>
        </w:rPr>
        <w:lastRenderedPageBreak/>
        <w:drawing>
          <wp:inline distT="0" distB="0" distL="0" distR="0">
            <wp:extent cx="6108204" cy="6720854"/>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网注射tunel染色加标注.png"/>
                    <pic:cNvPicPr/>
                  </pic:nvPicPr>
                  <pic:blipFill>
                    <a:blip r:embed="rId13">
                      <a:extLst>
                        <a:ext uri="{28A0092B-C50C-407E-A947-70E740481C1C}">
                          <a14:useLocalDpi xmlns:a14="http://schemas.microsoft.com/office/drawing/2010/main" val="0"/>
                        </a:ext>
                      </a:extLst>
                    </a:blip>
                    <a:stretch>
                      <a:fillRect/>
                    </a:stretch>
                  </pic:blipFill>
                  <pic:spPr>
                    <a:xfrm>
                      <a:off x="0" y="0"/>
                      <a:ext cx="6108204" cy="6720854"/>
                    </a:xfrm>
                    <a:prstGeom prst="rect">
                      <a:avLst/>
                    </a:prstGeom>
                  </pic:spPr>
                </pic:pic>
              </a:graphicData>
            </a:graphic>
          </wp:inline>
        </w:drawing>
      </w:r>
    </w:p>
    <w:p w:rsidR="00CB7A79" w:rsidRDefault="008502F3">
      <w:pPr>
        <w:autoSpaceDE w:val="0"/>
        <w:autoSpaceDN w:val="0"/>
        <w:adjustRightInd w:val="0"/>
        <w:spacing w:line="480" w:lineRule="auto"/>
        <w:rPr>
          <w:rFonts w:ascii="Arial" w:hAnsi="Arial" w:cs="Arial"/>
          <w:sz w:val="22"/>
          <w:shd w:val="clear" w:color="auto" w:fill="FFFFFF"/>
        </w:rPr>
      </w:pPr>
      <w:r>
        <w:rPr>
          <w:rFonts w:ascii="Arial" w:hAnsi="Arial" w:cs="Arial"/>
          <w:b/>
          <w:bCs/>
          <w:kern w:val="0"/>
          <w:sz w:val="22"/>
        </w:rPr>
        <w:t xml:space="preserve">Figure S5. </w:t>
      </w:r>
      <w:r w:rsidRPr="00D800CC">
        <w:rPr>
          <w:rFonts w:ascii="Arial" w:hAnsi="Arial" w:cs="Arial"/>
          <w:bCs/>
          <w:kern w:val="0"/>
          <w:sz w:val="22"/>
        </w:rPr>
        <w:t xml:space="preserve">Knockdown of endogenous MOV10 leads to increased apoptosis in testicular tubules. </w:t>
      </w:r>
      <w:r>
        <w:rPr>
          <w:rFonts w:ascii="Arial" w:hAnsi="Arial" w:cs="Arial"/>
          <w:sz w:val="22"/>
        </w:rPr>
        <w:t>(A, B) The knockdown efficiency of shMov10 was tested by RT-qPCR and WB in 293T cells. (C) TUNEL assay in testes sections from control and shMov10 groups. Scale bar: 20 μm. (D) Percentage of TUNEL-positive tubules in control and shMov10 groups.</w:t>
      </w:r>
    </w:p>
    <w:p w:rsidR="00CB7A79" w:rsidRDefault="004C779A">
      <w:pPr>
        <w:spacing w:line="480" w:lineRule="auto"/>
        <w:jc w:val="center"/>
        <w:rPr>
          <w:rFonts w:ascii="Arial" w:hAnsi="Arial" w:cs="Arial"/>
          <w:sz w:val="22"/>
        </w:rPr>
      </w:pPr>
      <w:r>
        <w:rPr>
          <w:rFonts w:ascii="Arial" w:hAnsi="Arial" w:cs="Arial"/>
          <w:noProof/>
          <w:sz w:val="22"/>
        </w:rPr>
        <w:lastRenderedPageBreak/>
        <w:drawing>
          <wp:inline distT="0" distB="0" distL="0" distR="0">
            <wp:extent cx="5839968" cy="8010144"/>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6.jpg"/>
                    <pic:cNvPicPr/>
                  </pic:nvPicPr>
                  <pic:blipFill>
                    <a:blip r:embed="rId14">
                      <a:extLst>
                        <a:ext uri="{28A0092B-C50C-407E-A947-70E740481C1C}">
                          <a14:useLocalDpi xmlns:a14="http://schemas.microsoft.com/office/drawing/2010/main" val="0"/>
                        </a:ext>
                      </a:extLst>
                    </a:blip>
                    <a:stretch>
                      <a:fillRect/>
                    </a:stretch>
                  </pic:blipFill>
                  <pic:spPr>
                    <a:xfrm>
                      <a:off x="0" y="0"/>
                      <a:ext cx="5839968" cy="8010144"/>
                    </a:xfrm>
                    <a:prstGeom prst="rect">
                      <a:avLst/>
                    </a:prstGeom>
                  </pic:spPr>
                </pic:pic>
              </a:graphicData>
            </a:graphic>
          </wp:inline>
        </w:drawing>
      </w:r>
    </w:p>
    <w:p w:rsidR="00CB7A79" w:rsidRDefault="008502F3">
      <w:pPr>
        <w:spacing w:line="480" w:lineRule="auto"/>
        <w:rPr>
          <w:rFonts w:ascii="Arial" w:hAnsi="Arial" w:cs="Arial"/>
          <w:color w:val="000000"/>
          <w:sz w:val="22"/>
        </w:rPr>
      </w:pPr>
      <w:r>
        <w:rPr>
          <w:rFonts w:ascii="Arial" w:eastAsia="ArialMT" w:hAnsi="Arial" w:cs="Arial"/>
          <w:b/>
          <w:kern w:val="0"/>
          <w:sz w:val="22"/>
        </w:rPr>
        <w:lastRenderedPageBreak/>
        <w:t xml:space="preserve">Figure </w:t>
      </w:r>
      <w:r>
        <w:rPr>
          <w:rFonts w:ascii="Arial" w:hAnsi="Arial" w:cs="Arial" w:hint="eastAsia"/>
          <w:b/>
          <w:kern w:val="0"/>
          <w:sz w:val="22"/>
        </w:rPr>
        <w:t>S</w:t>
      </w:r>
      <w:r>
        <w:rPr>
          <w:rFonts w:ascii="Arial" w:eastAsia="ArialMT" w:hAnsi="Arial" w:cs="Arial"/>
          <w:b/>
          <w:kern w:val="0"/>
          <w:sz w:val="22"/>
        </w:rPr>
        <w:t>6</w:t>
      </w:r>
      <w:r>
        <w:rPr>
          <w:rFonts w:ascii="Arial" w:eastAsia="ArialMT" w:hAnsi="Arial" w:cs="Arial" w:hint="eastAsia"/>
          <w:b/>
          <w:kern w:val="0"/>
          <w:sz w:val="22"/>
        </w:rPr>
        <w:t>.</w:t>
      </w:r>
      <w:r>
        <w:rPr>
          <w:rFonts w:ascii="Arial" w:hAnsi="Arial" w:cs="Arial" w:hint="eastAsia"/>
          <w:bCs/>
          <w:kern w:val="0"/>
          <w:sz w:val="22"/>
        </w:rPr>
        <w:t xml:space="preserve"> </w:t>
      </w:r>
      <w:r w:rsidRPr="00D800CC">
        <w:rPr>
          <w:rFonts w:ascii="Arial" w:hAnsi="Arial" w:cs="Arial" w:hint="eastAsia"/>
          <w:bCs/>
          <w:kern w:val="0"/>
          <w:sz w:val="22"/>
        </w:rPr>
        <w:t xml:space="preserve">MOV10 regulates gene expression. </w:t>
      </w:r>
      <w:r>
        <w:rPr>
          <w:rFonts w:ascii="Arial" w:hAnsi="Arial" w:cs="Arial" w:hint="eastAsia"/>
          <w:bCs/>
          <w:kern w:val="0"/>
          <w:sz w:val="22"/>
        </w:rPr>
        <w:t xml:space="preserve">(A) </w:t>
      </w:r>
      <w:r>
        <w:rPr>
          <w:rFonts w:ascii="Arial" w:hAnsi="Arial" w:cs="Arial"/>
          <w:color w:val="000000"/>
          <w:sz w:val="22"/>
        </w:rPr>
        <w:t xml:space="preserve">Scatter plot </w:t>
      </w:r>
      <w:r>
        <w:rPr>
          <w:rFonts w:ascii="Arial" w:hAnsi="Arial" w:cs="Arial" w:hint="eastAsia"/>
          <w:color w:val="000000"/>
          <w:sz w:val="22"/>
        </w:rPr>
        <w:t>of mRNA expression levels from RNA-seq data</w:t>
      </w:r>
      <w:r>
        <w:rPr>
          <w:rFonts w:ascii="Arial" w:hAnsi="Arial" w:cs="Arial"/>
          <w:color w:val="000000"/>
          <w:sz w:val="22"/>
        </w:rPr>
        <w:t xml:space="preserve">. Red </w:t>
      </w:r>
      <w:r>
        <w:rPr>
          <w:rFonts w:ascii="Arial" w:hAnsi="Arial" w:cs="Arial" w:hint="eastAsia"/>
          <w:color w:val="000000"/>
          <w:sz w:val="22"/>
        </w:rPr>
        <w:t xml:space="preserve">and blue dots </w:t>
      </w:r>
      <w:r>
        <w:rPr>
          <w:rFonts w:ascii="Arial" w:hAnsi="Arial" w:cs="Arial"/>
          <w:color w:val="000000"/>
          <w:sz w:val="22"/>
        </w:rPr>
        <w:t xml:space="preserve">represent </w:t>
      </w:r>
      <w:r>
        <w:rPr>
          <w:rFonts w:ascii="Arial" w:hAnsi="Arial" w:cs="Arial" w:hint="eastAsia"/>
          <w:color w:val="000000"/>
          <w:sz w:val="22"/>
        </w:rPr>
        <w:t>genes with significant upregulation and downregulation, respectively</w:t>
      </w:r>
      <w:r>
        <w:rPr>
          <w:rFonts w:ascii="Arial" w:hAnsi="Arial" w:cs="Arial"/>
          <w:color w:val="000000"/>
          <w:sz w:val="22"/>
        </w:rPr>
        <w:t xml:space="preserve"> (fold change&gt;1.5, p&lt;0.05)</w:t>
      </w:r>
      <w:r>
        <w:rPr>
          <w:rFonts w:ascii="Arial" w:hAnsi="Arial" w:cs="Arial" w:hint="eastAsia"/>
          <w:color w:val="000000"/>
          <w:sz w:val="22"/>
        </w:rPr>
        <w:t xml:space="preserve">. </w:t>
      </w:r>
      <w:r>
        <w:rPr>
          <w:rFonts w:ascii="Arial" w:hAnsi="Arial" w:cs="Arial"/>
          <w:sz w:val="22"/>
        </w:rPr>
        <w:t xml:space="preserve">(B) </w:t>
      </w:r>
      <w:r>
        <w:rPr>
          <w:rFonts w:ascii="Arial" w:hAnsi="Arial" w:cs="Arial"/>
          <w:color w:val="000000"/>
          <w:sz w:val="22"/>
        </w:rPr>
        <w:t xml:space="preserve">Scatter plot </w:t>
      </w:r>
      <w:r>
        <w:rPr>
          <w:rFonts w:ascii="Arial" w:hAnsi="Arial" w:cs="Arial" w:hint="eastAsia"/>
          <w:color w:val="000000"/>
          <w:sz w:val="22"/>
        </w:rPr>
        <w:t>of lnc</w:t>
      </w:r>
      <w:r>
        <w:rPr>
          <w:rFonts w:ascii="Arial" w:hAnsi="Arial" w:cs="Arial"/>
          <w:color w:val="000000"/>
          <w:sz w:val="22"/>
        </w:rPr>
        <w:t>RNA</w:t>
      </w:r>
      <w:r>
        <w:rPr>
          <w:rFonts w:ascii="Arial" w:hAnsi="Arial" w:cs="Arial" w:hint="eastAsia"/>
          <w:color w:val="000000"/>
          <w:sz w:val="22"/>
        </w:rPr>
        <w:t xml:space="preserve"> expression levels </w:t>
      </w:r>
      <w:r>
        <w:rPr>
          <w:rFonts w:ascii="Arial" w:hAnsi="Arial" w:cs="Arial"/>
          <w:color w:val="000000"/>
          <w:sz w:val="22"/>
        </w:rPr>
        <w:t>determined by</w:t>
      </w:r>
      <w:r>
        <w:rPr>
          <w:rFonts w:ascii="Arial" w:hAnsi="Arial" w:cs="Arial" w:hint="eastAsia"/>
          <w:color w:val="000000"/>
          <w:sz w:val="22"/>
        </w:rPr>
        <w:t xml:space="preserve"> RNA-seq</w:t>
      </w:r>
      <w:r>
        <w:rPr>
          <w:rFonts w:ascii="Arial" w:hAnsi="Arial" w:cs="Arial"/>
          <w:color w:val="000000"/>
          <w:sz w:val="22"/>
        </w:rPr>
        <w:t>.</w:t>
      </w:r>
      <w:r>
        <w:rPr>
          <w:rFonts w:ascii="Arial" w:hAnsi="Arial" w:cs="Arial" w:hint="eastAsia"/>
          <w:color w:val="000000"/>
          <w:sz w:val="22"/>
        </w:rPr>
        <w:t xml:space="preserve"> </w:t>
      </w:r>
      <w:r>
        <w:rPr>
          <w:rFonts w:ascii="Arial" w:hAnsi="Arial" w:cs="Arial"/>
          <w:color w:val="000000"/>
          <w:sz w:val="22"/>
        </w:rPr>
        <w:t xml:space="preserve">Red </w:t>
      </w:r>
      <w:r>
        <w:rPr>
          <w:rFonts w:ascii="Arial" w:hAnsi="Arial" w:cs="Arial" w:hint="eastAsia"/>
          <w:color w:val="000000"/>
          <w:sz w:val="22"/>
        </w:rPr>
        <w:t xml:space="preserve">and blue dots </w:t>
      </w:r>
      <w:r>
        <w:rPr>
          <w:rFonts w:ascii="Arial" w:hAnsi="Arial" w:cs="Arial"/>
          <w:color w:val="000000"/>
          <w:sz w:val="22"/>
        </w:rPr>
        <w:t xml:space="preserve">represent </w:t>
      </w:r>
      <w:r>
        <w:rPr>
          <w:rFonts w:ascii="Arial" w:hAnsi="Arial" w:cs="Arial" w:hint="eastAsia"/>
          <w:color w:val="000000"/>
          <w:sz w:val="22"/>
        </w:rPr>
        <w:t xml:space="preserve">lncRNAs with significant upregulation and downregulation, respectively </w:t>
      </w:r>
      <w:r>
        <w:rPr>
          <w:rFonts w:ascii="Arial" w:hAnsi="Arial" w:cs="Arial"/>
          <w:color w:val="000000"/>
          <w:sz w:val="22"/>
        </w:rPr>
        <w:t>(fold change &gt;1.5, p&lt;0.05)</w:t>
      </w:r>
      <w:r>
        <w:rPr>
          <w:rFonts w:ascii="Arial" w:hAnsi="Arial" w:cs="Arial" w:hint="eastAsia"/>
          <w:color w:val="000000"/>
          <w:sz w:val="22"/>
        </w:rPr>
        <w:t xml:space="preserve">. </w:t>
      </w:r>
      <w:r>
        <w:rPr>
          <w:rFonts w:ascii="Arial" w:hAnsi="Arial" w:cs="Arial"/>
          <w:color w:val="000000"/>
          <w:sz w:val="22"/>
        </w:rPr>
        <w:t>(C and D) Analysis</w:t>
      </w:r>
      <w:r>
        <w:rPr>
          <w:rFonts w:ascii="Arial" w:hAnsi="Arial" w:cs="Arial" w:hint="eastAsia"/>
          <w:color w:val="000000"/>
          <w:sz w:val="22"/>
        </w:rPr>
        <w:t xml:space="preserve"> of RNA-seq data </w:t>
      </w:r>
      <w:r>
        <w:rPr>
          <w:rFonts w:ascii="Arial" w:hAnsi="Arial" w:cs="Arial"/>
          <w:color w:val="000000"/>
          <w:sz w:val="22"/>
        </w:rPr>
        <w:t>of</w:t>
      </w:r>
      <w:r>
        <w:rPr>
          <w:rFonts w:ascii="Arial" w:hAnsi="Arial" w:cs="Arial" w:hint="eastAsia"/>
          <w:color w:val="000000"/>
          <w:sz w:val="22"/>
        </w:rPr>
        <w:t xml:space="preserve"> genes</w:t>
      </w:r>
      <w:r>
        <w:rPr>
          <w:rFonts w:ascii="Arial" w:hAnsi="Arial" w:cs="Arial"/>
          <w:color w:val="000000"/>
          <w:sz w:val="22"/>
        </w:rPr>
        <w:t xml:space="preserve"> involved in miRNA biogenesis</w:t>
      </w:r>
      <w:r>
        <w:rPr>
          <w:rFonts w:ascii="Arial" w:hAnsi="Arial" w:cs="Arial" w:hint="eastAsia"/>
          <w:color w:val="000000"/>
          <w:sz w:val="22"/>
        </w:rPr>
        <w:t xml:space="preserve"> </w:t>
      </w:r>
      <w:r>
        <w:rPr>
          <w:rFonts w:ascii="Arial" w:hAnsi="Arial" w:cs="Arial"/>
          <w:color w:val="000000"/>
          <w:sz w:val="22"/>
        </w:rPr>
        <w:t xml:space="preserve">(C) and the splicing machinery </w:t>
      </w:r>
      <w:r>
        <w:rPr>
          <w:rFonts w:ascii="Arial" w:hAnsi="Arial" w:cs="Arial" w:hint="eastAsia"/>
          <w:color w:val="000000"/>
          <w:sz w:val="22"/>
        </w:rPr>
        <w:t>(</w:t>
      </w:r>
      <w:r>
        <w:rPr>
          <w:rFonts w:ascii="Arial" w:hAnsi="Arial" w:cs="Arial"/>
          <w:color w:val="000000"/>
          <w:sz w:val="22"/>
        </w:rPr>
        <w:t xml:space="preserve">D) after </w:t>
      </w:r>
      <w:r>
        <w:rPr>
          <w:rFonts w:ascii="Arial" w:hAnsi="Arial" w:cs="Arial"/>
          <w:i/>
          <w:color w:val="000000"/>
          <w:sz w:val="22"/>
        </w:rPr>
        <w:t>Mov10</w:t>
      </w:r>
      <w:r>
        <w:rPr>
          <w:rFonts w:ascii="Arial" w:hAnsi="Arial" w:cs="Arial"/>
          <w:color w:val="000000"/>
          <w:sz w:val="22"/>
        </w:rPr>
        <w:t xml:space="preserve"> knockdown. The </w:t>
      </w:r>
      <w:r>
        <w:rPr>
          <w:rFonts w:ascii="Arial" w:hAnsi="Arial" w:cs="Arial" w:hint="eastAsia"/>
          <w:color w:val="000000"/>
          <w:sz w:val="22"/>
        </w:rPr>
        <w:t xml:space="preserve">error bars represent variation among three </w:t>
      </w:r>
      <w:r>
        <w:rPr>
          <w:rFonts w:ascii="Arial" w:hAnsi="Arial" w:cs="Arial"/>
          <w:color w:val="000000"/>
          <w:sz w:val="22"/>
        </w:rPr>
        <w:t xml:space="preserve">independent </w:t>
      </w:r>
      <w:r>
        <w:rPr>
          <w:rFonts w:ascii="Arial" w:hAnsi="Arial" w:cs="Arial" w:hint="eastAsia"/>
          <w:color w:val="000000"/>
          <w:sz w:val="22"/>
        </w:rPr>
        <w:t>CLIP libraries.</w:t>
      </w:r>
      <w:r>
        <w:rPr>
          <w:rFonts w:ascii="Arial" w:hAnsi="Arial" w:cs="Arial"/>
          <w:sz w:val="22"/>
        </w:rPr>
        <w:t xml:space="preserve"> (E)</w:t>
      </w:r>
      <w:r>
        <w:rPr>
          <w:rFonts w:ascii="Arial" w:hAnsi="Arial" w:cs="Arial" w:hint="eastAsia"/>
          <w:sz w:val="22"/>
        </w:rPr>
        <w:t xml:space="preserve"> </w:t>
      </w:r>
      <w:r>
        <w:rPr>
          <w:rFonts w:ascii="Arial" w:hAnsi="Arial" w:cs="Arial"/>
          <w:sz w:val="22"/>
        </w:rPr>
        <w:t xml:space="preserve">Differential regulation </w:t>
      </w:r>
      <w:r>
        <w:rPr>
          <w:rFonts w:ascii="Arial" w:hAnsi="Arial" w:cs="Arial" w:hint="eastAsia"/>
          <w:sz w:val="22"/>
        </w:rPr>
        <w:t xml:space="preserve">of mRNAs in a </w:t>
      </w:r>
      <w:r>
        <w:rPr>
          <w:rFonts w:ascii="Arial" w:hAnsi="Arial" w:cs="Arial"/>
          <w:sz w:val="22"/>
        </w:rPr>
        <w:t>3'</w:t>
      </w:r>
      <w:r>
        <w:rPr>
          <w:rFonts w:ascii="Arial" w:hAnsi="Arial" w:cs="Arial" w:hint="eastAsia"/>
          <w:sz w:val="22"/>
        </w:rPr>
        <w:t>-</w:t>
      </w:r>
      <w:r>
        <w:rPr>
          <w:rFonts w:ascii="Arial" w:hAnsi="Arial" w:cs="Arial"/>
          <w:sz w:val="22"/>
        </w:rPr>
        <w:t>UTR</w:t>
      </w:r>
      <w:r>
        <w:rPr>
          <w:rFonts w:ascii="Arial" w:hAnsi="Arial" w:cs="Arial" w:hint="eastAsia"/>
          <w:sz w:val="22"/>
        </w:rPr>
        <w:t xml:space="preserve"> </w:t>
      </w:r>
      <w:r>
        <w:rPr>
          <w:rFonts w:ascii="Arial" w:hAnsi="Arial" w:cs="Arial"/>
          <w:sz w:val="22"/>
        </w:rPr>
        <w:t>length</w:t>
      </w:r>
      <w:r>
        <w:rPr>
          <w:rFonts w:ascii="Arial" w:hAnsi="Arial" w:cs="Arial" w:hint="eastAsia"/>
          <w:sz w:val="22"/>
        </w:rPr>
        <w:t xml:space="preserve">-dependent manner. </w:t>
      </w:r>
      <w:r>
        <w:rPr>
          <w:rFonts w:ascii="Arial" w:hAnsi="Arial" w:cs="Arial"/>
          <w:sz w:val="22"/>
        </w:rPr>
        <w:t>T</w:t>
      </w:r>
      <w:r>
        <w:rPr>
          <w:rFonts w:ascii="Arial" w:hAnsi="Arial" w:cs="Arial" w:hint="eastAsia"/>
          <w:sz w:val="22"/>
        </w:rPr>
        <w:t>ranscripts were ranked according to the length of 3</w:t>
      </w:r>
      <w:r>
        <w:rPr>
          <w:rFonts w:ascii="Arial" w:hAnsi="Arial" w:cs="Arial"/>
          <w:sz w:val="22"/>
        </w:rPr>
        <w:t>’</w:t>
      </w:r>
      <w:r>
        <w:rPr>
          <w:rFonts w:ascii="Arial" w:hAnsi="Arial" w:cs="Arial" w:hint="eastAsia"/>
          <w:sz w:val="22"/>
        </w:rPr>
        <w:t xml:space="preserve">-UTR from long to short, and then divided into </w:t>
      </w:r>
      <w:r>
        <w:rPr>
          <w:rFonts w:ascii="Arial" w:hAnsi="Arial" w:cs="Arial"/>
          <w:sz w:val="22"/>
        </w:rPr>
        <w:t>terciles</w:t>
      </w:r>
      <w:r>
        <w:rPr>
          <w:rFonts w:ascii="Arial" w:hAnsi="Arial" w:cs="Arial" w:hint="eastAsia"/>
          <w:sz w:val="22"/>
        </w:rPr>
        <w:t xml:space="preserve"> (long, medium and short). </w:t>
      </w:r>
      <w:r>
        <w:rPr>
          <w:rFonts w:ascii="Arial" w:hAnsi="Arial" w:cs="Arial"/>
          <w:sz w:val="22"/>
        </w:rPr>
        <w:t xml:space="preserve">The plot depicts the </w:t>
      </w:r>
      <w:r>
        <w:rPr>
          <w:rFonts w:ascii="Arial" w:hAnsi="Arial" w:cs="Arial"/>
          <w:color w:val="000000"/>
          <w:sz w:val="22"/>
        </w:rPr>
        <w:t>l</w:t>
      </w:r>
      <w:r>
        <w:rPr>
          <w:rFonts w:ascii="Arial" w:hAnsi="Arial" w:cs="Arial" w:hint="eastAsia"/>
          <w:color w:val="000000"/>
          <w:sz w:val="22"/>
        </w:rPr>
        <w:t xml:space="preserve">og2 fold change </w:t>
      </w:r>
      <w:r>
        <w:rPr>
          <w:rFonts w:ascii="Arial" w:hAnsi="Arial" w:cs="Arial"/>
          <w:color w:val="000000"/>
          <w:sz w:val="22"/>
        </w:rPr>
        <w:t xml:space="preserve">in transcript levels in </w:t>
      </w:r>
      <w:r>
        <w:rPr>
          <w:rFonts w:ascii="Arial" w:hAnsi="Arial" w:cs="Arial"/>
          <w:i/>
          <w:color w:val="000000"/>
          <w:sz w:val="22"/>
        </w:rPr>
        <w:t xml:space="preserve">Mov10 </w:t>
      </w:r>
      <w:r>
        <w:rPr>
          <w:rFonts w:ascii="Arial" w:hAnsi="Arial" w:cs="Arial"/>
          <w:color w:val="000000"/>
          <w:sz w:val="22"/>
        </w:rPr>
        <w:t>knockdown vs control SPCs</w:t>
      </w:r>
      <w:r>
        <w:rPr>
          <w:rFonts w:ascii="Arial" w:hAnsi="Arial" w:cs="Arial" w:hint="eastAsia"/>
          <w:color w:val="000000"/>
          <w:sz w:val="22"/>
        </w:rPr>
        <w:t xml:space="preserve">. </w:t>
      </w:r>
      <w:r>
        <w:rPr>
          <w:rFonts w:ascii="Arial" w:hAnsi="Arial" w:cs="Arial" w:hint="eastAsia"/>
          <w:sz w:val="22"/>
        </w:rPr>
        <w:t>(</w:t>
      </w:r>
      <w:r>
        <w:rPr>
          <w:rFonts w:ascii="Arial" w:hAnsi="Arial" w:cs="Arial"/>
          <w:sz w:val="22"/>
        </w:rPr>
        <w:t>F</w:t>
      </w:r>
      <w:r>
        <w:rPr>
          <w:rFonts w:ascii="Arial" w:hAnsi="Arial" w:cs="Arial" w:hint="eastAsia"/>
          <w:sz w:val="22"/>
        </w:rPr>
        <w:t xml:space="preserve">) </w:t>
      </w:r>
      <w:r>
        <w:rPr>
          <w:rFonts w:ascii="Arial" w:hAnsi="Arial" w:cs="Arial"/>
          <w:color w:val="000000"/>
          <w:sz w:val="22"/>
        </w:rPr>
        <w:t>Quantification</w:t>
      </w:r>
      <w:r>
        <w:rPr>
          <w:rFonts w:ascii="Arial" w:hAnsi="Arial" w:cs="Arial" w:hint="eastAsia"/>
          <w:color w:val="000000"/>
          <w:sz w:val="22"/>
        </w:rPr>
        <w:t xml:space="preserve"> of upregulated and downregulated transcripts </w:t>
      </w:r>
      <w:r>
        <w:rPr>
          <w:rFonts w:ascii="Arial" w:hAnsi="Arial" w:cs="Arial"/>
          <w:color w:val="000000"/>
          <w:sz w:val="22"/>
        </w:rPr>
        <w:t>according to UTR length terciles</w:t>
      </w:r>
      <w:r>
        <w:rPr>
          <w:rFonts w:ascii="Arial" w:hAnsi="Arial" w:cs="Arial" w:hint="eastAsia"/>
          <w:color w:val="000000"/>
          <w:sz w:val="22"/>
        </w:rPr>
        <w:t>.</w:t>
      </w:r>
      <w:r w:rsidR="004C779A">
        <w:rPr>
          <w:rFonts w:ascii="Arial" w:hAnsi="Arial" w:cs="Arial"/>
          <w:color w:val="000000"/>
          <w:sz w:val="22"/>
        </w:rPr>
        <w:t xml:space="preserve"> (G) </w:t>
      </w:r>
      <w:r w:rsidR="000A6077" w:rsidRPr="000A6077">
        <w:rPr>
          <w:rFonts w:ascii="Arial" w:hAnsi="Arial" w:cs="Arial"/>
          <w:bCs/>
          <w:kern w:val="0"/>
          <w:sz w:val="22"/>
        </w:rPr>
        <w:t>Western blot analysis of three classical factors involved in miRNA biogenesis</w:t>
      </w:r>
    </w:p>
    <w:p w:rsidR="00CB7A79" w:rsidRDefault="00CB7A79">
      <w:pPr>
        <w:spacing w:line="480" w:lineRule="auto"/>
        <w:rPr>
          <w:rFonts w:ascii="Arial" w:hAnsi="Arial" w:cs="Arial"/>
          <w:color w:val="000000"/>
          <w:sz w:val="22"/>
        </w:rPr>
      </w:pPr>
    </w:p>
    <w:p w:rsidR="006735A2" w:rsidRDefault="006735A2">
      <w:pPr>
        <w:spacing w:line="480" w:lineRule="auto"/>
        <w:rPr>
          <w:rFonts w:ascii="Arial" w:hAnsi="Arial" w:cs="Arial"/>
          <w:color w:val="000000"/>
          <w:sz w:val="22"/>
        </w:rPr>
      </w:pPr>
    </w:p>
    <w:p w:rsidR="006735A2" w:rsidRDefault="006735A2">
      <w:pPr>
        <w:spacing w:line="480" w:lineRule="auto"/>
        <w:rPr>
          <w:rFonts w:ascii="Arial" w:hAnsi="Arial" w:cs="Arial"/>
          <w:color w:val="000000"/>
          <w:sz w:val="22"/>
        </w:rPr>
      </w:pPr>
    </w:p>
    <w:p w:rsidR="006735A2" w:rsidRPr="006735A2" w:rsidRDefault="006735A2">
      <w:pPr>
        <w:spacing w:line="480" w:lineRule="auto"/>
        <w:rPr>
          <w:rFonts w:ascii="Arial" w:hAnsi="Arial" w:cs="Arial"/>
          <w:color w:val="000000"/>
          <w:sz w:val="22"/>
        </w:rPr>
      </w:pPr>
    </w:p>
    <w:p w:rsidR="00CB7A79" w:rsidRDefault="0096510E">
      <w:pPr>
        <w:spacing w:line="480" w:lineRule="auto"/>
        <w:jc w:val="center"/>
        <w:rPr>
          <w:rFonts w:ascii="Arial" w:hAnsi="Arial" w:cs="Arial"/>
          <w:color w:val="000000"/>
          <w:sz w:val="22"/>
        </w:rPr>
      </w:pPr>
      <w:r>
        <w:rPr>
          <w:rFonts w:ascii="Arial" w:hAnsi="Arial" w:cs="Arial"/>
          <w:noProof/>
          <w:color w:val="000000"/>
          <w:sz w:val="22"/>
        </w:rPr>
        <w:lastRenderedPageBreak/>
        <w:drawing>
          <wp:inline distT="0" distB="0" distL="0" distR="0">
            <wp:extent cx="6157579" cy="36957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7.jpg"/>
                    <pic:cNvPicPr/>
                  </pic:nvPicPr>
                  <pic:blipFill>
                    <a:blip r:embed="rId15">
                      <a:extLst>
                        <a:ext uri="{28A0092B-C50C-407E-A947-70E740481C1C}">
                          <a14:useLocalDpi xmlns:a14="http://schemas.microsoft.com/office/drawing/2010/main" val="0"/>
                        </a:ext>
                      </a:extLst>
                    </a:blip>
                    <a:stretch>
                      <a:fillRect/>
                    </a:stretch>
                  </pic:blipFill>
                  <pic:spPr>
                    <a:xfrm>
                      <a:off x="0" y="0"/>
                      <a:ext cx="6170771" cy="3703618"/>
                    </a:xfrm>
                    <a:prstGeom prst="rect">
                      <a:avLst/>
                    </a:prstGeom>
                  </pic:spPr>
                </pic:pic>
              </a:graphicData>
            </a:graphic>
          </wp:inline>
        </w:drawing>
      </w:r>
    </w:p>
    <w:p w:rsidR="00CB7A79" w:rsidRDefault="008502F3">
      <w:pPr>
        <w:spacing w:line="480" w:lineRule="auto"/>
        <w:rPr>
          <w:rFonts w:ascii="Arial" w:hAnsi="Arial" w:cs="Arial"/>
          <w:b/>
          <w:kern w:val="0"/>
          <w:sz w:val="22"/>
        </w:rPr>
      </w:pPr>
      <w:r>
        <w:rPr>
          <w:rFonts w:ascii="Arial" w:eastAsia="ArialMT" w:hAnsi="Arial" w:cs="Arial"/>
          <w:b/>
          <w:kern w:val="0"/>
          <w:sz w:val="22"/>
        </w:rPr>
        <w:t xml:space="preserve">Figure </w:t>
      </w:r>
      <w:r>
        <w:rPr>
          <w:rFonts w:ascii="Arial" w:hAnsi="Arial" w:cs="Arial" w:hint="eastAsia"/>
          <w:b/>
          <w:kern w:val="0"/>
          <w:sz w:val="22"/>
        </w:rPr>
        <w:t>S</w:t>
      </w:r>
      <w:r>
        <w:rPr>
          <w:rFonts w:ascii="Arial" w:eastAsia="ArialMT" w:hAnsi="Arial" w:cs="Arial"/>
          <w:b/>
          <w:kern w:val="0"/>
          <w:sz w:val="22"/>
        </w:rPr>
        <w:t>7</w:t>
      </w:r>
      <w:r>
        <w:rPr>
          <w:rFonts w:ascii="Arial" w:eastAsia="ArialMT" w:hAnsi="Arial" w:cs="Arial" w:hint="eastAsia"/>
          <w:b/>
          <w:kern w:val="0"/>
          <w:sz w:val="22"/>
        </w:rPr>
        <w:t>.</w:t>
      </w:r>
      <w:r>
        <w:rPr>
          <w:rFonts w:ascii="Arial" w:hAnsi="Arial" w:cs="Arial" w:hint="eastAsia"/>
          <w:bCs/>
          <w:kern w:val="0"/>
          <w:sz w:val="22"/>
        </w:rPr>
        <w:t xml:space="preserve"> </w:t>
      </w:r>
      <w:r w:rsidRPr="00D800CC">
        <w:rPr>
          <w:rFonts w:ascii="Arial" w:hAnsi="Arial" w:cs="Arial"/>
          <w:bCs/>
          <w:kern w:val="0"/>
          <w:sz w:val="22"/>
        </w:rPr>
        <w:t>GO analysis of upregulation genes in shMov10 SPCs</w:t>
      </w:r>
      <w:r w:rsidRPr="00D800CC">
        <w:rPr>
          <w:rFonts w:ascii="Arial" w:hAnsi="Arial" w:cs="Arial" w:hint="eastAsia"/>
          <w:bCs/>
          <w:kern w:val="0"/>
          <w:sz w:val="22"/>
        </w:rPr>
        <w:t xml:space="preserve">. </w:t>
      </w:r>
      <w:r>
        <w:rPr>
          <w:rFonts w:ascii="Arial" w:hAnsi="Arial" w:cs="Arial"/>
          <w:sz w:val="22"/>
        </w:rPr>
        <w:t>The most enriched gene ontology (GO) terms among upregulated mRNAs in Mov10 knockdown SPCs.</w:t>
      </w:r>
    </w:p>
    <w:p w:rsidR="00CB7A79" w:rsidRDefault="008502F3">
      <w:pPr>
        <w:spacing w:line="480" w:lineRule="auto"/>
        <w:jc w:val="center"/>
        <w:rPr>
          <w:rFonts w:ascii="Arial" w:hAnsi="Arial" w:cs="Arial"/>
          <w:b/>
          <w:kern w:val="0"/>
          <w:sz w:val="22"/>
        </w:rPr>
      </w:pPr>
      <w:r>
        <w:rPr>
          <w:noProof/>
        </w:rPr>
        <w:lastRenderedPageBreak/>
        <w:drawing>
          <wp:inline distT="0" distB="0" distL="0" distR="0">
            <wp:extent cx="6480810" cy="49758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6480810" cy="4975860"/>
                    </a:xfrm>
                    <a:prstGeom prst="rect">
                      <a:avLst/>
                    </a:prstGeom>
                  </pic:spPr>
                </pic:pic>
              </a:graphicData>
            </a:graphic>
          </wp:inline>
        </w:drawing>
      </w:r>
    </w:p>
    <w:p w:rsidR="00CB7A79" w:rsidRDefault="008502F3">
      <w:pPr>
        <w:spacing w:line="480" w:lineRule="auto"/>
        <w:rPr>
          <w:rFonts w:ascii="Arial" w:hAnsi="Arial" w:cs="Arial"/>
          <w:bCs/>
          <w:kern w:val="0"/>
          <w:sz w:val="22"/>
        </w:rPr>
      </w:pPr>
      <w:r>
        <w:rPr>
          <w:rFonts w:ascii="Arial" w:eastAsia="ArialMT" w:hAnsi="Arial" w:cs="Arial"/>
          <w:b/>
          <w:kern w:val="0"/>
          <w:sz w:val="22"/>
        </w:rPr>
        <w:t xml:space="preserve">Figure </w:t>
      </w:r>
      <w:r>
        <w:rPr>
          <w:rFonts w:ascii="Arial" w:hAnsi="Arial" w:cs="Arial" w:hint="eastAsia"/>
          <w:b/>
          <w:kern w:val="0"/>
          <w:sz w:val="22"/>
        </w:rPr>
        <w:t>S</w:t>
      </w:r>
      <w:r>
        <w:rPr>
          <w:rFonts w:ascii="Arial" w:eastAsia="ArialMT" w:hAnsi="Arial" w:cs="Arial"/>
          <w:b/>
          <w:kern w:val="0"/>
          <w:sz w:val="22"/>
        </w:rPr>
        <w:t>8</w:t>
      </w:r>
      <w:r>
        <w:rPr>
          <w:rFonts w:ascii="Arial" w:eastAsia="ArialMT" w:hAnsi="Arial" w:cs="Arial" w:hint="eastAsia"/>
          <w:b/>
          <w:kern w:val="0"/>
          <w:sz w:val="22"/>
        </w:rPr>
        <w:t>.</w:t>
      </w:r>
      <w:r>
        <w:rPr>
          <w:rFonts w:ascii="Arial" w:hAnsi="Arial" w:cs="Arial" w:hint="eastAsia"/>
          <w:b/>
          <w:kern w:val="0"/>
          <w:sz w:val="22"/>
        </w:rPr>
        <w:t xml:space="preserve"> </w:t>
      </w:r>
      <w:r w:rsidRPr="00D800CC">
        <w:rPr>
          <w:rFonts w:ascii="Arial" w:hAnsi="Arial" w:cs="Arial"/>
          <w:sz w:val="22"/>
        </w:rPr>
        <w:t xml:space="preserve">Effect of </w:t>
      </w:r>
      <w:r w:rsidRPr="00D800CC">
        <w:rPr>
          <w:rFonts w:ascii="Arial" w:eastAsia="宋体" w:hAnsi="Arial" w:cs="Arial"/>
          <w:i/>
          <w:sz w:val="22"/>
        </w:rPr>
        <w:t xml:space="preserve">Mov10 </w:t>
      </w:r>
      <w:r w:rsidRPr="00D800CC">
        <w:rPr>
          <w:rFonts w:ascii="Arial" w:hAnsi="Arial" w:cs="Arial"/>
          <w:sz w:val="22"/>
        </w:rPr>
        <w:t>overexpression on SPCs</w:t>
      </w:r>
      <w:r w:rsidRPr="00D800CC">
        <w:rPr>
          <w:rFonts w:ascii="Arial" w:hAnsi="Arial" w:cs="Arial"/>
          <w:bCs/>
          <w:kern w:val="0"/>
          <w:sz w:val="22"/>
        </w:rPr>
        <w:t>.</w:t>
      </w:r>
      <w:r>
        <w:rPr>
          <w:rFonts w:ascii="Arial" w:hAnsi="Arial" w:cs="Arial" w:hint="eastAsia"/>
          <w:b/>
          <w:bCs/>
          <w:kern w:val="0"/>
          <w:sz w:val="22"/>
        </w:rPr>
        <w:t xml:space="preserve"> </w:t>
      </w:r>
      <w:r>
        <w:rPr>
          <w:rFonts w:ascii="Arial" w:hAnsi="Arial" w:cs="Arial" w:hint="eastAsia"/>
          <w:bCs/>
          <w:kern w:val="0"/>
          <w:sz w:val="22"/>
        </w:rPr>
        <w:t xml:space="preserve">(A) </w:t>
      </w:r>
      <w:r>
        <w:rPr>
          <w:rFonts w:ascii="Arial" w:hAnsi="Arial" w:cs="Arial"/>
          <w:i/>
          <w:sz w:val="22"/>
        </w:rPr>
        <w:t>I</w:t>
      </w:r>
      <w:r>
        <w:rPr>
          <w:rFonts w:ascii="Arial" w:hAnsi="Arial" w:cs="Arial" w:hint="eastAsia"/>
          <w:i/>
          <w:sz w:val="22"/>
        </w:rPr>
        <w:t xml:space="preserve">n vitro </w:t>
      </w:r>
      <w:r>
        <w:rPr>
          <w:rFonts w:ascii="Arial" w:hAnsi="Arial" w:cs="Arial"/>
          <w:sz w:val="22"/>
        </w:rPr>
        <w:t>culture</w:t>
      </w:r>
      <w:r>
        <w:rPr>
          <w:rFonts w:ascii="Arial" w:hAnsi="Arial" w:cs="Arial" w:hint="eastAsia"/>
          <w:sz w:val="22"/>
        </w:rPr>
        <w:t xml:space="preserve">d germ cells </w:t>
      </w:r>
      <w:r>
        <w:rPr>
          <w:rFonts w:ascii="Arial" w:hAnsi="Arial" w:cs="Arial"/>
          <w:sz w:val="22"/>
        </w:rPr>
        <w:t xml:space="preserve">overexpressing MOV10 form large colonies. Colony size was assessed 5 days after transfection with control plasmid (GFP expression </w:t>
      </w:r>
      <w:r>
        <w:rPr>
          <w:rFonts w:ascii="Arial" w:hAnsi="Arial" w:cs="Arial" w:hint="eastAsia"/>
          <w:sz w:val="22"/>
        </w:rPr>
        <w:t xml:space="preserve">plasmid </w:t>
      </w:r>
      <w:r>
        <w:rPr>
          <w:rFonts w:ascii="Arial" w:hAnsi="Arial" w:cs="Arial"/>
          <w:sz w:val="22"/>
        </w:rPr>
        <w:t>pCDH-</w:t>
      </w:r>
      <w:r>
        <w:rPr>
          <w:rFonts w:ascii="Arial" w:hAnsi="Arial" w:cs="Arial" w:hint="eastAsia"/>
          <w:sz w:val="22"/>
        </w:rPr>
        <w:t>GFP</w:t>
      </w:r>
      <w:r>
        <w:rPr>
          <w:rFonts w:ascii="Arial" w:hAnsi="Arial" w:cs="Arial"/>
          <w:sz w:val="22"/>
        </w:rPr>
        <w:t>) or MOV10 expression construct (</w:t>
      </w:r>
      <w:r>
        <w:rPr>
          <w:rFonts w:ascii="Arial" w:hAnsi="Arial" w:cs="Arial" w:hint="eastAsia"/>
          <w:sz w:val="22"/>
        </w:rPr>
        <w:t>pCDH-MOV10</w:t>
      </w:r>
      <w:r>
        <w:rPr>
          <w:rFonts w:ascii="Arial" w:hAnsi="Arial" w:cs="Arial"/>
          <w:sz w:val="22"/>
        </w:rPr>
        <w:t>). Scale bare, 20</w:t>
      </w:r>
      <w:r>
        <w:rPr>
          <w:rFonts w:ascii="Arial" w:hAnsi="Arial" w:cs="Arial" w:hint="eastAsia"/>
          <w:sz w:val="22"/>
        </w:rPr>
        <w:t xml:space="preserve"> </w:t>
      </w:r>
      <w:r>
        <w:rPr>
          <w:rFonts w:ascii="Arial" w:hAnsi="Arial" w:cs="Arial"/>
          <w:sz w:val="22"/>
        </w:rPr>
        <w:t>µm.</w:t>
      </w:r>
      <w:r>
        <w:rPr>
          <w:rFonts w:ascii="Arial" w:hAnsi="Arial" w:cs="Arial" w:hint="eastAsia"/>
          <w:sz w:val="22"/>
        </w:rPr>
        <w:t xml:space="preserve"> (B) </w:t>
      </w:r>
      <w:r>
        <w:rPr>
          <w:rFonts w:ascii="Arial" w:eastAsia="宋体" w:hAnsi="Arial" w:cs="Arial" w:hint="eastAsia"/>
          <w:sz w:val="22"/>
        </w:rPr>
        <w:t>T</w:t>
      </w:r>
      <w:r>
        <w:rPr>
          <w:rFonts w:ascii="Arial" w:eastAsia="宋体" w:hAnsi="Arial" w:cs="Arial"/>
          <w:sz w:val="22"/>
        </w:rPr>
        <w:t xml:space="preserve">otal cell number in SPC cultures </w:t>
      </w:r>
      <w:r>
        <w:rPr>
          <w:rFonts w:ascii="Arial" w:eastAsia="宋体" w:hAnsi="Arial" w:cs="Arial" w:hint="eastAsia"/>
          <w:sz w:val="22"/>
        </w:rPr>
        <w:t xml:space="preserve">after MOV10 overexpression. </w:t>
      </w:r>
      <w:r>
        <w:rPr>
          <w:rFonts w:ascii="Arial" w:hAnsi="Arial" w:cs="Arial" w:hint="eastAsia"/>
          <w:sz w:val="22"/>
        </w:rPr>
        <w:t>The error bars</w:t>
      </w:r>
      <w:bookmarkStart w:id="1" w:name="OLE_LINK2"/>
      <w:r>
        <w:rPr>
          <w:rFonts w:ascii="Arial" w:hAnsi="Arial" w:cs="Arial" w:hint="eastAsia"/>
          <w:sz w:val="22"/>
        </w:rPr>
        <w:t xml:space="preserve"> represent variation among </w:t>
      </w:r>
      <w:bookmarkEnd w:id="1"/>
      <w:r>
        <w:rPr>
          <w:rFonts w:ascii="Arial" w:hAnsi="Arial" w:cs="Arial" w:hint="eastAsia"/>
          <w:sz w:val="22"/>
        </w:rPr>
        <w:t xml:space="preserve">biological </w:t>
      </w:r>
      <w:r>
        <w:rPr>
          <w:rFonts w:ascii="Arial" w:hAnsi="Arial" w:cs="Arial"/>
          <w:sz w:val="22"/>
        </w:rPr>
        <w:t>triplicates.</w:t>
      </w:r>
      <w:r>
        <w:rPr>
          <w:rFonts w:ascii="Arial" w:hAnsi="Arial" w:cs="Arial" w:hint="eastAsia"/>
          <w:bCs/>
          <w:kern w:val="0"/>
          <w:sz w:val="22"/>
        </w:rPr>
        <w:t xml:space="preserve"> (C) Q-PCR analysis of mRNA levels of</w:t>
      </w:r>
      <w:r>
        <w:rPr>
          <w:rFonts w:ascii="Arial" w:hAnsi="Arial" w:cs="Arial" w:hint="eastAsia"/>
          <w:bCs/>
          <w:i/>
          <w:kern w:val="0"/>
          <w:sz w:val="22"/>
        </w:rPr>
        <w:t xml:space="preserve"> Mov10 </w:t>
      </w:r>
      <w:r>
        <w:rPr>
          <w:rFonts w:ascii="Arial" w:hAnsi="Arial" w:cs="Arial" w:hint="eastAsia"/>
          <w:bCs/>
          <w:kern w:val="0"/>
          <w:sz w:val="22"/>
        </w:rPr>
        <w:t xml:space="preserve">and genes </w:t>
      </w:r>
      <w:r>
        <w:rPr>
          <w:rFonts w:ascii="Arial" w:hAnsi="Arial" w:cs="Arial"/>
          <w:bCs/>
          <w:kern w:val="0"/>
          <w:sz w:val="22"/>
        </w:rPr>
        <w:t>with known role in regulation of</w:t>
      </w:r>
      <w:r>
        <w:rPr>
          <w:rFonts w:ascii="Arial" w:hAnsi="Arial" w:cs="Arial" w:hint="eastAsia"/>
          <w:bCs/>
          <w:kern w:val="0"/>
          <w:sz w:val="22"/>
        </w:rPr>
        <w:t xml:space="preserve"> SPC </w:t>
      </w:r>
      <w:r>
        <w:rPr>
          <w:rFonts w:ascii="Arial" w:hAnsi="Arial" w:cs="Arial"/>
          <w:bCs/>
          <w:kern w:val="0"/>
          <w:sz w:val="22"/>
        </w:rPr>
        <w:t>fate</w:t>
      </w:r>
      <w:r>
        <w:rPr>
          <w:rFonts w:ascii="Arial" w:hAnsi="Arial" w:cs="Arial" w:hint="eastAsia"/>
          <w:bCs/>
          <w:kern w:val="0"/>
          <w:sz w:val="22"/>
        </w:rPr>
        <w:t xml:space="preserve">. </w:t>
      </w:r>
      <w:r>
        <w:rPr>
          <w:rFonts w:ascii="Arial" w:hAnsi="Arial" w:cs="Arial"/>
          <w:sz w:val="22"/>
        </w:rPr>
        <w:t>Results represent data from biological triplicates.</w:t>
      </w:r>
      <w:r>
        <w:rPr>
          <w:rFonts w:ascii="Arial" w:hAnsi="Arial" w:cs="Arial" w:hint="eastAsia"/>
          <w:bCs/>
          <w:kern w:val="0"/>
          <w:sz w:val="22"/>
        </w:rPr>
        <w:t xml:space="preserve"> (D) Western blot analysis of the protein levels of MOV10 and ZBTB16, with LIN28 and ACTIN as controls.</w:t>
      </w:r>
    </w:p>
    <w:p w:rsidR="00CB7A79" w:rsidRDefault="00CB7A79">
      <w:pPr>
        <w:spacing w:line="480" w:lineRule="auto"/>
        <w:rPr>
          <w:rFonts w:ascii="Arial" w:hAnsi="Arial" w:cs="Arial"/>
          <w:bCs/>
          <w:kern w:val="0"/>
          <w:sz w:val="22"/>
        </w:rPr>
      </w:pPr>
    </w:p>
    <w:p w:rsidR="00CB7A79" w:rsidRDefault="00CB7A79">
      <w:pPr>
        <w:spacing w:line="480" w:lineRule="auto"/>
        <w:rPr>
          <w:rFonts w:ascii="Arial" w:hAnsi="Arial" w:cs="Arial"/>
          <w:bCs/>
          <w:kern w:val="0"/>
          <w:sz w:val="22"/>
        </w:rPr>
      </w:pPr>
    </w:p>
    <w:p w:rsidR="00CB7A79" w:rsidRDefault="00CB7A79">
      <w:pPr>
        <w:spacing w:line="480" w:lineRule="auto"/>
        <w:rPr>
          <w:rFonts w:ascii="Arial" w:hAnsi="Arial" w:cs="Arial"/>
          <w:bCs/>
          <w:kern w:val="0"/>
          <w:sz w:val="22"/>
        </w:rPr>
      </w:pPr>
    </w:p>
    <w:p w:rsidR="00CB7A79" w:rsidRDefault="00A973B3">
      <w:pPr>
        <w:spacing w:line="480" w:lineRule="auto"/>
        <w:jc w:val="center"/>
        <w:rPr>
          <w:rFonts w:ascii="Arial" w:hAnsi="Arial" w:cs="Arial"/>
          <w:bCs/>
          <w:kern w:val="0"/>
          <w:sz w:val="22"/>
        </w:rPr>
      </w:pPr>
      <w:r>
        <w:rPr>
          <w:rFonts w:ascii="Arial" w:hAnsi="Arial" w:cs="Arial"/>
          <w:bCs/>
          <w:noProof/>
          <w:kern w:val="0"/>
          <w:sz w:val="22"/>
        </w:rPr>
        <w:lastRenderedPageBreak/>
        <w:drawing>
          <wp:inline distT="0" distB="0" distL="0" distR="0">
            <wp:extent cx="3852672" cy="6669024"/>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jpg"/>
                    <pic:cNvPicPr/>
                  </pic:nvPicPr>
                  <pic:blipFill>
                    <a:blip r:embed="rId17">
                      <a:extLst>
                        <a:ext uri="{28A0092B-C50C-407E-A947-70E740481C1C}">
                          <a14:useLocalDpi xmlns:a14="http://schemas.microsoft.com/office/drawing/2010/main" val="0"/>
                        </a:ext>
                      </a:extLst>
                    </a:blip>
                    <a:stretch>
                      <a:fillRect/>
                    </a:stretch>
                  </pic:blipFill>
                  <pic:spPr>
                    <a:xfrm>
                      <a:off x="0" y="0"/>
                      <a:ext cx="3852672" cy="6669024"/>
                    </a:xfrm>
                    <a:prstGeom prst="rect">
                      <a:avLst/>
                    </a:prstGeom>
                  </pic:spPr>
                </pic:pic>
              </a:graphicData>
            </a:graphic>
          </wp:inline>
        </w:drawing>
      </w:r>
    </w:p>
    <w:p w:rsidR="00CB7A79" w:rsidRDefault="008502F3">
      <w:pPr>
        <w:spacing w:line="480" w:lineRule="auto"/>
        <w:rPr>
          <w:rFonts w:ascii="Arial" w:hAnsi="Arial" w:cs="Arial"/>
          <w:sz w:val="22"/>
        </w:rPr>
      </w:pPr>
      <w:r>
        <w:rPr>
          <w:rFonts w:ascii="Arial" w:hAnsi="Arial" w:cs="Arial"/>
          <w:b/>
          <w:sz w:val="22"/>
        </w:rPr>
        <w:t xml:space="preserve">Figure S9. </w:t>
      </w:r>
      <w:r w:rsidRPr="00D800CC">
        <w:rPr>
          <w:rFonts w:ascii="Arial" w:hAnsi="Arial" w:cs="Arial"/>
          <w:sz w:val="22"/>
        </w:rPr>
        <w:t xml:space="preserve">MOV10 regulates miRNA precursors via 3’-UTR processing. </w:t>
      </w:r>
      <w:r>
        <w:rPr>
          <w:rFonts w:ascii="Arial" w:hAnsi="Arial" w:cs="Arial"/>
          <w:sz w:val="22"/>
        </w:rPr>
        <w:t>MiRNA processing events on 3’-UTR were assessed as described in Figure 4.</w:t>
      </w:r>
    </w:p>
    <w:p w:rsidR="00CB7A79" w:rsidRDefault="00CB7A79">
      <w:pPr>
        <w:spacing w:line="480" w:lineRule="auto"/>
        <w:jc w:val="left"/>
        <w:rPr>
          <w:rFonts w:ascii="Arial" w:hAnsi="Arial" w:cs="Arial"/>
          <w:b/>
          <w:sz w:val="22"/>
        </w:rPr>
      </w:pPr>
    </w:p>
    <w:p w:rsidR="00CB7A79" w:rsidRDefault="00A973B3">
      <w:pPr>
        <w:spacing w:line="480" w:lineRule="auto"/>
        <w:jc w:val="center"/>
        <w:rPr>
          <w:rFonts w:ascii="Arial" w:hAnsi="Arial" w:cs="Arial"/>
          <w:b/>
          <w:sz w:val="22"/>
        </w:rPr>
      </w:pPr>
      <w:r>
        <w:rPr>
          <w:rFonts w:ascii="Arial" w:hAnsi="Arial" w:cs="Arial"/>
          <w:b/>
          <w:noProof/>
          <w:sz w:val="22"/>
        </w:rPr>
        <w:lastRenderedPageBreak/>
        <w:drawing>
          <wp:inline distT="0" distB="0" distL="0" distR="0">
            <wp:extent cx="6029325" cy="7341169"/>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jpg"/>
                    <pic:cNvPicPr/>
                  </pic:nvPicPr>
                  <pic:blipFill>
                    <a:blip r:embed="rId18">
                      <a:extLst>
                        <a:ext uri="{28A0092B-C50C-407E-A947-70E740481C1C}">
                          <a14:useLocalDpi xmlns:a14="http://schemas.microsoft.com/office/drawing/2010/main" val="0"/>
                        </a:ext>
                      </a:extLst>
                    </a:blip>
                    <a:stretch>
                      <a:fillRect/>
                    </a:stretch>
                  </pic:blipFill>
                  <pic:spPr>
                    <a:xfrm>
                      <a:off x="0" y="0"/>
                      <a:ext cx="6029325" cy="7341169"/>
                    </a:xfrm>
                    <a:prstGeom prst="rect">
                      <a:avLst/>
                    </a:prstGeom>
                  </pic:spPr>
                </pic:pic>
              </a:graphicData>
            </a:graphic>
          </wp:inline>
        </w:drawing>
      </w:r>
    </w:p>
    <w:p w:rsidR="00CB7A79" w:rsidRDefault="008502F3">
      <w:pPr>
        <w:spacing w:line="480" w:lineRule="auto"/>
        <w:rPr>
          <w:rFonts w:ascii="Arial" w:hAnsi="Arial" w:cs="Arial"/>
          <w:sz w:val="22"/>
        </w:rPr>
      </w:pPr>
      <w:r>
        <w:rPr>
          <w:rFonts w:ascii="Arial" w:hAnsi="Arial" w:cs="Arial"/>
          <w:b/>
          <w:sz w:val="22"/>
        </w:rPr>
        <w:t xml:space="preserve">Figure S10. </w:t>
      </w:r>
      <w:r w:rsidRPr="00D800CC">
        <w:rPr>
          <w:rFonts w:ascii="Arial" w:hAnsi="Arial" w:cs="Arial"/>
          <w:sz w:val="22"/>
        </w:rPr>
        <w:t xml:space="preserve">MOV10 regulates mirtron splicing in SPCs. </w:t>
      </w:r>
      <w:r>
        <w:rPr>
          <w:rFonts w:ascii="Arial" w:hAnsi="Arial" w:cs="Arial"/>
          <w:sz w:val="22"/>
        </w:rPr>
        <w:t>Mirtron splicing events were assessed as described in Figure 4.</w:t>
      </w:r>
    </w:p>
    <w:p w:rsidR="00CB7A79" w:rsidRDefault="00A973B3">
      <w:pPr>
        <w:spacing w:line="480" w:lineRule="auto"/>
        <w:jc w:val="center"/>
        <w:rPr>
          <w:rFonts w:ascii="Arial" w:hAnsi="Arial" w:cs="Arial"/>
          <w:sz w:val="22"/>
        </w:rPr>
      </w:pPr>
      <w:r>
        <w:rPr>
          <w:rFonts w:ascii="Arial" w:hAnsi="Arial" w:cs="Arial"/>
          <w:noProof/>
          <w:sz w:val="22"/>
        </w:rPr>
        <w:lastRenderedPageBreak/>
        <w:drawing>
          <wp:inline distT="0" distB="0" distL="0" distR="0">
            <wp:extent cx="5667375" cy="6900467"/>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1.jpg"/>
                    <pic:cNvPicPr/>
                  </pic:nvPicPr>
                  <pic:blipFill>
                    <a:blip r:embed="rId19">
                      <a:extLst>
                        <a:ext uri="{28A0092B-C50C-407E-A947-70E740481C1C}">
                          <a14:useLocalDpi xmlns:a14="http://schemas.microsoft.com/office/drawing/2010/main" val="0"/>
                        </a:ext>
                      </a:extLst>
                    </a:blip>
                    <a:stretch>
                      <a:fillRect/>
                    </a:stretch>
                  </pic:blipFill>
                  <pic:spPr>
                    <a:xfrm>
                      <a:off x="0" y="0"/>
                      <a:ext cx="5673466" cy="6907884"/>
                    </a:xfrm>
                    <a:prstGeom prst="rect">
                      <a:avLst/>
                    </a:prstGeom>
                  </pic:spPr>
                </pic:pic>
              </a:graphicData>
            </a:graphic>
          </wp:inline>
        </w:drawing>
      </w:r>
    </w:p>
    <w:p w:rsidR="00CB7A79" w:rsidRDefault="008502F3">
      <w:pPr>
        <w:spacing w:line="480" w:lineRule="auto"/>
        <w:rPr>
          <w:rFonts w:ascii="Arial" w:hAnsi="Arial" w:cs="Arial"/>
          <w:sz w:val="22"/>
        </w:rPr>
      </w:pPr>
      <w:r>
        <w:rPr>
          <w:rFonts w:ascii="Arial" w:hAnsi="Arial" w:cs="Arial"/>
          <w:b/>
          <w:sz w:val="22"/>
        </w:rPr>
        <w:t xml:space="preserve">Figure S11. </w:t>
      </w:r>
      <w:r w:rsidRPr="00D800CC">
        <w:rPr>
          <w:rFonts w:ascii="Arial" w:hAnsi="Arial" w:cs="Arial"/>
          <w:sz w:val="22"/>
        </w:rPr>
        <w:t>MOV10 regulates splicing of non-mirtron intronic miRNA in SPCs. S</w:t>
      </w:r>
      <w:r>
        <w:rPr>
          <w:rFonts w:ascii="Arial" w:hAnsi="Arial" w:cs="Arial"/>
          <w:sz w:val="22"/>
        </w:rPr>
        <w:t>plicing events for intronic miRNAs other than mirtron were assessed as described in Figure 4. The r</w:t>
      </w:r>
      <w:r>
        <w:rPr>
          <w:rFonts w:ascii="Arial" w:hAnsi="Arial" w:cs="Arial" w:hint="eastAsia"/>
          <w:sz w:val="22"/>
        </w:rPr>
        <w:t>ed a</w:t>
      </w:r>
      <w:r>
        <w:rPr>
          <w:rFonts w:ascii="Arial" w:hAnsi="Arial" w:cs="Arial"/>
          <w:sz w:val="22"/>
        </w:rPr>
        <w:t>sterisk marks a nonspeci</w:t>
      </w:r>
      <w:r>
        <w:rPr>
          <w:rFonts w:ascii="Arial" w:hAnsi="Arial" w:cs="Arial" w:hint="eastAsia"/>
          <w:sz w:val="22"/>
        </w:rPr>
        <w:t>fic band.</w:t>
      </w:r>
    </w:p>
    <w:p w:rsidR="00CB7A79" w:rsidRDefault="00CB7A79">
      <w:pPr>
        <w:spacing w:line="480" w:lineRule="auto"/>
        <w:rPr>
          <w:rFonts w:ascii="Arial" w:hAnsi="Arial" w:cs="Arial"/>
          <w:sz w:val="22"/>
        </w:rPr>
      </w:pPr>
    </w:p>
    <w:p w:rsidR="00CB7A79" w:rsidRDefault="008502F3">
      <w:pPr>
        <w:spacing w:line="480" w:lineRule="auto"/>
        <w:jc w:val="center"/>
        <w:rPr>
          <w:rFonts w:ascii="Arial" w:hAnsi="Arial" w:cs="Arial"/>
          <w:sz w:val="22"/>
        </w:rPr>
      </w:pPr>
      <w:r>
        <w:rPr>
          <w:rFonts w:ascii="Arial" w:hAnsi="Arial" w:cs="Arial"/>
          <w:noProof/>
          <w:sz w:val="22"/>
        </w:rPr>
        <w:lastRenderedPageBreak/>
        <w:drawing>
          <wp:inline distT="0" distB="0" distL="0" distR="0">
            <wp:extent cx="5584190" cy="351663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0"/>
                    <a:srcRect/>
                    <a:stretch>
                      <a:fillRect/>
                    </a:stretch>
                  </pic:blipFill>
                  <pic:spPr>
                    <a:xfrm>
                      <a:off x="0" y="0"/>
                      <a:ext cx="5583826" cy="3516568"/>
                    </a:xfrm>
                    <a:prstGeom prst="rect">
                      <a:avLst/>
                    </a:prstGeom>
                    <a:noFill/>
                    <a:ln w="9525">
                      <a:noFill/>
                      <a:miter lim="800000"/>
                      <a:headEnd/>
                      <a:tailEnd/>
                    </a:ln>
                  </pic:spPr>
                </pic:pic>
              </a:graphicData>
            </a:graphic>
          </wp:inline>
        </w:drawing>
      </w:r>
    </w:p>
    <w:p w:rsidR="00CB7A79" w:rsidRDefault="00CB7A79">
      <w:pPr>
        <w:spacing w:line="480" w:lineRule="auto"/>
        <w:jc w:val="center"/>
        <w:rPr>
          <w:rFonts w:ascii="Arial" w:hAnsi="Arial" w:cs="Arial"/>
          <w:sz w:val="22"/>
        </w:rPr>
      </w:pPr>
    </w:p>
    <w:p w:rsidR="00CB7A79" w:rsidRDefault="008502F3">
      <w:pPr>
        <w:spacing w:line="480" w:lineRule="auto"/>
        <w:rPr>
          <w:rFonts w:ascii="Arial" w:hAnsi="Arial" w:cs="Arial"/>
          <w:sz w:val="22"/>
        </w:rPr>
      </w:pPr>
      <w:r>
        <w:rPr>
          <w:rFonts w:ascii="Arial" w:hAnsi="Arial" w:cs="Arial"/>
          <w:b/>
          <w:sz w:val="22"/>
        </w:rPr>
        <w:t>Figure S12.</w:t>
      </w:r>
      <w:r>
        <w:rPr>
          <w:rFonts w:ascii="Arial" w:hAnsi="Arial" w:cs="Arial" w:hint="eastAsia"/>
          <w:b/>
          <w:sz w:val="22"/>
        </w:rPr>
        <w:t xml:space="preserve"> </w:t>
      </w:r>
      <w:r w:rsidRPr="00D800CC">
        <w:rPr>
          <w:rFonts w:ascii="Arial" w:hAnsi="Arial" w:cs="Arial"/>
          <w:sz w:val="22"/>
        </w:rPr>
        <w:t xml:space="preserve">MOV10 regulates </w:t>
      </w:r>
      <w:r w:rsidRPr="00D800CC">
        <w:rPr>
          <w:rFonts w:ascii="Arial" w:hAnsi="Arial" w:cs="Arial" w:hint="eastAsia"/>
          <w:sz w:val="22"/>
        </w:rPr>
        <w:t xml:space="preserve">alternative </w:t>
      </w:r>
      <w:r w:rsidRPr="00D800CC">
        <w:rPr>
          <w:rFonts w:ascii="Arial" w:hAnsi="Arial" w:cs="Arial"/>
          <w:sz w:val="22"/>
        </w:rPr>
        <w:t>splicing in SPCs.</w:t>
      </w:r>
      <w:r w:rsidRPr="00D800CC">
        <w:rPr>
          <w:rFonts w:ascii="Arial" w:hAnsi="Arial" w:cs="Arial" w:hint="eastAsia"/>
          <w:color w:val="FF0000"/>
          <w:sz w:val="22"/>
        </w:rPr>
        <w:t xml:space="preserve"> </w:t>
      </w:r>
      <w:r w:rsidRPr="00D800CC">
        <w:rPr>
          <w:rFonts w:ascii="Arial" w:hAnsi="Arial" w:cs="Arial" w:hint="eastAsia"/>
          <w:sz w:val="22"/>
        </w:rPr>
        <w:t>(</w:t>
      </w:r>
      <w:r>
        <w:rPr>
          <w:rFonts w:ascii="Arial" w:hAnsi="Arial" w:cs="Arial" w:hint="eastAsia"/>
          <w:sz w:val="22"/>
        </w:rPr>
        <w:t xml:space="preserve">A) </w:t>
      </w:r>
      <w:r>
        <w:rPr>
          <w:rFonts w:ascii="Arial" w:hAnsi="Arial" w:cs="Arial"/>
          <w:sz w:val="22"/>
        </w:rPr>
        <w:t>Schematic of the alternative splicing analysis for MISO model. White, alternatively spliced exon; gray and black, flanking constitutive exons. RNA-seq reads aligning to the alternative exon body (white) or to splice junctions involving this exon support the inclusive isoform (1,0), whereas reads joining the two constitutive exons (black gray exon junction) support the exclusive isoform (0,1). Reads aligning to the constitutive exons are common to both isoforms (1,1).</w:t>
      </w:r>
      <w:r>
        <w:rPr>
          <w:rFonts w:ascii="Arial" w:hAnsi="Arial" w:cs="Arial" w:hint="eastAsia"/>
          <w:sz w:val="22"/>
        </w:rPr>
        <w:t xml:space="preserve"> (</w:t>
      </w:r>
      <w:r>
        <w:rPr>
          <w:rFonts w:ascii="Arial" w:hAnsi="Arial" w:cs="Arial"/>
          <w:sz w:val="22"/>
        </w:rPr>
        <w:t>B</w:t>
      </w:r>
      <w:r>
        <w:rPr>
          <w:rFonts w:ascii="Arial" w:hAnsi="Arial" w:cs="Arial" w:hint="eastAsia"/>
          <w:sz w:val="22"/>
        </w:rPr>
        <w:t>)</w:t>
      </w:r>
      <w:r>
        <w:rPr>
          <w:rFonts w:ascii="Arial" w:hAnsi="Arial" w:cs="Arial"/>
          <w:sz w:val="22"/>
        </w:rPr>
        <w:t xml:space="preserve"> Alternative splicing events were classified into 5 different categories depicted schematically to the left, with blue and orange colors representing alternate events. The bar diagram depicts the number of corresponding events</w:t>
      </w:r>
      <w:r>
        <w:rPr>
          <w:rFonts w:ascii="Arial" w:hAnsi="Arial" w:cs="Arial" w:hint="eastAsia"/>
          <w:sz w:val="22"/>
        </w:rPr>
        <w:t xml:space="preserve"> </w:t>
      </w:r>
      <w:r>
        <w:rPr>
          <w:rFonts w:ascii="Arial" w:hAnsi="Arial" w:cs="Arial"/>
          <w:sz w:val="22"/>
        </w:rPr>
        <w:t>identified in RNA</w:t>
      </w:r>
      <w:r>
        <w:rPr>
          <w:rFonts w:ascii="Arial" w:hAnsi="Arial" w:cs="Arial" w:hint="eastAsia"/>
          <w:sz w:val="22"/>
        </w:rPr>
        <w:t>-</w:t>
      </w:r>
      <w:r>
        <w:rPr>
          <w:rFonts w:ascii="Arial" w:hAnsi="Arial" w:cs="Arial"/>
          <w:sz w:val="22"/>
        </w:rPr>
        <w:t>seq</w:t>
      </w:r>
      <w:r>
        <w:rPr>
          <w:rFonts w:ascii="Arial" w:hAnsi="Arial" w:cs="Arial" w:hint="eastAsia"/>
          <w:sz w:val="22"/>
        </w:rPr>
        <w:t xml:space="preserve"> </w:t>
      </w:r>
      <w:r>
        <w:rPr>
          <w:rFonts w:ascii="Arial" w:hAnsi="Arial" w:cs="Arial"/>
          <w:sz w:val="22"/>
        </w:rPr>
        <w:t xml:space="preserve">data from </w:t>
      </w:r>
      <w:r>
        <w:rPr>
          <w:rFonts w:ascii="Arial" w:hAnsi="Arial" w:cs="Arial"/>
          <w:i/>
          <w:sz w:val="22"/>
        </w:rPr>
        <w:t>Mov10</w:t>
      </w:r>
      <w:r>
        <w:rPr>
          <w:rFonts w:ascii="Arial" w:hAnsi="Arial" w:cs="Arial"/>
          <w:sz w:val="22"/>
        </w:rPr>
        <w:t xml:space="preserve"> knockdown SPC.</w:t>
      </w:r>
    </w:p>
    <w:p w:rsidR="00CB7A79" w:rsidRDefault="004513C8">
      <w:pPr>
        <w:spacing w:line="480" w:lineRule="auto"/>
        <w:jc w:val="center"/>
        <w:rPr>
          <w:rFonts w:ascii="Arial" w:hAnsi="Arial" w:cs="Arial"/>
          <w:sz w:val="22"/>
        </w:rPr>
      </w:pPr>
      <w:r>
        <w:rPr>
          <w:rFonts w:ascii="Arial" w:hAnsi="Arial" w:cs="Arial"/>
          <w:noProof/>
          <w:sz w:val="22"/>
        </w:rPr>
        <w:lastRenderedPageBreak/>
        <w:drawing>
          <wp:inline distT="0" distB="0" distL="0" distR="0">
            <wp:extent cx="6571246" cy="8001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3.jpg"/>
                    <pic:cNvPicPr/>
                  </pic:nvPicPr>
                  <pic:blipFill>
                    <a:blip r:embed="rId21">
                      <a:extLst>
                        <a:ext uri="{28A0092B-C50C-407E-A947-70E740481C1C}">
                          <a14:useLocalDpi xmlns:a14="http://schemas.microsoft.com/office/drawing/2010/main" val="0"/>
                        </a:ext>
                      </a:extLst>
                    </a:blip>
                    <a:stretch>
                      <a:fillRect/>
                    </a:stretch>
                  </pic:blipFill>
                  <pic:spPr>
                    <a:xfrm>
                      <a:off x="0" y="0"/>
                      <a:ext cx="6573153" cy="8003322"/>
                    </a:xfrm>
                    <a:prstGeom prst="rect">
                      <a:avLst/>
                    </a:prstGeom>
                  </pic:spPr>
                </pic:pic>
              </a:graphicData>
            </a:graphic>
          </wp:inline>
        </w:drawing>
      </w:r>
    </w:p>
    <w:p w:rsidR="00CB7A79" w:rsidRDefault="008502F3">
      <w:pPr>
        <w:spacing w:line="480" w:lineRule="auto"/>
        <w:rPr>
          <w:rFonts w:ascii="Arial" w:hAnsi="Arial" w:cs="Arial"/>
          <w:sz w:val="22"/>
        </w:rPr>
      </w:pPr>
      <w:r>
        <w:rPr>
          <w:rFonts w:ascii="Arial" w:hAnsi="Arial" w:cs="Arial"/>
          <w:b/>
          <w:bCs/>
          <w:kern w:val="0"/>
          <w:sz w:val="22"/>
        </w:rPr>
        <w:lastRenderedPageBreak/>
        <w:t xml:space="preserve">Figure </w:t>
      </w:r>
      <w:r>
        <w:rPr>
          <w:rFonts w:ascii="Arial" w:hAnsi="Arial" w:cs="Arial" w:hint="eastAsia"/>
          <w:b/>
          <w:bCs/>
          <w:kern w:val="0"/>
          <w:sz w:val="22"/>
        </w:rPr>
        <w:t>S</w:t>
      </w:r>
      <w:r>
        <w:rPr>
          <w:rFonts w:ascii="Arial" w:hAnsi="Arial" w:cs="Arial"/>
          <w:b/>
          <w:bCs/>
          <w:kern w:val="0"/>
          <w:sz w:val="22"/>
        </w:rPr>
        <w:t>13.</w:t>
      </w:r>
      <w:r>
        <w:rPr>
          <w:rFonts w:ascii="Arial" w:hAnsi="Arial" w:cs="Arial" w:hint="eastAsia"/>
          <w:b/>
          <w:bCs/>
          <w:kern w:val="0"/>
          <w:sz w:val="22"/>
        </w:rPr>
        <w:t xml:space="preserve"> </w:t>
      </w:r>
      <w:r w:rsidRPr="00D800CC">
        <w:rPr>
          <w:rFonts w:ascii="Arial" w:hAnsi="Arial" w:cs="Arial"/>
          <w:bCs/>
          <w:kern w:val="0"/>
          <w:sz w:val="22"/>
        </w:rPr>
        <w:t>R</w:t>
      </w:r>
      <w:r w:rsidRPr="00D800CC">
        <w:rPr>
          <w:rFonts w:ascii="Arial" w:hAnsi="Arial" w:cs="Arial" w:hint="eastAsia"/>
          <w:bCs/>
          <w:kern w:val="0"/>
          <w:sz w:val="22"/>
        </w:rPr>
        <w:t xml:space="preserve">eproducibility and </w:t>
      </w:r>
      <w:r w:rsidRPr="00D800CC">
        <w:rPr>
          <w:rFonts w:ascii="Arial" w:hAnsi="Arial" w:cs="Arial"/>
          <w:bCs/>
          <w:kern w:val="0"/>
          <w:sz w:val="22"/>
        </w:rPr>
        <w:t>g</w:t>
      </w:r>
      <w:r w:rsidRPr="00D800CC">
        <w:rPr>
          <w:rFonts w:ascii="Arial" w:hAnsi="Arial" w:cs="Arial" w:hint="eastAsia"/>
          <w:bCs/>
          <w:kern w:val="0"/>
          <w:sz w:val="22"/>
        </w:rPr>
        <w:t>enomic mapping of MOV10 CLIP libraries</w:t>
      </w:r>
      <w:r w:rsidRPr="00D800CC">
        <w:rPr>
          <w:rFonts w:ascii="Arial" w:eastAsia="宋体" w:hAnsi="Arial" w:cs="Arial" w:hint="eastAsia"/>
          <w:bCs/>
          <w:kern w:val="0"/>
          <w:sz w:val="22"/>
        </w:rPr>
        <w:t xml:space="preserve">. </w:t>
      </w:r>
      <w:r>
        <w:rPr>
          <w:rFonts w:ascii="Arial" w:eastAsia="宋体" w:hAnsi="Arial" w:cs="Arial" w:hint="eastAsia"/>
          <w:bCs/>
          <w:kern w:val="0"/>
          <w:sz w:val="22"/>
        </w:rPr>
        <w:t xml:space="preserve">(A) </w:t>
      </w:r>
      <w:r>
        <w:rPr>
          <w:rFonts w:ascii="Arial" w:hAnsi="Arial" w:cs="Arial" w:hint="eastAsia"/>
          <w:sz w:val="22"/>
        </w:rPr>
        <w:t>M</w:t>
      </w:r>
      <w:r>
        <w:rPr>
          <w:rFonts w:ascii="Arial" w:hAnsi="Arial" w:cs="Arial"/>
          <w:sz w:val="22"/>
        </w:rPr>
        <w:t>apping information</w:t>
      </w:r>
      <w:r>
        <w:rPr>
          <w:rFonts w:ascii="Arial" w:hAnsi="Arial" w:cs="Arial" w:hint="eastAsia"/>
          <w:sz w:val="22"/>
        </w:rPr>
        <w:t xml:space="preserve"> of CLIP-seq</w:t>
      </w:r>
      <w:r>
        <w:rPr>
          <w:rFonts w:ascii="Arial" w:eastAsia="宋体" w:hAnsi="Arial" w:cs="Arial"/>
          <w:sz w:val="22"/>
        </w:rPr>
        <w:t xml:space="preserve"> data</w:t>
      </w:r>
      <w:r>
        <w:rPr>
          <w:rFonts w:ascii="Arial" w:hAnsi="Arial" w:cs="Arial" w:hint="eastAsia"/>
          <w:sz w:val="22"/>
        </w:rPr>
        <w:t xml:space="preserve"> from</w:t>
      </w:r>
      <w:r>
        <w:rPr>
          <w:rFonts w:ascii="Arial" w:eastAsia="宋体" w:hAnsi="Arial" w:cs="Arial"/>
          <w:sz w:val="22"/>
        </w:rPr>
        <w:t xml:space="preserve"> three individual CLIP libraries. </w:t>
      </w:r>
      <w:r>
        <w:rPr>
          <w:rFonts w:ascii="Arial" w:hAnsi="Arial" w:cs="Arial" w:hint="eastAsia"/>
          <w:sz w:val="22"/>
        </w:rPr>
        <w:t>(</w:t>
      </w:r>
      <w:r>
        <w:rPr>
          <w:rFonts w:ascii="Arial" w:hAnsi="Arial" w:cs="Arial"/>
          <w:sz w:val="22"/>
        </w:rPr>
        <w:t>B</w:t>
      </w:r>
      <w:r>
        <w:rPr>
          <w:rFonts w:ascii="Arial" w:hAnsi="Arial" w:cs="Arial" w:hint="eastAsia"/>
          <w:sz w:val="22"/>
        </w:rPr>
        <w:t>)</w:t>
      </w:r>
      <w:r>
        <w:rPr>
          <w:rFonts w:ascii="Arial" w:eastAsia="宋体" w:hAnsi="Arial" w:cs="Arial"/>
          <w:sz w:val="22"/>
        </w:rPr>
        <w:t xml:space="preserve"> Reproducibility of </w:t>
      </w:r>
      <w:r>
        <w:rPr>
          <w:rFonts w:ascii="Arial" w:hAnsi="Arial" w:cs="Arial" w:hint="eastAsia"/>
          <w:sz w:val="22"/>
        </w:rPr>
        <w:t xml:space="preserve">gene targets of MOV10 from </w:t>
      </w:r>
      <w:r>
        <w:rPr>
          <w:rFonts w:ascii="Arial" w:eastAsia="宋体" w:hAnsi="Arial" w:cs="Arial"/>
          <w:sz w:val="22"/>
        </w:rPr>
        <w:t xml:space="preserve">three CLIP </w:t>
      </w:r>
      <w:r>
        <w:rPr>
          <w:rFonts w:ascii="Arial" w:hAnsi="Arial" w:cs="Arial" w:hint="eastAsia"/>
          <w:sz w:val="22"/>
        </w:rPr>
        <w:t>experiments</w:t>
      </w:r>
      <w:r>
        <w:rPr>
          <w:rFonts w:ascii="Arial" w:eastAsia="宋体" w:hAnsi="Arial" w:cs="Arial"/>
          <w:sz w:val="22"/>
        </w:rPr>
        <w:t>.</w:t>
      </w:r>
      <w:r>
        <w:rPr>
          <w:rFonts w:ascii="Arial" w:eastAsia="宋体" w:hAnsi="Arial" w:cs="Arial" w:hint="eastAsia"/>
          <w:sz w:val="22"/>
        </w:rPr>
        <w:t xml:space="preserve"> </w:t>
      </w:r>
      <w:r>
        <w:rPr>
          <w:rFonts w:ascii="Arial" w:hAnsi="Arial" w:cs="Arial"/>
          <w:sz w:val="22"/>
        </w:rPr>
        <w:t>Each dot in the scatter plot represents log</w:t>
      </w:r>
      <w:r>
        <w:rPr>
          <w:rFonts w:ascii="Arial" w:hAnsi="Arial" w:cs="Arial" w:hint="eastAsia"/>
          <w:sz w:val="22"/>
        </w:rPr>
        <w:t xml:space="preserve">2 values of FPKM comparing </w:t>
      </w:r>
      <w:r>
        <w:rPr>
          <w:rFonts w:ascii="Arial" w:hAnsi="Arial" w:cs="Arial"/>
          <w:sz w:val="22"/>
        </w:rPr>
        <w:t xml:space="preserve">the </w:t>
      </w:r>
      <w:r>
        <w:rPr>
          <w:rFonts w:ascii="Arial" w:hAnsi="Arial" w:cs="Arial" w:hint="eastAsia"/>
          <w:sz w:val="22"/>
        </w:rPr>
        <w:t>two replicates</w:t>
      </w:r>
      <w:r>
        <w:rPr>
          <w:rFonts w:ascii="Arial" w:hAnsi="Arial" w:cs="Arial"/>
          <w:sz w:val="22"/>
        </w:rPr>
        <w:t xml:space="preserve"> indicated on the axes</w:t>
      </w:r>
      <w:r>
        <w:rPr>
          <w:rFonts w:ascii="Arial" w:hAnsi="Arial" w:cs="Arial" w:hint="eastAsia"/>
          <w:sz w:val="22"/>
        </w:rPr>
        <w:t>.</w:t>
      </w:r>
      <w:r>
        <w:rPr>
          <w:rFonts w:ascii="Arial" w:hAnsi="Arial" w:cs="Arial" w:hint="eastAsia"/>
          <w:bCs/>
          <w:kern w:val="0"/>
          <w:sz w:val="22"/>
        </w:rPr>
        <w:t xml:space="preserve"> (</w:t>
      </w:r>
      <w:r>
        <w:rPr>
          <w:rFonts w:ascii="Arial" w:hAnsi="Arial" w:cs="Arial"/>
          <w:bCs/>
          <w:kern w:val="0"/>
          <w:sz w:val="22"/>
        </w:rPr>
        <w:t>C</w:t>
      </w:r>
      <w:r>
        <w:rPr>
          <w:rFonts w:ascii="Arial" w:hAnsi="Arial" w:cs="Arial" w:hint="eastAsia"/>
          <w:bCs/>
          <w:kern w:val="0"/>
          <w:sz w:val="22"/>
        </w:rPr>
        <w:t xml:space="preserve">) Percentage of CLIP reads overlapping with repeat and non-repeat sequences within genomic regions </w:t>
      </w:r>
      <w:r>
        <w:rPr>
          <w:rFonts w:ascii="Arial" w:hAnsi="Arial" w:cs="Arial"/>
          <w:bCs/>
          <w:kern w:val="0"/>
          <w:sz w:val="22"/>
        </w:rPr>
        <w:t>annotated as listed below the bars</w:t>
      </w:r>
      <w:r>
        <w:rPr>
          <w:rFonts w:ascii="Arial" w:hAnsi="Arial" w:cs="Arial" w:hint="eastAsia"/>
          <w:bCs/>
          <w:kern w:val="0"/>
          <w:sz w:val="22"/>
        </w:rPr>
        <w:t>. (</w:t>
      </w:r>
      <w:r>
        <w:rPr>
          <w:rFonts w:ascii="Arial" w:hAnsi="Arial" w:cs="Arial"/>
          <w:bCs/>
          <w:kern w:val="0"/>
          <w:sz w:val="22"/>
        </w:rPr>
        <w:t>D</w:t>
      </w:r>
      <w:r>
        <w:rPr>
          <w:rFonts w:ascii="Arial" w:hAnsi="Arial" w:cs="Arial" w:hint="eastAsia"/>
          <w:bCs/>
          <w:kern w:val="0"/>
          <w:sz w:val="22"/>
        </w:rPr>
        <w:t>) Percentage of CLIP tags mapp</w:t>
      </w:r>
      <w:r>
        <w:rPr>
          <w:rFonts w:ascii="Arial" w:hAnsi="Arial" w:cs="Arial"/>
          <w:bCs/>
          <w:kern w:val="0"/>
          <w:sz w:val="22"/>
        </w:rPr>
        <w:t>ing</w:t>
      </w:r>
      <w:r>
        <w:rPr>
          <w:rFonts w:ascii="Arial" w:hAnsi="Arial" w:cs="Arial" w:hint="eastAsia"/>
          <w:bCs/>
          <w:kern w:val="0"/>
          <w:sz w:val="22"/>
        </w:rPr>
        <w:t xml:space="preserve"> to various types of repeat and non-repeat sequence annotations. </w:t>
      </w:r>
      <w:r>
        <w:rPr>
          <w:rFonts w:ascii="Arial" w:hAnsi="Arial" w:cs="Arial"/>
          <w:bCs/>
          <w:kern w:val="0"/>
          <w:sz w:val="22"/>
        </w:rPr>
        <w:t>G</w:t>
      </w:r>
      <w:r>
        <w:rPr>
          <w:rFonts w:ascii="Arial" w:hAnsi="Arial" w:cs="Arial" w:hint="eastAsia"/>
          <w:bCs/>
          <w:kern w:val="0"/>
          <w:sz w:val="22"/>
        </w:rPr>
        <w:t xml:space="preserve">enic repeats </w:t>
      </w:r>
      <w:r>
        <w:rPr>
          <w:rFonts w:ascii="Arial" w:hAnsi="Arial" w:cs="Arial"/>
          <w:bCs/>
          <w:kern w:val="0"/>
          <w:sz w:val="22"/>
        </w:rPr>
        <w:t>may reflect embedded repeats in g</w:t>
      </w:r>
      <w:r>
        <w:rPr>
          <w:rFonts w:ascii="Arial" w:hAnsi="Arial" w:cs="Arial" w:hint="eastAsia"/>
          <w:bCs/>
          <w:kern w:val="0"/>
          <w:sz w:val="22"/>
        </w:rPr>
        <w:t>e</w:t>
      </w:r>
      <w:r>
        <w:rPr>
          <w:rFonts w:ascii="Arial" w:hAnsi="Arial" w:cs="Arial"/>
          <w:bCs/>
          <w:kern w:val="0"/>
          <w:sz w:val="22"/>
        </w:rPr>
        <w:t>n</w:t>
      </w:r>
      <w:r>
        <w:rPr>
          <w:rFonts w:ascii="Arial" w:hAnsi="Arial" w:cs="Arial" w:hint="eastAsia"/>
          <w:bCs/>
          <w:kern w:val="0"/>
          <w:sz w:val="22"/>
        </w:rPr>
        <w:t>e</w:t>
      </w:r>
      <w:r>
        <w:rPr>
          <w:rFonts w:ascii="Arial" w:hAnsi="Arial" w:cs="Arial"/>
          <w:bCs/>
          <w:kern w:val="0"/>
          <w:sz w:val="22"/>
        </w:rPr>
        <w:t>s because the origin of a repeat</w:t>
      </w:r>
      <w:r>
        <w:rPr>
          <w:rFonts w:ascii="Arial" w:hAnsi="Arial" w:cs="Arial" w:hint="eastAsia"/>
          <w:bCs/>
          <w:kern w:val="0"/>
          <w:sz w:val="22"/>
        </w:rPr>
        <w:t>-</w:t>
      </w:r>
      <w:r>
        <w:rPr>
          <w:rFonts w:ascii="Arial" w:hAnsi="Arial" w:cs="Arial"/>
          <w:bCs/>
          <w:kern w:val="0"/>
          <w:sz w:val="22"/>
        </w:rPr>
        <w:t xml:space="preserve">derived tag </w:t>
      </w:r>
      <w:r>
        <w:rPr>
          <w:rFonts w:ascii="Arial" w:hAnsi="Arial" w:cs="Arial" w:hint="eastAsia"/>
          <w:bCs/>
          <w:kern w:val="0"/>
          <w:sz w:val="22"/>
        </w:rPr>
        <w:t xml:space="preserve">cannot </w:t>
      </w:r>
      <w:r>
        <w:rPr>
          <w:rFonts w:ascii="Arial" w:hAnsi="Arial" w:cs="Arial"/>
          <w:bCs/>
          <w:kern w:val="0"/>
          <w:sz w:val="22"/>
        </w:rPr>
        <w:t>be traced back to mRNA</w:t>
      </w:r>
      <w:r>
        <w:rPr>
          <w:rFonts w:ascii="Arial" w:hAnsi="Arial" w:cs="Arial" w:hint="eastAsia"/>
          <w:bCs/>
          <w:kern w:val="0"/>
          <w:sz w:val="22"/>
        </w:rPr>
        <w:t>s. (</w:t>
      </w:r>
      <w:r>
        <w:rPr>
          <w:rFonts w:ascii="Arial" w:hAnsi="Arial" w:cs="Arial"/>
          <w:bCs/>
          <w:kern w:val="0"/>
          <w:sz w:val="22"/>
        </w:rPr>
        <w:t>E</w:t>
      </w:r>
      <w:r>
        <w:rPr>
          <w:rFonts w:ascii="Arial" w:hAnsi="Arial" w:cs="Arial" w:hint="eastAsia"/>
          <w:bCs/>
          <w:kern w:val="0"/>
          <w:sz w:val="22"/>
        </w:rPr>
        <w:t>) Validation of MOV10-bound LINE1, IAP</w:t>
      </w:r>
      <w:r>
        <w:rPr>
          <w:rFonts w:ascii="Arial" w:hAnsi="Arial" w:cs="Arial"/>
          <w:bCs/>
          <w:kern w:val="0"/>
          <w:sz w:val="22"/>
        </w:rPr>
        <w:t xml:space="preserve"> </w:t>
      </w:r>
      <w:r>
        <w:rPr>
          <w:rFonts w:ascii="Arial" w:hAnsi="Arial" w:cs="Arial" w:hint="eastAsia"/>
          <w:bCs/>
          <w:kern w:val="0"/>
          <w:sz w:val="22"/>
        </w:rPr>
        <w:t>(LTR) and SINE by RIP-qPCR.</w:t>
      </w:r>
      <w:r>
        <w:rPr>
          <w:rFonts w:ascii="Arial" w:hAnsi="Arial" w:cs="Arial"/>
          <w:bCs/>
          <w:kern w:val="0"/>
          <w:sz w:val="22"/>
        </w:rPr>
        <w:t xml:space="preserve"> </w:t>
      </w:r>
      <w:r>
        <w:rPr>
          <w:rFonts w:ascii="Arial" w:hAnsi="Arial" w:cs="Arial"/>
          <w:sz w:val="22"/>
        </w:rPr>
        <w:t>Results from biological triplicates were analyzed.</w:t>
      </w:r>
    </w:p>
    <w:p w:rsidR="00CB7A79" w:rsidRDefault="00CB7A79">
      <w:pPr>
        <w:spacing w:line="480" w:lineRule="auto"/>
        <w:rPr>
          <w:rFonts w:ascii="Arial" w:hAnsi="Arial" w:cs="Arial"/>
          <w:sz w:val="22"/>
        </w:rPr>
      </w:pPr>
    </w:p>
    <w:p w:rsidR="00CB7A79" w:rsidRDefault="004513C8">
      <w:pPr>
        <w:spacing w:line="480" w:lineRule="auto"/>
        <w:jc w:val="center"/>
        <w:rPr>
          <w:rFonts w:ascii="Arial" w:hAnsi="Arial" w:cs="Arial"/>
          <w:bCs/>
          <w:kern w:val="0"/>
          <w:sz w:val="22"/>
        </w:rPr>
      </w:pPr>
      <w:r>
        <w:rPr>
          <w:rFonts w:ascii="Arial" w:hAnsi="Arial" w:cs="Arial"/>
          <w:bCs/>
          <w:noProof/>
          <w:kern w:val="0"/>
          <w:sz w:val="22"/>
        </w:rPr>
        <w:lastRenderedPageBreak/>
        <w:drawing>
          <wp:inline distT="0" distB="0" distL="0" distR="0">
            <wp:extent cx="6594715" cy="802957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4.jpg"/>
                    <pic:cNvPicPr/>
                  </pic:nvPicPr>
                  <pic:blipFill>
                    <a:blip r:embed="rId22">
                      <a:extLst>
                        <a:ext uri="{28A0092B-C50C-407E-A947-70E740481C1C}">
                          <a14:useLocalDpi xmlns:a14="http://schemas.microsoft.com/office/drawing/2010/main" val="0"/>
                        </a:ext>
                      </a:extLst>
                    </a:blip>
                    <a:stretch>
                      <a:fillRect/>
                    </a:stretch>
                  </pic:blipFill>
                  <pic:spPr>
                    <a:xfrm>
                      <a:off x="0" y="0"/>
                      <a:ext cx="6596516" cy="8031768"/>
                    </a:xfrm>
                    <a:prstGeom prst="rect">
                      <a:avLst/>
                    </a:prstGeom>
                  </pic:spPr>
                </pic:pic>
              </a:graphicData>
            </a:graphic>
          </wp:inline>
        </w:drawing>
      </w:r>
    </w:p>
    <w:p w:rsidR="00CB7A79" w:rsidRDefault="008502F3">
      <w:pPr>
        <w:spacing w:line="480" w:lineRule="auto"/>
        <w:rPr>
          <w:rFonts w:ascii="Arial" w:hAnsi="Arial" w:cs="Arial"/>
          <w:bCs/>
          <w:kern w:val="0"/>
          <w:sz w:val="22"/>
        </w:rPr>
      </w:pPr>
      <w:r>
        <w:rPr>
          <w:rFonts w:ascii="Arial" w:hAnsi="Arial" w:cs="Arial"/>
          <w:b/>
          <w:bCs/>
          <w:kern w:val="0"/>
          <w:sz w:val="22"/>
        </w:rPr>
        <w:lastRenderedPageBreak/>
        <w:t xml:space="preserve">Figure </w:t>
      </w:r>
      <w:r>
        <w:rPr>
          <w:rFonts w:ascii="Arial" w:hAnsi="Arial" w:cs="Arial" w:hint="eastAsia"/>
          <w:b/>
          <w:bCs/>
          <w:kern w:val="0"/>
          <w:sz w:val="22"/>
        </w:rPr>
        <w:t>S</w:t>
      </w:r>
      <w:r>
        <w:rPr>
          <w:rFonts w:ascii="Arial" w:hAnsi="Arial" w:cs="Arial"/>
          <w:b/>
          <w:bCs/>
          <w:kern w:val="0"/>
          <w:sz w:val="22"/>
        </w:rPr>
        <w:t>14</w:t>
      </w:r>
      <w:r>
        <w:rPr>
          <w:rFonts w:ascii="Arial" w:hAnsi="Arial" w:cs="Arial" w:hint="eastAsia"/>
          <w:b/>
          <w:bCs/>
          <w:kern w:val="0"/>
          <w:sz w:val="22"/>
        </w:rPr>
        <w:t xml:space="preserve">. </w:t>
      </w:r>
      <w:r w:rsidRPr="00D800CC">
        <w:rPr>
          <w:rFonts w:ascii="Arial" w:hAnsi="Arial" w:cs="Arial" w:hint="eastAsia"/>
          <w:bCs/>
          <w:kern w:val="0"/>
          <w:sz w:val="22"/>
        </w:rPr>
        <w:t>Characterization of MOV10</w:t>
      </w:r>
      <w:r w:rsidRPr="00D800CC">
        <w:rPr>
          <w:rFonts w:ascii="Arial" w:hAnsi="Arial" w:cs="Arial"/>
          <w:bCs/>
          <w:kern w:val="0"/>
          <w:sz w:val="22"/>
        </w:rPr>
        <w:t>-bound 3’-UTRs</w:t>
      </w:r>
      <w:r w:rsidRPr="00D800CC">
        <w:rPr>
          <w:rFonts w:ascii="Arial" w:hAnsi="Arial" w:cs="Arial" w:hint="eastAsia"/>
          <w:bCs/>
          <w:kern w:val="0"/>
          <w:sz w:val="22"/>
        </w:rPr>
        <w:t>.</w:t>
      </w:r>
      <w:r>
        <w:rPr>
          <w:rFonts w:ascii="Arial" w:hAnsi="Arial" w:cs="Arial" w:hint="eastAsia"/>
          <w:b/>
          <w:bCs/>
          <w:kern w:val="0"/>
          <w:sz w:val="22"/>
        </w:rPr>
        <w:t xml:space="preserve"> </w:t>
      </w:r>
      <w:r>
        <w:rPr>
          <w:rFonts w:ascii="Arial" w:hAnsi="Arial" w:cs="Arial" w:hint="eastAsia"/>
          <w:color w:val="000000"/>
          <w:sz w:val="22"/>
        </w:rPr>
        <w:t>(</w:t>
      </w:r>
      <w:r>
        <w:rPr>
          <w:rFonts w:ascii="Arial" w:hAnsi="Arial" w:cs="Arial"/>
          <w:color w:val="000000"/>
          <w:sz w:val="22"/>
        </w:rPr>
        <w:t>A</w:t>
      </w:r>
      <w:r>
        <w:rPr>
          <w:rFonts w:ascii="Arial" w:hAnsi="Arial" w:cs="Arial" w:hint="eastAsia"/>
          <w:color w:val="000000"/>
          <w:sz w:val="22"/>
        </w:rPr>
        <w:t>) Visualization of MOV10 CLIP reads</w:t>
      </w:r>
      <w:r>
        <w:rPr>
          <w:rFonts w:ascii="Arial" w:hAnsi="Arial" w:cs="Arial"/>
          <w:color w:val="000000"/>
          <w:sz w:val="22"/>
        </w:rPr>
        <w:t xml:space="preserve"> on</w:t>
      </w:r>
      <w:r>
        <w:rPr>
          <w:rFonts w:ascii="Arial" w:hAnsi="Arial" w:cs="Arial" w:hint="eastAsia"/>
          <w:color w:val="000000"/>
          <w:sz w:val="22"/>
        </w:rPr>
        <w:t xml:space="preserve"> </w:t>
      </w:r>
      <w:r>
        <w:rPr>
          <w:rFonts w:ascii="Arial" w:hAnsi="Arial" w:cs="Arial" w:hint="eastAsia"/>
          <w:i/>
          <w:color w:val="000000"/>
          <w:sz w:val="22"/>
        </w:rPr>
        <w:t>Etv5</w:t>
      </w:r>
      <w:r>
        <w:rPr>
          <w:rFonts w:ascii="Arial" w:hAnsi="Arial" w:cs="Arial" w:hint="eastAsia"/>
          <w:color w:val="000000"/>
          <w:sz w:val="22"/>
        </w:rPr>
        <w:t xml:space="preserve">, </w:t>
      </w:r>
      <w:r>
        <w:rPr>
          <w:rFonts w:ascii="Arial" w:hAnsi="Arial" w:cs="Arial" w:hint="eastAsia"/>
          <w:i/>
          <w:color w:val="000000"/>
          <w:sz w:val="22"/>
        </w:rPr>
        <w:t>Bcl6b</w:t>
      </w:r>
      <w:r>
        <w:rPr>
          <w:rFonts w:ascii="Arial" w:hAnsi="Arial" w:cs="Arial" w:hint="eastAsia"/>
          <w:color w:val="000000"/>
          <w:sz w:val="22"/>
        </w:rPr>
        <w:t xml:space="preserve"> and </w:t>
      </w:r>
      <w:r>
        <w:rPr>
          <w:rFonts w:ascii="Arial" w:hAnsi="Arial" w:cs="Arial" w:hint="eastAsia"/>
          <w:i/>
          <w:color w:val="000000"/>
          <w:sz w:val="22"/>
        </w:rPr>
        <w:t xml:space="preserve">Zbtb16 </w:t>
      </w:r>
      <w:r>
        <w:rPr>
          <w:rFonts w:ascii="Arial" w:hAnsi="Arial" w:cs="Arial"/>
          <w:color w:val="000000"/>
          <w:sz w:val="22"/>
        </w:rPr>
        <w:t>transcripts using the</w:t>
      </w:r>
      <w:r>
        <w:rPr>
          <w:rFonts w:ascii="Arial" w:hAnsi="Arial" w:cs="Arial" w:hint="eastAsia"/>
          <w:color w:val="000000"/>
          <w:sz w:val="22"/>
        </w:rPr>
        <w:t xml:space="preserve"> UCSC genome browser. All </w:t>
      </w:r>
      <w:r>
        <w:rPr>
          <w:rFonts w:ascii="Arial" w:hAnsi="Arial" w:cs="Arial"/>
          <w:color w:val="000000"/>
          <w:sz w:val="22"/>
        </w:rPr>
        <w:t>3</w:t>
      </w:r>
      <w:r>
        <w:rPr>
          <w:rFonts w:ascii="Arial" w:hAnsi="Arial" w:cs="Arial" w:hint="eastAsia"/>
          <w:color w:val="000000"/>
          <w:sz w:val="22"/>
        </w:rPr>
        <w:t xml:space="preserve"> genes are transcribed </w:t>
      </w:r>
      <w:r>
        <w:rPr>
          <w:rFonts w:ascii="Arial" w:hAnsi="Arial" w:cs="Arial"/>
          <w:color w:val="000000"/>
          <w:sz w:val="22"/>
        </w:rPr>
        <w:t>from the (-) strand</w:t>
      </w:r>
      <w:r>
        <w:rPr>
          <w:rFonts w:ascii="Arial" w:hAnsi="Arial" w:cs="Arial" w:hint="eastAsia"/>
          <w:color w:val="000000"/>
          <w:sz w:val="22"/>
        </w:rPr>
        <w:t xml:space="preserve">. MOV10 CLIP reads </w:t>
      </w:r>
      <w:r>
        <w:rPr>
          <w:rFonts w:ascii="Arial" w:hAnsi="Arial" w:cs="Arial"/>
          <w:color w:val="000000"/>
          <w:sz w:val="22"/>
        </w:rPr>
        <w:t xml:space="preserve">predominantly align with the </w:t>
      </w:r>
      <w:r>
        <w:rPr>
          <w:rFonts w:ascii="Arial" w:hAnsi="Arial" w:cs="Arial" w:hint="eastAsia"/>
          <w:color w:val="000000"/>
          <w:sz w:val="22"/>
        </w:rPr>
        <w:t>3</w:t>
      </w:r>
      <w:r>
        <w:rPr>
          <w:rFonts w:ascii="Arial" w:hAnsi="Arial" w:cs="Arial"/>
          <w:color w:val="000000"/>
          <w:sz w:val="22"/>
        </w:rPr>
        <w:t>’</w:t>
      </w:r>
      <w:r>
        <w:rPr>
          <w:rFonts w:ascii="Arial" w:hAnsi="Arial" w:cs="Arial" w:hint="eastAsia"/>
          <w:color w:val="000000"/>
          <w:sz w:val="22"/>
        </w:rPr>
        <w:t>-UTRs. (</w:t>
      </w:r>
      <w:r>
        <w:rPr>
          <w:rFonts w:ascii="Arial" w:hAnsi="Arial" w:cs="Arial"/>
          <w:color w:val="000000"/>
          <w:sz w:val="22"/>
        </w:rPr>
        <w:t>B</w:t>
      </w:r>
      <w:r>
        <w:rPr>
          <w:rFonts w:ascii="Arial" w:hAnsi="Arial" w:cs="Arial" w:hint="eastAsia"/>
          <w:color w:val="000000"/>
          <w:sz w:val="22"/>
        </w:rPr>
        <w:t xml:space="preserve">) Validation of MOV10 binding to </w:t>
      </w:r>
      <w:r>
        <w:rPr>
          <w:rFonts w:ascii="Arial" w:hAnsi="Arial" w:cs="Arial" w:hint="eastAsia"/>
          <w:i/>
          <w:color w:val="000000"/>
          <w:sz w:val="22"/>
        </w:rPr>
        <w:t>Etv5</w:t>
      </w:r>
      <w:r>
        <w:rPr>
          <w:rFonts w:ascii="Arial" w:hAnsi="Arial" w:cs="Arial" w:hint="eastAsia"/>
          <w:color w:val="000000"/>
          <w:sz w:val="22"/>
        </w:rPr>
        <w:t xml:space="preserve">, </w:t>
      </w:r>
      <w:r>
        <w:rPr>
          <w:rFonts w:ascii="Arial" w:hAnsi="Arial" w:cs="Arial" w:hint="eastAsia"/>
          <w:i/>
          <w:color w:val="000000"/>
          <w:sz w:val="22"/>
        </w:rPr>
        <w:t>Bcl6b</w:t>
      </w:r>
      <w:r>
        <w:rPr>
          <w:rFonts w:ascii="Arial" w:hAnsi="Arial" w:cs="Arial" w:hint="eastAsia"/>
          <w:color w:val="000000"/>
          <w:sz w:val="22"/>
        </w:rPr>
        <w:t xml:space="preserve"> and </w:t>
      </w:r>
      <w:r>
        <w:rPr>
          <w:rFonts w:ascii="Arial" w:hAnsi="Arial" w:cs="Arial" w:hint="eastAsia"/>
          <w:i/>
          <w:color w:val="000000"/>
          <w:sz w:val="22"/>
        </w:rPr>
        <w:t>Zbtb16</w:t>
      </w:r>
      <w:r>
        <w:rPr>
          <w:rFonts w:ascii="Arial" w:hAnsi="Arial" w:cs="Arial" w:hint="eastAsia"/>
          <w:color w:val="000000"/>
          <w:sz w:val="22"/>
        </w:rPr>
        <w:t xml:space="preserve"> mRNAs by RIP-qPCR. </w:t>
      </w:r>
      <w:r>
        <w:rPr>
          <w:rFonts w:ascii="Arial" w:hAnsi="Arial" w:cs="Arial"/>
          <w:sz w:val="22"/>
        </w:rPr>
        <w:t xml:space="preserve">Results from biological triplicates were analyzed. </w:t>
      </w:r>
      <w:r>
        <w:rPr>
          <w:rFonts w:ascii="Arial" w:hAnsi="Arial" w:cs="Arial"/>
          <w:bCs/>
          <w:kern w:val="0"/>
          <w:sz w:val="22"/>
        </w:rPr>
        <w:t xml:space="preserve">(C) UCSC visualization of three representative genes containing long, medium and short 3’-UTRs. (D) Nucleotide composition per position within </w:t>
      </w:r>
      <w:r>
        <w:rPr>
          <w:rFonts w:ascii="Arial" w:hAnsi="Arial" w:cs="Arial"/>
          <w:sz w:val="22"/>
        </w:rPr>
        <w:t>±</w:t>
      </w:r>
      <w:r>
        <w:rPr>
          <w:rFonts w:ascii="Arial" w:hAnsi="Arial" w:cs="Arial"/>
          <w:bCs/>
          <w:kern w:val="0"/>
          <w:sz w:val="22"/>
        </w:rPr>
        <w:t>100 nt from crosslinked sites. Nucleotide percentage at each position was calculated from all unique mapped reads.</w:t>
      </w:r>
      <w:r>
        <w:rPr>
          <w:rFonts w:ascii="Arial" w:hAnsi="Arial" w:cs="Arial" w:hint="eastAsia"/>
          <w:bCs/>
          <w:kern w:val="0"/>
          <w:sz w:val="22"/>
        </w:rPr>
        <w:t xml:space="preserve"> </w:t>
      </w:r>
      <w:r>
        <w:rPr>
          <w:rFonts w:ascii="Arial" w:hAnsi="Arial" w:cs="Arial"/>
          <w:bCs/>
          <w:kern w:val="0"/>
          <w:sz w:val="22"/>
        </w:rPr>
        <w:t>Separate graphs are shown for all</w:t>
      </w:r>
      <w:r>
        <w:rPr>
          <w:rFonts w:ascii="Arial" w:hAnsi="Arial" w:cs="Arial" w:hint="eastAsia"/>
          <w:bCs/>
          <w:kern w:val="0"/>
          <w:sz w:val="22"/>
        </w:rPr>
        <w:t xml:space="preserve"> CLIP targets and </w:t>
      </w:r>
      <w:r>
        <w:rPr>
          <w:rFonts w:ascii="Arial" w:hAnsi="Arial" w:cs="Arial"/>
          <w:bCs/>
          <w:kern w:val="0"/>
          <w:sz w:val="22"/>
        </w:rPr>
        <w:t xml:space="preserve">for </w:t>
      </w:r>
      <w:r>
        <w:rPr>
          <w:rFonts w:ascii="Arial" w:hAnsi="Arial" w:cs="Arial" w:hint="eastAsia"/>
          <w:bCs/>
          <w:kern w:val="0"/>
          <w:sz w:val="22"/>
        </w:rPr>
        <w:t>mRNA targets with long, medium</w:t>
      </w:r>
      <w:r>
        <w:rPr>
          <w:rFonts w:ascii="Arial" w:hAnsi="Arial" w:cs="Arial"/>
          <w:bCs/>
          <w:kern w:val="0"/>
          <w:sz w:val="22"/>
        </w:rPr>
        <w:t>,</w:t>
      </w:r>
      <w:r>
        <w:rPr>
          <w:rFonts w:ascii="Arial" w:hAnsi="Arial" w:cs="Arial" w:hint="eastAsia"/>
          <w:bCs/>
          <w:kern w:val="0"/>
          <w:sz w:val="22"/>
        </w:rPr>
        <w:t xml:space="preserve"> and short 3</w:t>
      </w:r>
      <w:r>
        <w:rPr>
          <w:rFonts w:ascii="Arial" w:hAnsi="Arial" w:cs="Arial"/>
          <w:bCs/>
          <w:kern w:val="0"/>
          <w:sz w:val="22"/>
        </w:rPr>
        <w:t>’</w:t>
      </w:r>
      <w:r>
        <w:rPr>
          <w:rFonts w:ascii="Arial" w:hAnsi="Arial" w:cs="Arial" w:hint="eastAsia"/>
          <w:bCs/>
          <w:kern w:val="0"/>
          <w:sz w:val="22"/>
        </w:rPr>
        <w:t>-UTR</w:t>
      </w:r>
      <w:r>
        <w:rPr>
          <w:rFonts w:ascii="Arial" w:hAnsi="Arial" w:cs="Arial"/>
          <w:bCs/>
          <w:kern w:val="0"/>
          <w:sz w:val="22"/>
        </w:rPr>
        <w:t>.</w:t>
      </w:r>
      <w:r>
        <w:rPr>
          <w:rFonts w:ascii="Arial" w:hAnsi="Arial" w:cs="Arial" w:hint="eastAsia"/>
          <w:bCs/>
          <w:kern w:val="0"/>
          <w:sz w:val="22"/>
        </w:rPr>
        <w:t xml:space="preserve"> (</w:t>
      </w:r>
      <w:r>
        <w:rPr>
          <w:rFonts w:ascii="Arial" w:hAnsi="Arial" w:cs="Arial"/>
          <w:bCs/>
          <w:kern w:val="0"/>
          <w:sz w:val="22"/>
        </w:rPr>
        <w:t>E</w:t>
      </w:r>
      <w:r>
        <w:rPr>
          <w:rFonts w:ascii="Arial" w:hAnsi="Arial" w:cs="Arial" w:hint="eastAsia"/>
          <w:bCs/>
          <w:kern w:val="0"/>
          <w:sz w:val="22"/>
        </w:rPr>
        <w:t xml:space="preserve">) </w:t>
      </w:r>
      <w:r>
        <w:rPr>
          <w:rFonts w:ascii="Arial" w:hAnsi="Arial" w:cs="Arial"/>
          <w:bCs/>
          <w:kern w:val="0"/>
          <w:sz w:val="22"/>
        </w:rPr>
        <w:t>Line gra</w:t>
      </w:r>
      <w:r>
        <w:rPr>
          <w:rFonts w:ascii="Arial" w:hAnsi="Arial" w:cs="Arial" w:hint="eastAsia"/>
          <w:bCs/>
          <w:kern w:val="0"/>
          <w:sz w:val="22"/>
        </w:rPr>
        <w:t>p</w:t>
      </w:r>
      <w:r>
        <w:rPr>
          <w:rFonts w:ascii="Arial" w:hAnsi="Arial" w:cs="Arial"/>
          <w:bCs/>
          <w:kern w:val="0"/>
          <w:sz w:val="22"/>
        </w:rPr>
        <w:t>hs</w:t>
      </w:r>
      <w:r>
        <w:rPr>
          <w:rFonts w:ascii="Arial" w:hAnsi="Arial" w:cs="Arial" w:hint="eastAsia"/>
          <w:bCs/>
          <w:kern w:val="0"/>
          <w:sz w:val="22"/>
        </w:rPr>
        <w:t xml:space="preserve"> </w:t>
      </w:r>
      <w:r>
        <w:rPr>
          <w:rFonts w:ascii="Arial" w:hAnsi="Arial" w:cs="Arial"/>
          <w:bCs/>
          <w:kern w:val="0"/>
          <w:sz w:val="22"/>
        </w:rPr>
        <w:t>are separately shown of nucleotide</w:t>
      </w:r>
      <w:r>
        <w:rPr>
          <w:rFonts w:ascii="Arial" w:hAnsi="Arial" w:cs="Arial" w:hint="eastAsia"/>
          <w:bCs/>
          <w:kern w:val="0"/>
          <w:sz w:val="22"/>
        </w:rPr>
        <w:t xml:space="preserve"> content per position from upstream 1 nt to downstream 6 nt relative to crosslinked sites. </w:t>
      </w:r>
    </w:p>
    <w:p w:rsidR="00CB7A79" w:rsidRDefault="00CB7A79">
      <w:pPr>
        <w:spacing w:line="480" w:lineRule="auto"/>
        <w:rPr>
          <w:rFonts w:ascii="Arial" w:hAnsi="Arial" w:cs="Arial"/>
          <w:bCs/>
          <w:kern w:val="0"/>
          <w:sz w:val="22"/>
        </w:rPr>
      </w:pPr>
    </w:p>
    <w:p w:rsidR="00CB7A79" w:rsidRDefault="00CB7A79">
      <w:pPr>
        <w:spacing w:line="480" w:lineRule="auto"/>
        <w:rPr>
          <w:rFonts w:ascii="Arial" w:hAnsi="Arial" w:cs="Arial"/>
          <w:bCs/>
          <w:kern w:val="0"/>
          <w:sz w:val="22"/>
        </w:rPr>
      </w:pPr>
    </w:p>
    <w:p w:rsidR="00CB7A79" w:rsidRDefault="00CB7A79">
      <w:pPr>
        <w:spacing w:line="480" w:lineRule="auto"/>
        <w:rPr>
          <w:rFonts w:ascii="Arial" w:hAnsi="Arial" w:cs="Arial"/>
          <w:bCs/>
          <w:kern w:val="0"/>
          <w:sz w:val="22"/>
        </w:rPr>
      </w:pPr>
    </w:p>
    <w:p w:rsidR="00CB7A79" w:rsidRDefault="00CB7A79">
      <w:pPr>
        <w:spacing w:line="480" w:lineRule="auto"/>
        <w:rPr>
          <w:rFonts w:ascii="Arial" w:hAnsi="Arial" w:cs="Arial"/>
          <w:bCs/>
          <w:kern w:val="0"/>
          <w:sz w:val="22"/>
        </w:rPr>
      </w:pPr>
    </w:p>
    <w:p w:rsidR="00CB7A79" w:rsidRDefault="00CB7A79">
      <w:pPr>
        <w:spacing w:line="480" w:lineRule="auto"/>
        <w:rPr>
          <w:rFonts w:ascii="Arial" w:hAnsi="Arial" w:cs="Arial"/>
          <w:sz w:val="22"/>
        </w:rPr>
      </w:pPr>
    </w:p>
    <w:p w:rsidR="00CB7A79" w:rsidRDefault="004513C8">
      <w:pPr>
        <w:spacing w:line="480" w:lineRule="auto"/>
        <w:jc w:val="center"/>
        <w:rPr>
          <w:rFonts w:ascii="Arial" w:hAnsi="Arial" w:cs="Arial"/>
          <w:sz w:val="22"/>
        </w:rPr>
      </w:pPr>
      <w:r>
        <w:rPr>
          <w:rFonts w:ascii="Arial" w:hAnsi="Arial" w:cs="Arial"/>
          <w:noProof/>
          <w:sz w:val="22"/>
        </w:rPr>
        <w:lastRenderedPageBreak/>
        <w:drawing>
          <wp:inline distT="0" distB="0" distL="0" distR="0">
            <wp:extent cx="6626007" cy="806767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5.jpg"/>
                    <pic:cNvPicPr/>
                  </pic:nvPicPr>
                  <pic:blipFill>
                    <a:blip r:embed="rId23">
                      <a:extLst>
                        <a:ext uri="{28A0092B-C50C-407E-A947-70E740481C1C}">
                          <a14:useLocalDpi xmlns:a14="http://schemas.microsoft.com/office/drawing/2010/main" val="0"/>
                        </a:ext>
                      </a:extLst>
                    </a:blip>
                    <a:stretch>
                      <a:fillRect/>
                    </a:stretch>
                  </pic:blipFill>
                  <pic:spPr>
                    <a:xfrm>
                      <a:off x="0" y="0"/>
                      <a:ext cx="6628202" cy="8070348"/>
                    </a:xfrm>
                    <a:prstGeom prst="rect">
                      <a:avLst/>
                    </a:prstGeom>
                  </pic:spPr>
                </pic:pic>
              </a:graphicData>
            </a:graphic>
          </wp:inline>
        </w:drawing>
      </w:r>
    </w:p>
    <w:p w:rsidR="00CB7A79" w:rsidRDefault="008502F3">
      <w:pPr>
        <w:spacing w:line="480" w:lineRule="auto"/>
        <w:rPr>
          <w:rFonts w:ascii="Arial" w:hAnsi="Arial" w:cs="Arial"/>
          <w:bCs/>
          <w:kern w:val="0"/>
          <w:sz w:val="22"/>
        </w:rPr>
      </w:pPr>
      <w:r>
        <w:rPr>
          <w:rFonts w:ascii="Arial" w:hAnsi="Arial" w:cs="Arial"/>
          <w:b/>
          <w:bCs/>
          <w:kern w:val="0"/>
          <w:sz w:val="22"/>
        </w:rPr>
        <w:lastRenderedPageBreak/>
        <w:t xml:space="preserve">Figure S15. </w:t>
      </w:r>
      <w:r w:rsidRPr="00D800CC">
        <w:rPr>
          <w:rFonts w:ascii="Arial" w:hAnsi="Arial" w:cs="Arial"/>
          <w:bCs/>
          <w:kern w:val="0"/>
          <w:sz w:val="22"/>
        </w:rPr>
        <w:t>Characterization of MOV10 binding to intronic regions.</w:t>
      </w:r>
      <w:r>
        <w:rPr>
          <w:rFonts w:ascii="Arial" w:hAnsi="Arial" w:cs="Arial"/>
          <w:bCs/>
          <w:kern w:val="0"/>
          <w:sz w:val="22"/>
        </w:rPr>
        <w:t xml:space="preserve"> (A) MOV10-crosslinked positions within introns. The plot shows the distribution of genomic crosslinked nucleotides within intronic regions upstream and downstream of the splice site. A </w:t>
      </w:r>
      <w:r>
        <w:rPr>
          <w:rFonts w:ascii="Arial" w:hAnsi="Arial" w:cs="Arial"/>
          <w:kern w:val="0"/>
          <w:sz w:val="22"/>
        </w:rPr>
        <w:t>genomic c</w:t>
      </w:r>
      <w:r>
        <w:rPr>
          <w:rFonts w:ascii="Arial" w:hAnsi="Arial" w:cs="Arial" w:hint="eastAsia"/>
          <w:kern w:val="0"/>
          <w:sz w:val="22"/>
        </w:rPr>
        <w:t xml:space="preserve">rosslinked </w:t>
      </w:r>
      <w:r>
        <w:rPr>
          <w:rFonts w:ascii="Arial" w:hAnsi="Arial" w:cs="Arial"/>
          <w:bCs/>
          <w:kern w:val="0"/>
          <w:sz w:val="22"/>
        </w:rPr>
        <w:t>nucleotide was</w:t>
      </w:r>
      <w:r>
        <w:rPr>
          <w:rFonts w:ascii="Arial" w:hAnsi="Arial" w:cs="Arial"/>
          <w:kern w:val="0"/>
          <w:sz w:val="22"/>
        </w:rPr>
        <w:t xml:space="preserve"> defined as a  nucleotide absent in a CLIP tag versus the corresponding genome sequence. C</w:t>
      </w:r>
      <w:r>
        <w:rPr>
          <w:rFonts w:ascii="Arial" w:hAnsi="Arial" w:cs="Arial" w:hint="eastAsia"/>
          <w:kern w:val="0"/>
          <w:sz w:val="22"/>
        </w:rPr>
        <w:t>rosslinked</w:t>
      </w:r>
      <w:r>
        <w:rPr>
          <w:rFonts w:ascii="Arial" w:hAnsi="Arial" w:cs="Arial"/>
          <w:kern w:val="0"/>
          <w:sz w:val="22"/>
        </w:rPr>
        <w:t xml:space="preserve"> nucleotides corresponding to the same deletion are presented cumulatively.</w:t>
      </w:r>
      <w:r>
        <w:rPr>
          <w:rFonts w:ascii="Arial" w:hAnsi="Arial" w:cs="Arial"/>
          <w:bCs/>
          <w:kern w:val="0"/>
          <w:sz w:val="22"/>
        </w:rPr>
        <w:t xml:space="preserve"> (B and C) Genomic nucleotide composition per site within </w:t>
      </w:r>
      <w:r>
        <w:rPr>
          <w:rFonts w:ascii="Arial" w:hAnsi="Arial" w:cs="Arial"/>
          <w:sz w:val="22"/>
        </w:rPr>
        <w:t>±</w:t>
      </w:r>
      <w:r>
        <w:rPr>
          <w:rFonts w:ascii="Arial" w:hAnsi="Arial" w:cs="Arial"/>
          <w:bCs/>
          <w:kern w:val="0"/>
          <w:sz w:val="22"/>
        </w:rPr>
        <w:t>100 nt from the 5’ and 3’ splice sites with intronic regions bound by MOV10 (B), compared with that from the splice sites across the whole genome (C).</w:t>
      </w:r>
    </w:p>
    <w:p w:rsidR="00CB7A79" w:rsidRDefault="00CB7A79">
      <w:pPr>
        <w:spacing w:line="480" w:lineRule="auto"/>
        <w:rPr>
          <w:rFonts w:ascii="Arial" w:hAnsi="Arial" w:cs="Arial"/>
          <w:bCs/>
          <w:kern w:val="0"/>
          <w:sz w:val="22"/>
        </w:rPr>
      </w:pPr>
    </w:p>
    <w:p w:rsidR="00CB7A79" w:rsidRDefault="005C3AE3">
      <w:pPr>
        <w:spacing w:line="480" w:lineRule="auto"/>
        <w:jc w:val="center"/>
        <w:rPr>
          <w:rFonts w:ascii="Arial" w:hAnsi="Arial" w:cs="Arial"/>
          <w:sz w:val="22"/>
        </w:rPr>
      </w:pPr>
      <w:r>
        <w:rPr>
          <w:rFonts w:ascii="Arial" w:hAnsi="Arial" w:cs="Arial"/>
          <w:noProof/>
          <w:sz w:val="22"/>
        </w:rPr>
        <w:lastRenderedPageBreak/>
        <w:drawing>
          <wp:inline distT="0" distB="0" distL="0" distR="0">
            <wp:extent cx="6563423" cy="799147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jpg"/>
                    <pic:cNvPicPr/>
                  </pic:nvPicPr>
                  <pic:blipFill>
                    <a:blip r:embed="rId24">
                      <a:extLst>
                        <a:ext uri="{28A0092B-C50C-407E-A947-70E740481C1C}">
                          <a14:useLocalDpi xmlns:a14="http://schemas.microsoft.com/office/drawing/2010/main" val="0"/>
                        </a:ext>
                      </a:extLst>
                    </a:blip>
                    <a:stretch>
                      <a:fillRect/>
                    </a:stretch>
                  </pic:blipFill>
                  <pic:spPr>
                    <a:xfrm>
                      <a:off x="0" y="0"/>
                      <a:ext cx="6568784" cy="7998002"/>
                    </a:xfrm>
                    <a:prstGeom prst="rect">
                      <a:avLst/>
                    </a:prstGeom>
                  </pic:spPr>
                </pic:pic>
              </a:graphicData>
            </a:graphic>
          </wp:inline>
        </w:drawing>
      </w:r>
    </w:p>
    <w:p w:rsidR="00CB7A79" w:rsidRDefault="008502F3">
      <w:pPr>
        <w:spacing w:line="480" w:lineRule="auto"/>
        <w:rPr>
          <w:rFonts w:ascii="Arial" w:hAnsi="Arial" w:cs="Arial"/>
          <w:bCs/>
          <w:kern w:val="0"/>
          <w:sz w:val="22"/>
        </w:rPr>
      </w:pPr>
      <w:r>
        <w:rPr>
          <w:rFonts w:ascii="Arial" w:hAnsi="Arial" w:cs="Arial"/>
          <w:b/>
          <w:bCs/>
          <w:kern w:val="0"/>
          <w:sz w:val="22"/>
        </w:rPr>
        <w:lastRenderedPageBreak/>
        <w:t xml:space="preserve">Figure S16. </w:t>
      </w:r>
      <w:r w:rsidRPr="00D800CC">
        <w:rPr>
          <w:rFonts w:ascii="Arial" w:hAnsi="Arial" w:cs="Arial"/>
          <w:bCs/>
          <w:kern w:val="0"/>
          <w:sz w:val="22"/>
        </w:rPr>
        <w:t>Comparison of cytoplasmic MOV10-associated proteins with those in the nucleus.</w:t>
      </w:r>
      <w:r w:rsidRPr="00D800CC">
        <w:rPr>
          <w:rFonts w:ascii="宋体" w:eastAsia="宋体" w:hAnsi="宋体" w:cs="宋体"/>
          <w:kern w:val="0"/>
          <w:sz w:val="24"/>
          <w:szCs w:val="24"/>
        </w:rPr>
        <w:t xml:space="preserve"> </w:t>
      </w:r>
      <w:r>
        <w:rPr>
          <w:rFonts w:ascii="Arial" w:hAnsi="Arial" w:cs="Arial"/>
          <w:bCs/>
          <w:kern w:val="0"/>
          <w:sz w:val="22"/>
        </w:rPr>
        <w:t xml:space="preserve">(A) Western blot and silver staining of the MOV10 IP complex from cytoplasmic lysate. (B) Venn Diagram showing the numbers of cytoplasmic MOV10 and nuclear MOV10-associated proteins. The overlap (24 proteins) represent MOV10-associated proteins that could be nucleocytoplasmic. (C and D) Gene ontology analysis of the 58 unique components from the cytoplasmic MOV10-IP complex, with top 10 associations shown as p value (C) or counts (D). (E and F) Gene ontology analysis of the 51 unique components from the nuclear MOV10-IP complex, with top 10 associations shown as p value (E) or counts (F). </w:t>
      </w:r>
    </w:p>
    <w:p w:rsidR="00CB7A79" w:rsidRDefault="00CB7A79">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pPr>
        <w:spacing w:line="480" w:lineRule="auto"/>
        <w:rPr>
          <w:rFonts w:ascii="Arial" w:hAnsi="Arial" w:cs="Arial"/>
          <w:color w:val="000000"/>
          <w:sz w:val="22"/>
        </w:rPr>
      </w:pPr>
    </w:p>
    <w:p w:rsidR="007746BC" w:rsidRDefault="007746BC" w:rsidP="007746BC">
      <w:pPr>
        <w:spacing w:line="480" w:lineRule="auto"/>
        <w:rPr>
          <w:rFonts w:ascii="Arial" w:hAnsi="Arial" w:cs="Arial"/>
          <w:b/>
          <w:bCs/>
          <w:sz w:val="22"/>
        </w:rPr>
      </w:pPr>
      <w:r>
        <w:rPr>
          <w:rFonts w:ascii="Arial" w:hAnsi="Arial" w:cs="Arial"/>
          <w:b/>
          <w:bCs/>
          <w:sz w:val="22"/>
        </w:rPr>
        <w:lastRenderedPageBreak/>
        <w:t>Table</w:t>
      </w:r>
      <w:r>
        <w:rPr>
          <w:rFonts w:ascii="Arial" w:hAnsi="Arial" w:cs="Arial" w:hint="eastAsia"/>
          <w:b/>
          <w:bCs/>
          <w:sz w:val="22"/>
        </w:rPr>
        <w:t xml:space="preserve"> </w:t>
      </w:r>
      <w:r>
        <w:rPr>
          <w:rFonts w:ascii="Arial" w:hAnsi="Arial" w:cs="Arial"/>
          <w:b/>
          <w:bCs/>
          <w:sz w:val="22"/>
        </w:rPr>
        <w:t>S1</w:t>
      </w:r>
      <w:r>
        <w:rPr>
          <w:rFonts w:ascii="Arial" w:hAnsi="Arial" w:cs="Arial" w:hint="eastAsia"/>
          <w:b/>
          <w:bCs/>
          <w:sz w:val="22"/>
        </w:rPr>
        <w:t xml:space="preserve">. </w:t>
      </w:r>
      <w:r w:rsidRPr="00D800CC">
        <w:rPr>
          <w:rFonts w:ascii="Arial" w:hAnsi="Arial" w:cs="Arial" w:hint="eastAsia"/>
          <w:bCs/>
          <w:sz w:val="22"/>
        </w:rPr>
        <w:t>Mapping of MOV10 CLIP tags to the top 19 pre-pachytene piRNA clusters</w:t>
      </w:r>
    </w:p>
    <w:tbl>
      <w:tblPr>
        <w:tblW w:w="9283" w:type="dxa"/>
        <w:tblInd w:w="432" w:type="dxa"/>
        <w:tblBorders>
          <w:top w:val="single" w:sz="4" w:space="0" w:color="auto"/>
          <w:bottom w:val="single" w:sz="4" w:space="0" w:color="auto"/>
        </w:tblBorders>
        <w:tblLayout w:type="fixed"/>
        <w:tblLook w:val="04A0" w:firstRow="1" w:lastRow="0" w:firstColumn="1" w:lastColumn="0" w:noHBand="0" w:noVBand="1"/>
      </w:tblPr>
      <w:tblGrid>
        <w:gridCol w:w="1328"/>
        <w:gridCol w:w="2247"/>
        <w:gridCol w:w="1069"/>
        <w:gridCol w:w="3124"/>
        <w:gridCol w:w="1515"/>
      </w:tblGrid>
      <w:tr w:rsidR="007746BC" w:rsidTr="00CA630B">
        <w:trPr>
          <w:trHeight w:val="274"/>
        </w:trPr>
        <w:tc>
          <w:tcPr>
            <w:tcW w:w="1328" w:type="dxa"/>
            <w:tcBorders>
              <w:top w:val="single" w:sz="4" w:space="0" w:color="auto"/>
              <w:bottom w:val="single" w:sz="4" w:space="0" w:color="auto"/>
            </w:tcBorders>
            <w:vAlign w:val="bottom"/>
          </w:tcPr>
          <w:p w:rsidR="007746BC" w:rsidRDefault="007746BC" w:rsidP="00CA630B">
            <w:pPr>
              <w:spacing w:line="480" w:lineRule="auto"/>
              <w:rPr>
                <w:rFonts w:ascii="Arial" w:hAnsi="Arial" w:cs="Arial"/>
                <w:sz w:val="22"/>
              </w:rPr>
            </w:pPr>
          </w:p>
        </w:tc>
        <w:tc>
          <w:tcPr>
            <w:tcW w:w="2247" w:type="dxa"/>
            <w:tcBorders>
              <w:top w:val="single" w:sz="4" w:space="0" w:color="auto"/>
              <w:bottom w:val="single" w:sz="4" w:space="0" w:color="auto"/>
            </w:tcBorders>
            <w:vAlign w:val="bottom"/>
          </w:tcPr>
          <w:p w:rsidR="007746BC" w:rsidRDefault="007746BC" w:rsidP="00CA630B">
            <w:pPr>
              <w:widowControl/>
              <w:spacing w:line="480" w:lineRule="auto"/>
              <w:textAlignment w:val="bottom"/>
              <w:rPr>
                <w:rFonts w:ascii="Arial" w:hAnsi="Arial" w:cs="Arial"/>
                <w:sz w:val="22"/>
              </w:rPr>
            </w:pPr>
            <w:r>
              <w:rPr>
                <w:rStyle w:val="font11"/>
                <w:rFonts w:eastAsia="宋体"/>
              </w:rPr>
              <w:t>Position</w:t>
            </w:r>
            <w:r>
              <w:rPr>
                <w:rStyle w:val="font21"/>
                <w:rFonts w:ascii="Arial" w:hAnsi="Arial" w:cs="Arial" w:hint="default"/>
              </w:rPr>
              <w:t>（</w:t>
            </w:r>
            <w:r>
              <w:rPr>
                <w:rStyle w:val="font11"/>
                <w:rFonts w:eastAsia="宋体"/>
              </w:rPr>
              <w:t>mm10</w:t>
            </w:r>
            <w:r>
              <w:rPr>
                <w:rStyle w:val="font21"/>
                <w:rFonts w:ascii="Arial" w:hAnsi="Arial" w:cs="Arial" w:hint="default"/>
              </w:rPr>
              <w:t>）</w:t>
            </w:r>
          </w:p>
        </w:tc>
        <w:tc>
          <w:tcPr>
            <w:tcW w:w="1069" w:type="dxa"/>
            <w:tcBorders>
              <w:top w:val="single" w:sz="4" w:space="0" w:color="auto"/>
              <w:bottom w:val="single" w:sz="4" w:space="0" w:color="auto"/>
            </w:tcBorders>
            <w:vAlign w:val="bottom"/>
          </w:tcPr>
          <w:p w:rsidR="007746BC" w:rsidRDefault="007746BC" w:rsidP="00CA630B">
            <w:pPr>
              <w:widowControl/>
              <w:spacing w:line="480" w:lineRule="auto"/>
              <w:textAlignment w:val="bottom"/>
              <w:rPr>
                <w:rFonts w:ascii="Arial" w:hAnsi="Arial" w:cs="Arial"/>
                <w:sz w:val="22"/>
              </w:rPr>
            </w:pPr>
            <w:r>
              <w:rPr>
                <w:rFonts w:ascii="Arial" w:eastAsia="宋体" w:hAnsi="Arial" w:cs="Arial"/>
                <w:color w:val="000000"/>
                <w:kern w:val="0"/>
                <w:sz w:val="22"/>
              </w:rPr>
              <w:t>Strand</w:t>
            </w:r>
          </w:p>
        </w:tc>
        <w:tc>
          <w:tcPr>
            <w:tcW w:w="3124" w:type="dxa"/>
            <w:tcBorders>
              <w:top w:val="single" w:sz="4" w:space="0" w:color="auto"/>
              <w:bottom w:val="single" w:sz="4" w:space="0" w:color="auto"/>
            </w:tcBorders>
            <w:vAlign w:val="bottom"/>
          </w:tcPr>
          <w:p w:rsidR="007746BC" w:rsidRDefault="007746BC" w:rsidP="00CA630B">
            <w:pPr>
              <w:widowControl/>
              <w:spacing w:line="480" w:lineRule="auto"/>
              <w:textAlignment w:val="bottom"/>
              <w:rPr>
                <w:rFonts w:ascii="Arial" w:hAnsi="Arial" w:cs="Arial"/>
                <w:sz w:val="22"/>
              </w:rPr>
            </w:pPr>
            <w:r>
              <w:rPr>
                <w:rFonts w:ascii="Arial" w:eastAsia="宋体" w:hAnsi="Arial" w:cs="Arial"/>
                <w:color w:val="000000"/>
                <w:kern w:val="0"/>
                <w:sz w:val="22"/>
              </w:rPr>
              <w:t>Cluster coverage region</w:t>
            </w:r>
          </w:p>
        </w:tc>
        <w:tc>
          <w:tcPr>
            <w:tcW w:w="1515" w:type="dxa"/>
            <w:tcBorders>
              <w:top w:val="single" w:sz="4" w:space="0" w:color="auto"/>
              <w:bottom w:val="single" w:sz="4" w:space="0" w:color="auto"/>
            </w:tcBorders>
            <w:vAlign w:val="bottom"/>
          </w:tcPr>
          <w:p w:rsidR="007746BC" w:rsidRDefault="007746BC" w:rsidP="00CA630B">
            <w:pPr>
              <w:widowControl/>
              <w:spacing w:line="480" w:lineRule="auto"/>
              <w:textAlignment w:val="bottom"/>
              <w:rPr>
                <w:rFonts w:ascii="Arial" w:hAnsi="Arial" w:cs="Arial"/>
                <w:sz w:val="22"/>
              </w:rPr>
            </w:pPr>
            <w:r>
              <w:rPr>
                <w:rFonts w:ascii="Arial" w:eastAsia="宋体" w:hAnsi="Arial" w:cs="Arial"/>
                <w:color w:val="000000"/>
                <w:kern w:val="0"/>
                <w:sz w:val="22"/>
              </w:rPr>
              <w:t>CLIP reads</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chr7:6573318-</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6652439</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intergenic</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87"/>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cluster2</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chr1:132023674-</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132032484</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 intron, exon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cluster3</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chr7:75768979-</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75782325</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intron, exon, 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cluster4</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chr1:156641076-</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156653920</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intergenic, 3'UTR, exon, intron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cluster5</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chr10:83360291-</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83457267</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cluster6</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chr8:117205288-</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117215758</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intergenic</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cluster7</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chr3:95181852-</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95190581</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 exon, intron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cluster8</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chr15:103191979-</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103199744</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cluster9</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chr9:114507327-</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114513740</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intergenic, 3'UTR, exon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cluster10</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chr4:56867119-</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56880202</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cluster11</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chr11:79684253-</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79697847</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 exon, intron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cluster12</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chr1:118677480-</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118685051</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cluster13</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chr4:108175260-</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108181861</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intergenic</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cluster14</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chr5:67392260-</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67400272</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3'UTR, exon, intron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cluster15</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chr4:135412459-</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135417954</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 xml:space="preserve">3'UTR, exon, intron </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cluster16</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chr17:83574352-</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lastRenderedPageBreak/>
              <w:t>83601953</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lastRenderedPageBreak/>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 xml:space="preserve">intergenic, 3'UTR, exon, </w:t>
            </w:r>
            <w:r>
              <w:rPr>
                <w:rFonts w:ascii="Arial" w:eastAsia="宋体" w:hAnsi="Arial" w:cs="Arial"/>
                <w:color w:val="000000"/>
                <w:kern w:val="0"/>
                <w:sz w:val="22"/>
              </w:rPr>
              <w:lastRenderedPageBreak/>
              <w:t>intron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lastRenderedPageBreak/>
              <w:t>partial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cluster17</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chr15:102279895-</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102298980</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intergenic, 3'UTR, exon, intron</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cluster18</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chr6:83362975-</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83369273</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5'UTR, exon, intron, 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full</w:t>
            </w:r>
          </w:p>
        </w:tc>
      </w:tr>
      <w:tr w:rsidR="007746BC" w:rsidTr="00CA630B">
        <w:trPr>
          <w:trHeight w:val="274"/>
        </w:trPr>
        <w:tc>
          <w:tcPr>
            <w:tcW w:w="1328"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cluster19</w:t>
            </w:r>
          </w:p>
        </w:tc>
        <w:tc>
          <w:tcPr>
            <w:tcW w:w="2247" w:type="dxa"/>
            <w:vAlign w:val="bottom"/>
          </w:tcPr>
          <w:p w:rsidR="007746BC" w:rsidRDefault="007746BC" w:rsidP="00CA630B">
            <w:pPr>
              <w:widowControl/>
              <w:spacing w:line="360" w:lineRule="auto"/>
              <w:textAlignment w:val="bottom"/>
              <w:rPr>
                <w:rFonts w:ascii="Arial" w:eastAsia="宋体" w:hAnsi="Arial" w:cs="Arial"/>
                <w:color w:val="000000"/>
                <w:kern w:val="0"/>
                <w:sz w:val="22"/>
              </w:rPr>
            </w:pPr>
            <w:r>
              <w:rPr>
                <w:rFonts w:ascii="Arial" w:eastAsia="宋体" w:hAnsi="Arial" w:cs="Arial"/>
                <w:color w:val="000000"/>
                <w:kern w:val="0"/>
                <w:sz w:val="22"/>
              </w:rPr>
              <w:t>chr16:17257386-</w:t>
            </w:r>
          </w:p>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17263222</w:t>
            </w:r>
          </w:p>
        </w:tc>
        <w:tc>
          <w:tcPr>
            <w:tcW w:w="1069"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w:t>
            </w:r>
          </w:p>
        </w:tc>
        <w:tc>
          <w:tcPr>
            <w:tcW w:w="3124" w:type="dxa"/>
          </w:tcPr>
          <w:p w:rsidR="007746BC" w:rsidRDefault="007746BC" w:rsidP="00CA630B">
            <w:pPr>
              <w:widowControl/>
              <w:spacing w:line="360" w:lineRule="auto"/>
              <w:jc w:val="left"/>
              <w:textAlignment w:val="bottom"/>
              <w:rPr>
                <w:rFonts w:ascii="Arial" w:hAnsi="Arial" w:cs="Arial"/>
                <w:sz w:val="22"/>
              </w:rPr>
            </w:pPr>
            <w:r>
              <w:rPr>
                <w:rFonts w:ascii="Arial" w:eastAsia="宋体" w:hAnsi="Arial" w:cs="Arial"/>
                <w:color w:val="000000"/>
                <w:kern w:val="0"/>
                <w:sz w:val="22"/>
              </w:rPr>
              <w:t>exon, 3'UTR</w:t>
            </w:r>
          </w:p>
        </w:tc>
        <w:tc>
          <w:tcPr>
            <w:tcW w:w="1515" w:type="dxa"/>
          </w:tcPr>
          <w:p w:rsidR="007746BC" w:rsidRDefault="007746BC" w:rsidP="00CA630B">
            <w:pPr>
              <w:widowControl/>
              <w:spacing w:line="360" w:lineRule="auto"/>
              <w:textAlignment w:val="bottom"/>
              <w:rPr>
                <w:rFonts w:ascii="Arial" w:hAnsi="Arial" w:cs="Arial"/>
                <w:sz w:val="22"/>
              </w:rPr>
            </w:pPr>
            <w:r>
              <w:rPr>
                <w:rFonts w:ascii="Arial" w:eastAsia="宋体" w:hAnsi="Arial" w:cs="Arial"/>
                <w:color w:val="000000"/>
                <w:kern w:val="0"/>
                <w:sz w:val="22"/>
              </w:rPr>
              <w:t>partial</w:t>
            </w:r>
          </w:p>
        </w:tc>
      </w:tr>
    </w:tbl>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360" w:lineRule="auto"/>
        <w:ind w:left="720" w:hanging="720"/>
        <w:rPr>
          <w:rFonts w:ascii="Arial" w:hAnsi="Arial" w:cs="Arial"/>
          <w:b/>
          <w:kern w:val="0"/>
          <w:sz w:val="22"/>
        </w:rPr>
      </w:pPr>
    </w:p>
    <w:p w:rsidR="007746BC" w:rsidRDefault="007746BC" w:rsidP="007746BC">
      <w:pPr>
        <w:spacing w:line="480" w:lineRule="auto"/>
        <w:rPr>
          <w:rFonts w:ascii="Arial" w:hAnsi="Arial" w:cs="Arial"/>
          <w:b/>
          <w:bCs/>
          <w:sz w:val="22"/>
        </w:rPr>
      </w:pPr>
      <w:r>
        <w:rPr>
          <w:rFonts w:ascii="Arial" w:hAnsi="Arial" w:cs="Arial"/>
          <w:b/>
          <w:bCs/>
          <w:sz w:val="22"/>
        </w:rPr>
        <w:lastRenderedPageBreak/>
        <w:t>Table S</w:t>
      </w:r>
      <w:r>
        <w:rPr>
          <w:rFonts w:ascii="Arial" w:hAnsi="Arial" w:cs="Arial" w:hint="eastAsia"/>
          <w:b/>
          <w:bCs/>
          <w:sz w:val="22"/>
        </w:rPr>
        <w:t xml:space="preserve">3. </w:t>
      </w:r>
      <w:r w:rsidRPr="00D800CC">
        <w:rPr>
          <w:rFonts w:ascii="Arial" w:hAnsi="Arial" w:cs="Arial" w:hint="eastAsia"/>
          <w:bCs/>
          <w:sz w:val="22"/>
        </w:rPr>
        <w:t>Genome-wide annotations of MOV10 CLIP targets</w:t>
      </w:r>
    </w:p>
    <w:tbl>
      <w:tblPr>
        <w:tblW w:w="8136" w:type="dxa"/>
        <w:jc w:val="center"/>
        <w:tblBorders>
          <w:top w:val="single" w:sz="4" w:space="0" w:color="auto"/>
          <w:bottom w:val="single" w:sz="4" w:space="0" w:color="auto"/>
        </w:tblBorders>
        <w:tblLayout w:type="fixed"/>
        <w:tblLook w:val="04A0" w:firstRow="1" w:lastRow="0" w:firstColumn="1" w:lastColumn="0" w:noHBand="0" w:noVBand="1"/>
      </w:tblPr>
      <w:tblGrid>
        <w:gridCol w:w="4188"/>
        <w:gridCol w:w="2235"/>
        <w:gridCol w:w="1713"/>
      </w:tblGrid>
      <w:tr w:rsidR="007746BC" w:rsidTr="00CA630B">
        <w:trPr>
          <w:trHeight w:val="268"/>
          <w:jc w:val="center"/>
        </w:trPr>
        <w:tc>
          <w:tcPr>
            <w:tcW w:w="4188" w:type="dxa"/>
            <w:tcBorders>
              <w:top w:val="single" w:sz="4" w:space="0" w:color="auto"/>
              <w:bottom w:val="single" w:sz="4" w:space="0" w:color="auto"/>
            </w:tcBorders>
            <w:vAlign w:val="center"/>
          </w:tcPr>
          <w:p w:rsidR="007746BC" w:rsidRDefault="007746BC" w:rsidP="00CA630B">
            <w:pPr>
              <w:spacing w:line="480" w:lineRule="auto"/>
              <w:rPr>
                <w:rFonts w:ascii="Arial" w:eastAsia="宋体" w:hAnsi="Arial" w:cs="Arial"/>
                <w:sz w:val="22"/>
              </w:rPr>
            </w:pPr>
            <w:r>
              <w:rPr>
                <w:rFonts w:ascii="Arial" w:hAnsi="Arial" w:cs="Arial"/>
                <w:sz w:val="22"/>
              </w:rPr>
              <w:t>Classification</w:t>
            </w:r>
          </w:p>
        </w:tc>
        <w:tc>
          <w:tcPr>
            <w:tcW w:w="2235" w:type="dxa"/>
            <w:tcBorders>
              <w:top w:val="single" w:sz="4" w:space="0" w:color="auto"/>
              <w:bottom w:val="single" w:sz="4" w:space="0" w:color="auto"/>
            </w:tcBorders>
            <w:vAlign w:val="center"/>
          </w:tcPr>
          <w:p w:rsidR="007746BC" w:rsidRDefault="007746BC" w:rsidP="00CA630B">
            <w:pPr>
              <w:spacing w:line="480" w:lineRule="auto"/>
              <w:rPr>
                <w:rFonts w:ascii="Arial" w:hAnsi="Arial" w:cs="Arial"/>
                <w:sz w:val="22"/>
              </w:rPr>
            </w:pPr>
            <w:r>
              <w:rPr>
                <w:rFonts w:ascii="Arial" w:hAnsi="Arial" w:cs="Arial"/>
                <w:sz w:val="22"/>
              </w:rPr>
              <w:t>Reproducible_0.5</w:t>
            </w:r>
          </w:p>
        </w:tc>
        <w:tc>
          <w:tcPr>
            <w:tcW w:w="1713" w:type="dxa"/>
            <w:tcBorders>
              <w:top w:val="single" w:sz="4" w:space="0" w:color="auto"/>
              <w:bottom w:val="single" w:sz="4" w:space="0" w:color="auto"/>
            </w:tcBorders>
            <w:vAlign w:val="center"/>
          </w:tcPr>
          <w:p w:rsidR="007746BC" w:rsidRDefault="007746BC" w:rsidP="00CA630B">
            <w:pPr>
              <w:spacing w:line="480" w:lineRule="auto"/>
              <w:rPr>
                <w:rFonts w:ascii="Arial" w:hAnsi="Arial" w:cs="Arial"/>
                <w:sz w:val="22"/>
              </w:rPr>
            </w:pPr>
            <w:r>
              <w:rPr>
                <w:rFonts w:ascii="Arial" w:hAnsi="Arial" w:cs="Arial"/>
                <w:sz w:val="22"/>
              </w:rPr>
              <w:t>Ratio</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3’_overlapping_ncrna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0.00%</w:t>
            </w:r>
          </w:p>
        </w:tc>
      </w:tr>
      <w:tr w:rsidR="007746BC" w:rsidTr="00CA630B">
        <w:trPr>
          <w:trHeight w:val="281"/>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antisense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450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2.49%</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bidirectional_promoter_lncrna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3</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IG_C_gene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0.00%</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IG_C_pseudogene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0.00%</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IG_V_gene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IG_V_pseudogene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lincRNA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495</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2.74%</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macro_lncRNA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0.00%</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miRNA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324</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1.79%</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misc_RNA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103</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0.57%</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Mt_rRNA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Mt_tRNA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18</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0.10%</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polymorphic_pseudogene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7</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0.04%</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processed_pseudogene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2009</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11.12%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processed_transcript</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236</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1.31%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protein_coding</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13210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73.09%</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51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0.28%</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ribozyme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6</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0.03%</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rRNA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67</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0.37%</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scaRNA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5</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0.03%</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sense_intronic</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39</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0.22%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sense_overlapping</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4</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snoRNA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102</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0.56%</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snRNA</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391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2.16%</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TEC</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293</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1.62%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TR_C_gene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TR_J_gene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TR_V_gene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4</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TR_V_pseudogene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transcribed_processed_pseudogene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76</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0.42%</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lastRenderedPageBreak/>
              <w:t>transcribed_unitary_pseudogene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0.01%</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transcribed_unprocessed_pseudogene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34</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0.19%</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translated_unprocessed_pseudogene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0.00%</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unitary_pseudogene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7</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0.04%</w:t>
            </w:r>
          </w:p>
        </w:tc>
      </w:tr>
      <w:tr w:rsidR="007746BC" w:rsidTr="00CA630B">
        <w:trPr>
          <w:trHeight w:val="268"/>
          <w:jc w:val="center"/>
        </w:trPr>
        <w:tc>
          <w:tcPr>
            <w:tcW w:w="4188"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unprocessed_pseudogene</w:t>
            </w:r>
          </w:p>
        </w:tc>
        <w:tc>
          <w:tcPr>
            <w:tcW w:w="2235"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130</w:t>
            </w:r>
          </w:p>
        </w:tc>
        <w:tc>
          <w:tcPr>
            <w:tcW w:w="1713" w:type="dxa"/>
            <w:vAlign w:val="center"/>
          </w:tcPr>
          <w:p w:rsidR="007746BC" w:rsidRDefault="007746BC" w:rsidP="00CA630B">
            <w:pPr>
              <w:widowControl/>
              <w:spacing w:line="360" w:lineRule="auto"/>
              <w:textAlignment w:val="center"/>
              <w:rPr>
                <w:rFonts w:ascii="Arial" w:hAnsi="Arial" w:cs="Arial"/>
                <w:sz w:val="22"/>
              </w:rPr>
            </w:pPr>
            <w:r>
              <w:rPr>
                <w:rFonts w:ascii="Arial" w:eastAsia="Tahoma" w:hAnsi="Arial" w:cs="Arial"/>
                <w:color w:val="000000"/>
                <w:kern w:val="0"/>
                <w:sz w:val="22"/>
              </w:rPr>
              <w:t>0.72%</w:t>
            </w:r>
          </w:p>
        </w:tc>
      </w:tr>
    </w:tbl>
    <w:p w:rsidR="007746BC" w:rsidRDefault="007746BC" w:rsidP="007746BC">
      <w:pPr>
        <w:spacing w:line="360" w:lineRule="auto"/>
        <w:rPr>
          <w:rFonts w:ascii="Arial" w:eastAsia="宋体" w:hAnsi="Arial" w:cs="Arial"/>
          <w:sz w:val="22"/>
        </w:rPr>
      </w:pPr>
    </w:p>
    <w:p w:rsidR="007746BC" w:rsidRDefault="007746BC" w:rsidP="007746BC">
      <w:pPr>
        <w:spacing w:line="360" w:lineRule="auto"/>
        <w:rPr>
          <w:rFonts w:ascii="Arial" w:eastAsia="宋体" w:hAnsi="Arial" w:cs="Arial"/>
          <w:sz w:val="22"/>
        </w:rPr>
      </w:pPr>
      <w:r>
        <w:rPr>
          <w:rFonts w:ascii="Arial" w:eastAsia="宋体" w:hAnsi="Arial" w:cs="Arial" w:hint="eastAsia"/>
          <w:sz w:val="22"/>
        </w:rPr>
        <w:t>R</w:t>
      </w:r>
      <w:r>
        <w:rPr>
          <w:rFonts w:ascii="Arial" w:eastAsia="宋体" w:hAnsi="Arial" w:cs="Arial"/>
          <w:sz w:val="22"/>
        </w:rPr>
        <w:t>eproducible_0.5: FPKM≥0.5</w:t>
      </w:r>
      <w:r>
        <w:rPr>
          <w:rFonts w:ascii="Arial" w:eastAsia="宋体" w:hAnsi="Arial" w:cs="Arial" w:hint="eastAsia"/>
          <w:sz w:val="22"/>
        </w:rPr>
        <w:t xml:space="preserve"> and reproducible </w:t>
      </w:r>
      <w:r>
        <w:rPr>
          <w:rFonts w:ascii="Arial" w:eastAsia="宋体" w:hAnsi="Arial" w:cs="Arial"/>
          <w:sz w:val="22"/>
        </w:rPr>
        <w:t>in at least two libraries</w:t>
      </w:r>
      <w:r>
        <w:rPr>
          <w:rFonts w:ascii="Arial" w:eastAsia="宋体" w:hAnsi="Arial" w:cs="Arial" w:hint="eastAsia"/>
          <w:sz w:val="22"/>
        </w:rPr>
        <w:t>.</w:t>
      </w:r>
    </w:p>
    <w:p w:rsidR="00CB7A79" w:rsidRPr="00FD7180" w:rsidRDefault="008502F3" w:rsidP="00FD7180">
      <w:pPr>
        <w:widowControl/>
        <w:jc w:val="left"/>
        <w:rPr>
          <w:rFonts w:ascii="Arial" w:hAnsi="Arial" w:cs="Arial"/>
          <w:b/>
          <w:bCs/>
          <w:sz w:val="22"/>
        </w:rPr>
      </w:pPr>
      <w:r>
        <w:rPr>
          <w:bCs/>
          <w:kern w:val="0"/>
          <w:sz w:val="22"/>
        </w:rPr>
        <w:fldChar w:fldCharType="begin"/>
      </w:r>
      <w:r>
        <w:rPr>
          <w:bCs/>
          <w:kern w:val="0"/>
          <w:sz w:val="22"/>
        </w:rPr>
        <w:instrText xml:space="preserve"> ADDIN EN.REFLIST </w:instrText>
      </w:r>
      <w:r>
        <w:rPr>
          <w:bCs/>
          <w:kern w:val="0"/>
          <w:sz w:val="22"/>
        </w:rPr>
        <w:fldChar w:fldCharType="end"/>
      </w:r>
    </w:p>
    <w:sectPr w:rsidR="00CB7A79" w:rsidRPr="00FD7180">
      <w:pgSz w:w="12240" w:h="15840"/>
      <w:pgMar w:top="1440" w:right="1041" w:bottom="1440" w:left="99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C34" w:rsidRDefault="00854C34" w:rsidP="00774E33">
      <w:r>
        <w:separator/>
      </w:r>
    </w:p>
  </w:endnote>
  <w:endnote w:type="continuationSeparator" w:id="0">
    <w:p w:rsidR="00854C34" w:rsidRDefault="00854C34" w:rsidP="0077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XZEIXT+TimesNewRomanPS-BoldMT">
    <w:altName w:val="宋体"/>
    <w:charset w:val="86"/>
    <w:family w:val="roma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AdvOTea1a7398">
    <w:altName w:val="Segoe Print"/>
    <w:charset w:val="00"/>
    <w:family w:val="auto"/>
    <w:pitch w:val="default"/>
  </w:font>
  <w:font w:name="ArialMT">
    <w:altName w:val="Arial"/>
    <w:charset w:val="A1"/>
    <w:family w:val="auto"/>
    <w:pitch w:val="default"/>
    <w:sig w:usb0="00000000" w:usb1="00000000" w:usb2="00000000" w:usb3="00000000" w:csb0="00000008" w:csb1="00000000"/>
  </w:font>
  <w:font w:name="Arial-BoldMT">
    <w:altName w:val="宋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AdvTT9ae090ab">
    <w:altName w:val="Arial"/>
    <w:charset w:val="00"/>
    <w:family w:val="swiss"/>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C34" w:rsidRDefault="00854C34" w:rsidP="00774E33">
      <w:r>
        <w:separator/>
      </w:r>
    </w:p>
  </w:footnote>
  <w:footnote w:type="continuationSeparator" w:id="0">
    <w:p w:rsidR="00854C34" w:rsidRDefault="00854C34" w:rsidP="00774E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BMC Biology&lt;/Style&gt;&lt;LeftDelim&gt;{&lt;/LeftDelim&gt;&lt;RightDelim&gt;}&lt;/RightDelim&gt;&lt;FontName&gt;Arial&lt;/FontName&gt;&lt;FontSize&gt;10&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1&lt;/HyperlinksVisible&gt;&lt;/ENLayout&gt;"/>
    <w:docVar w:name="EN.Libraries" w:val="&lt;Libraries&gt;&lt;/Libraries&gt;"/>
  </w:docVars>
  <w:rsids>
    <w:rsidRoot w:val="00A9077F"/>
    <w:rsid w:val="00001F8B"/>
    <w:rsid w:val="00003D0F"/>
    <w:rsid w:val="00006223"/>
    <w:rsid w:val="000069B5"/>
    <w:rsid w:val="000071D4"/>
    <w:rsid w:val="000073C4"/>
    <w:rsid w:val="00013527"/>
    <w:rsid w:val="0001485F"/>
    <w:rsid w:val="0001556A"/>
    <w:rsid w:val="00016C77"/>
    <w:rsid w:val="0002197B"/>
    <w:rsid w:val="00022EE8"/>
    <w:rsid w:val="00023716"/>
    <w:rsid w:val="00026005"/>
    <w:rsid w:val="0002662F"/>
    <w:rsid w:val="000269BB"/>
    <w:rsid w:val="000310E4"/>
    <w:rsid w:val="000313B3"/>
    <w:rsid w:val="00033662"/>
    <w:rsid w:val="000342A7"/>
    <w:rsid w:val="00036DE1"/>
    <w:rsid w:val="0003702A"/>
    <w:rsid w:val="00044B34"/>
    <w:rsid w:val="00044DAB"/>
    <w:rsid w:val="0004512D"/>
    <w:rsid w:val="00045715"/>
    <w:rsid w:val="00051140"/>
    <w:rsid w:val="00051547"/>
    <w:rsid w:val="00052C44"/>
    <w:rsid w:val="00053872"/>
    <w:rsid w:val="0005392A"/>
    <w:rsid w:val="00055E5D"/>
    <w:rsid w:val="000570D1"/>
    <w:rsid w:val="00061730"/>
    <w:rsid w:val="0006277F"/>
    <w:rsid w:val="00063264"/>
    <w:rsid w:val="00067C97"/>
    <w:rsid w:val="00067CBF"/>
    <w:rsid w:val="00067EF4"/>
    <w:rsid w:val="00074EAE"/>
    <w:rsid w:val="00076C68"/>
    <w:rsid w:val="00076EE4"/>
    <w:rsid w:val="00081ABC"/>
    <w:rsid w:val="00083816"/>
    <w:rsid w:val="00086095"/>
    <w:rsid w:val="00086964"/>
    <w:rsid w:val="00090017"/>
    <w:rsid w:val="00090EAC"/>
    <w:rsid w:val="00091499"/>
    <w:rsid w:val="00091708"/>
    <w:rsid w:val="00093CB1"/>
    <w:rsid w:val="0009742C"/>
    <w:rsid w:val="000A07FA"/>
    <w:rsid w:val="000A1321"/>
    <w:rsid w:val="000A33C6"/>
    <w:rsid w:val="000A42AE"/>
    <w:rsid w:val="000A4520"/>
    <w:rsid w:val="000A6077"/>
    <w:rsid w:val="000B0094"/>
    <w:rsid w:val="000B1A35"/>
    <w:rsid w:val="000B3168"/>
    <w:rsid w:val="000B33ED"/>
    <w:rsid w:val="000B358F"/>
    <w:rsid w:val="000B35FB"/>
    <w:rsid w:val="000B5406"/>
    <w:rsid w:val="000B5C50"/>
    <w:rsid w:val="000B6EA6"/>
    <w:rsid w:val="000B75DD"/>
    <w:rsid w:val="000B7E4C"/>
    <w:rsid w:val="000C035D"/>
    <w:rsid w:val="000C0569"/>
    <w:rsid w:val="000C207E"/>
    <w:rsid w:val="000C350E"/>
    <w:rsid w:val="000C45D1"/>
    <w:rsid w:val="000C5823"/>
    <w:rsid w:val="000C5921"/>
    <w:rsid w:val="000C698C"/>
    <w:rsid w:val="000C6B63"/>
    <w:rsid w:val="000C6DCD"/>
    <w:rsid w:val="000C6E64"/>
    <w:rsid w:val="000C7614"/>
    <w:rsid w:val="000C7CC4"/>
    <w:rsid w:val="000C7D11"/>
    <w:rsid w:val="000D0A2F"/>
    <w:rsid w:val="000D142D"/>
    <w:rsid w:val="000D1B6D"/>
    <w:rsid w:val="000D7701"/>
    <w:rsid w:val="000D79A8"/>
    <w:rsid w:val="000E1829"/>
    <w:rsid w:val="000E1895"/>
    <w:rsid w:val="000E1C1D"/>
    <w:rsid w:val="000E2140"/>
    <w:rsid w:val="000E2199"/>
    <w:rsid w:val="000E6309"/>
    <w:rsid w:val="000E6801"/>
    <w:rsid w:val="000F0245"/>
    <w:rsid w:val="000F175D"/>
    <w:rsid w:val="000F3E11"/>
    <w:rsid w:val="000F4E7C"/>
    <w:rsid w:val="001022B1"/>
    <w:rsid w:val="001031AB"/>
    <w:rsid w:val="00103D6E"/>
    <w:rsid w:val="00104A5F"/>
    <w:rsid w:val="00104E68"/>
    <w:rsid w:val="00105243"/>
    <w:rsid w:val="00105EAE"/>
    <w:rsid w:val="001119F0"/>
    <w:rsid w:val="00112E19"/>
    <w:rsid w:val="00116B89"/>
    <w:rsid w:val="00120785"/>
    <w:rsid w:val="00120F03"/>
    <w:rsid w:val="00121316"/>
    <w:rsid w:val="001224EA"/>
    <w:rsid w:val="00123B3A"/>
    <w:rsid w:val="00131655"/>
    <w:rsid w:val="001321FA"/>
    <w:rsid w:val="00133C00"/>
    <w:rsid w:val="00135BAC"/>
    <w:rsid w:val="00136E82"/>
    <w:rsid w:val="00140AFD"/>
    <w:rsid w:val="0014169B"/>
    <w:rsid w:val="00141AA2"/>
    <w:rsid w:val="001434FD"/>
    <w:rsid w:val="001445DD"/>
    <w:rsid w:val="001449EB"/>
    <w:rsid w:val="00145273"/>
    <w:rsid w:val="00145653"/>
    <w:rsid w:val="00145F2A"/>
    <w:rsid w:val="00150AA0"/>
    <w:rsid w:val="001528DB"/>
    <w:rsid w:val="00152CC4"/>
    <w:rsid w:val="001530A4"/>
    <w:rsid w:val="001622A2"/>
    <w:rsid w:val="00162C0B"/>
    <w:rsid w:val="00162F59"/>
    <w:rsid w:val="00163438"/>
    <w:rsid w:val="00164B01"/>
    <w:rsid w:val="00165973"/>
    <w:rsid w:val="00166696"/>
    <w:rsid w:val="00166B62"/>
    <w:rsid w:val="00167AE8"/>
    <w:rsid w:val="00167D01"/>
    <w:rsid w:val="00167FB9"/>
    <w:rsid w:val="001702F1"/>
    <w:rsid w:val="00171DC2"/>
    <w:rsid w:val="00172322"/>
    <w:rsid w:val="001730C1"/>
    <w:rsid w:val="00175FD7"/>
    <w:rsid w:val="00176B6A"/>
    <w:rsid w:val="00177F6A"/>
    <w:rsid w:val="00180467"/>
    <w:rsid w:val="0018274E"/>
    <w:rsid w:val="0018419E"/>
    <w:rsid w:val="00184753"/>
    <w:rsid w:val="00184A82"/>
    <w:rsid w:val="00184AAA"/>
    <w:rsid w:val="00186170"/>
    <w:rsid w:val="00186270"/>
    <w:rsid w:val="00187484"/>
    <w:rsid w:val="00191856"/>
    <w:rsid w:val="001968E6"/>
    <w:rsid w:val="00196DF7"/>
    <w:rsid w:val="00197122"/>
    <w:rsid w:val="001A02EB"/>
    <w:rsid w:val="001A179C"/>
    <w:rsid w:val="001A1C97"/>
    <w:rsid w:val="001A4425"/>
    <w:rsid w:val="001A523D"/>
    <w:rsid w:val="001A5313"/>
    <w:rsid w:val="001A5E43"/>
    <w:rsid w:val="001A6C17"/>
    <w:rsid w:val="001A7DAC"/>
    <w:rsid w:val="001B0849"/>
    <w:rsid w:val="001B1139"/>
    <w:rsid w:val="001B2472"/>
    <w:rsid w:val="001B2922"/>
    <w:rsid w:val="001B4A6C"/>
    <w:rsid w:val="001B4B32"/>
    <w:rsid w:val="001B53BF"/>
    <w:rsid w:val="001B550C"/>
    <w:rsid w:val="001B755C"/>
    <w:rsid w:val="001C1FFA"/>
    <w:rsid w:val="001C2113"/>
    <w:rsid w:val="001C2A43"/>
    <w:rsid w:val="001C3931"/>
    <w:rsid w:val="001C41E5"/>
    <w:rsid w:val="001C4E45"/>
    <w:rsid w:val="001C526E"/>
    <w:rsid w:val="001D0D46"/>
    <w:rsid w:val="001D43B7"/>
    <w:rsid w:val="001D528D"/>
    <w:rsid w:val="001D6EF2"/>
    <w:rsid w:val="001E3AC4"/>
    <w:rsid w:val="001E6017"/>
    <w:rsid w:val="001F0B13"/>
    <w:rsid w:val="001F0D5C"/>
    <w:rsid w:val="001F146D"/>
    <w:rsid w:val="001F170A"/>
    <w:rsid w:val="001F3AC2"/>
    <w:rsid w:val="001F3AC9"/>
    <w:rsid w:val="001F43B6"/>
    <w:rsid w:val="001F4B75"/>
    <w:rsid w:val="001F4F05"/>
    <w:rsid w:val="001F5125"/>
    <w:rsid w:val="001F734B"/>
    <w:rsid w:val="00201AA1"/>
    <w:rsid w:val="0020211F"/>
    <w:rsid w:val="002039CE"/>
    <w:rsid w:val="002049C8"/>
    <w:rsid w:val="00205122"/>
    <w:rsid w:val="00206807"/>
    <w:rsid w:val="00210770"/>
    <w:rsid w:val="002115FC"/>
    <w:rsid w:val="00214424"/>
    <w:rsid w:val="002148D0"/>
    <w:rsid w:val="00215FDA"/>
    <w:rsid w:val="0021725D"/>
    <w:rsid w:val="002219BD"/>
    <w:rsid w:val="002224EA"/>
    <w:rsid w:val="00222CF8"/>
    <w:rsid w:val="00223175"/>
    <w:rsid w:val="00224282"/>
    <w:rsid w:val="00224705"/>
    <w:rsid w:val="002248B4"/>
    <w:rsid w:val="00225D21"/>
    <w:rsid w:val="002262C3"/>
    <w:rsid w:val="002275A9"/>
    <w:rsid w:val="00233733"/>
    <w:rsid w:val="00234B93"/>
    <w:rsid w:val="00236A4D"/>
    <w:rsid w:val="00240BFF"/>
    <w:rsid w:val="002423F8"/>
    <w:rsid w:val="00242B03"/>
    <w:rsid w:val="00244865"/>
    <w:rsid w:val="00245C41"/>
    <w:rsid w:val="00247BF2"/>
    <w:rsid w:val="00251441"/>
    <w:rsid w:val="002527DF"/>
    <w:rsid w:val="002539DD"/>
    <w:rsid w:val="00253DD8"/>
    <w:rsid w:val="0025639B"/>
    <w:rsid w:val="00256D25"/>
    <w:rsid w:val="002604D6"/>
    <w:rsid w:val="002620CD"/>
    <w:rsid w:val="00262416"/>
    <w:rsid w:val="002641C6"/>
    <w:rsid w:val="002648D1"/>
    <w:rsid w:val="00264F09"/>
    <w:rsid w:val="0026549A"/>
    <w:rsid w:val="0026590D"/>
    <w:rsid w:val="00265F19"/>
    <w:rsid w:val="00266241"/>
    <w:rsid w:val="002670E8"/>
    <w:rsid w:val="00270761"/>
    <w:rsid w:val="002709B6"/>
    <w:rsid w:val="00271B32"/>
    <w:rsid w:val="00271C8E"/>
    <w:rsid w:val="0027368D"/>
    <w:rsid w:val="002770D8"/>
    <w:rsid w:val="00282731"/>
    <w:rsid w:val="00282DAE"/>
    <w:rsid w:val="00283756"/>
    <w:rsid w:val="00284AEB"/>
    <w:rsid w:val="00284C73"/>
    <w:rsid w:val="002852DB"/>
    <w:rsid w:val="0028573F"/>
    <w:rsid w:val="00287578"/>
    <w:rsid w:val="00291370"/>
    <w:rsid w:val="00292B0B"/>
    <w:rsid w:val="0029451B"/>
    <w:rsid w:val="00295A9B"/>
    <w:rsid w:val="00296C57"/>
    <w:rsid w:val="00296D5F"/>
    <w:rsid w:val="002975E4"/>
    <w:rsid w:val="002A2000"/>
    <w:rsid w:val="002A246E"/>
    <w:rsid w:val="002A52C6"/>
    <w:rsid w:val="002A5605"/>
    <w:rsid w:val="002A605A"/>
    <w:rsid w:val="002B1451"/>
    <w:rsid w:val="002B49F5"/>
    <w:rsid w:val="002B7487"/>
    <w:rsid w:val="002B7EFC"/>
    <w:rsid w:val="002C1251"/>
    <w:rsid w:val="002C1347"/>
    <w:rsid w:val="002C160B"/>
    <w:rsid w:val="002C4355"/>
    <w:rsid w:val="002C79FA"/>
    <w:rsid w:val="002C7D6A"/>
    <w:rsid w:val="002D0B02"/>
    <w:rsid w:val="002D1455"/>
    <w:rsid w:val="002D1921"/>
    <w:rsid w:val="002D1EF0"/>
    <w:rsid w:val="002D23E7"/>
    <w:rsid w:val="002D287F"/>
    <w:rsid w:val="002D3273"/>
    <w:rsid w:val="002D4E28"/>
    <w:rsid w:val="002D70BA"/>
    <w:rsid w:val="002D741E"/>
    <w:rsid w:val="002E0F1A"/>
    <w:rsid w:val="002E2588"/>
    <w:rsid w:val="002E2775"/>
    <w:rsid w:val="002E3E25"/>
    <w:rsid w:val="002E476F"/>
    <w:rsid w:val="002E4FE8"/>
    <w:rsid w:val="002E509E"/>
    <w:rsid w:val="002E5B08"/>
    <w:rsid w:val="002F145B"/>
    <w:rsid w:val="002F2D8E"/>
    <w:rsid w:val="002F463A"/>
    <w:rsid w:val="0030150A"/>
    <w:rsid w:val="00302519"/>
    <w:rsid w:val="00305CA7"/>
    <w:rsid w:val="00306235"/>
    <w:rsid w:val="00306DC9"/>
    <w:rsid w:val="00307C31"/>
    <w:rsid w:val="00307D95"/>
    <w:rsid w:val="00311FA5"/>
    <w:rsid w:val="00312A0F"/>
    <w:rsid w:val="00312A34"/>
    <w:rsid w:val="0031385B"/>
    <w:rsid w:val="00314208"/>
    <w:rsid w:val="00316FEA"/>
    <w:rsid w:val="00320112"/>
    <w:rsid w:val="0032116F"/>
    <w:rsid w:val="00321D65"/>
    <w:rsid w:val="00322D90"/>
    <w:rsid w:val="00326F54"/>
    <w:rsid w:val="00332471"/>
    <w:rsid w:val="00332BCD"/>
    <w:rsid w:val="003345C1"/>
    <w:rsid w:val="0033466E"/>
    <w:rsid w:val="00336549"/>
    <w:rsid w:val="00341541"/>
    <w:rsid w:val="00341FDF"/>
    <w:rsid w:val="00343FC0"/>
    <w:rsid w:val="003455FE"/>
    <w:rsid w:val="003469C7"/>
    <w:rsid w:val="00350282"/>
    <w:rsid w:val="00350F0D"/>
    <w:rsid w:val="0035111B"/>
    <w:rsid w:val="003530B2"/>
    <w:rsid w:val="003546A6"/>
    <w:rsid w:val="00354F3E"/>
    <w:rsid w:val="00357226"/>
    <w:rsid w:val="003607A4"/>
    <w:rsid w:val="0036190F"/>
    <w:rsid w:val="00361BC2"/>
    <w:rsid w:val="00361E73"/>
    <w:rsid w:val="003630F7"/>
    <w:rsid w:val="003630FA"/>
    <w:rsid w:val="00363BA2"/>
    <w:rsid w:val="003655A1"/>
    <w:rsid w:val="00365E6B"/>
    <w:rsid w:val="00365EF4"/>
    <w:rsid w:val="00367F5B"/>
    <w:rsid w:val="003707FB"/>
    <w:rsid w:val="0037118B"/>
    <w:rsid w:val="00373024"/>
    <w:rsid w:val="0037341D"/>
    <w:rsid w:val="00374629"/>
    <w:rsid w:val="00374639"/>
    <w:rsid w:val="00375028"/>
    <w:rsid w:val="00375FC1"/>
    <w:rsid w:val="00376165"/>
    <w:rsid w:val="00377D3B"/>
    <w:rsid w:val="00377DA7"/>
    <w:rsid w:val="003803ED"/>
    <w:rsid w:val="00380751"/>
    <w:rsid w:val="00380A94"/>
    <w:rsid w:val="00380D43"/>
    <w:rsid w:val="00381263"/>
    <w:rsid w:val="00382D1C"/>
    <w:rsid w:val="0038498A"/>
    <w:rsid w:val="0038517C"/>
    <w:rsid w:val="00385557"/>
    <w:rsid w:val="00390CF8"/>
    <w:rsid w:val="00390EF8"/>
    <w:rsid w:val="003910FA"/>
    <w:rsid w:val="003912A8"/>
    <w:rsid w:val="0039771D"/>
    <w:rsid w:val="003A018D"/>
    <w:rsid w:val="003A08F7"/>
    <w:rsid w:val="003A0B33"/>
    <w:rsid w:val="003A28F0"/>
    <w:rsid w:val="003A4EA0"/>
    <w:rsid w:val="003A5D22"/>
    <w:rsid w:val="003A6B6A"/>
    <w:rsid w:val="003A6ECE"/>
    <w:rsid w:val="003A7E7E"/>
    <w:rsid w:val="003B589A"/>
    <w:rsid w:val="003B717E"/>
    <w:rsid w:val="003B7F57"/>
    <w:rsid w:val="003C020D"/>
    <w:rsid w:val="003C1571"/>
    <w:rsid w:val="003C3074"/>
    <w:rsid w:val="003C3672"/>
    <w:rsid w:val="003C4032"/>
    <w:rsid w:val="003C4F4D"/>
    <w:rsid w:val="003C7477"/>
    <w:rsid w:val="003D0B77"/>
    <w:rsid w:val="003D0DE9"/>
    <w:rsid w:val="003D1040"/>
    <w:rsid w:val="003D1FC8"/>
    <w:rsid w:val="003D2914"/>
    <w:rsid w:val="003D3C94"/>
    <w:rsid w:val="003D3F4D"/>
    <w:rsid w:val="003D4165"/>
    <w:rsid w:val="003D499E"/>
    <w:rsid w:val="003D4B38"/>
    <w:rsid w:val="003D6667"/>
    <w:rsid w:val="003E0752"/>
    <w:rsid w:val="003E2BD6"/>
    <w:rsid w:val="003E2D87"/>
    <w:rsid w:val="003E35C0"/>
    <w:rsid w:val="003E40B3"/>
    <w:rsid w:val="003E413E"/>
    <w:rsid w:val="003E5586"/>
    <w:rsid w:val="003E58E9"/>
    <w:rsid w:val="003E72A6"/>
    <w:rsid w:val="003F03B5"/>
    <w:rsid w:val="003F2069"/>
    <w:rsid w:val="003F3ED9"/>
    <w:rsid w:val="003F6537"/>
    <w:rsid w:val="00400205"/>
    <w:rsid w:val="00400255"/>
    <w:rsid w:val="004014CB"/>
    <w:rsid w:val="00401856"/>
    <w:rsid w:val="00403422"/>
    <w:rsid w:val="0040724D"/>
    <w:rsid w:val="004079A8"/>
    <w:rsid w:val="00407D4B"/>
    <w:rsid w:val="00410ACD"/>
    <w:rsid w:val="00413588"/>
    <w:rsid w:val="004136F7"/>
    <w:rsid w:val="00416EEC"/>
    <w:rsid w:val="00420170"/>
    <w:rsid w:val="004205C7"/>
    <w:rsid w:val="00420C79"/>
    <w:rsid w:val="0042357F"/>
    <w:rsid w:val="00426390"/>
    <w:rsid w:val="00426699"/>
    <w:rsid w:val="00426B63"/>
    <w:rsid w:val="00430C75"/>
    <w:rsid w:val="004312F8"/>
    <w:rsid w:val="00431748"/>
    <w:rsid w:val="00432384"/>
    <w:rsid w:val="004351C7"/>
    <w:rsid w:val="004363D3"/>
    <w:rsid w:val="0043689C"/>
    <w:rsid w:val="0043698D"/>
    <w:rsid w:val="00436B28"/>
    <w:rsid w:val="00436E08"/>
    <w:rsid w:val="004370B3"/>
    <w:rsid w:val="00437ACB"/>
    <w:rsid w:val="00440D93"/>
    <w:rsid w:val="00441F94"/>
    <w:rsid w:val="00442B3F"/>
    <w:rsid w:val="00444CD0"/>
    <w:rsid w:val="00444EEF"/>
    <w:rsid w:val="004513C8"/>
    <w:rsid w:val="0045154E"/>
    <w:rsid w:val="0045548F"/>
    <w:rsid w:val="00456B11"/>
    <w:rsid w:val="00457965"/>
    <w:rsid w:val="004601FC"/>
    <w:rsid w:val="00460A96"/>
    <w:rsid w:val="00461D6C"/>
    <w:rsid w:val="004626EB"/>
    <w:rsid w:val="00464552"/>
    <w:rsid w:val="00465BB8"/>
    <w:rsid w:val="00466209"/>
    <w:rsid w:val="004662B5"/>
    <w:rsid w:val="0046663D"/>
    <w:rsid w:val="004678CD"/>
    <w:rsid w:val="00467E3C"/>
    <w:rsid w:val="00470141"/>
    <w:rsid w:val="004707E2"/>
    <w:rsid w:val="004709ED"/>
    <w:rsid w:val="0047166A"/>
    <w:rsid w:val="00471AFD"/>
    <w:rsid w:val="00471C63"/>
    <w:rsid w:val="00473650"/>
    <w:rsid w:val="004739EA"/>
    <w:rsid w:val="00473F57"/>
    <w:rsid w:val="00474063"/>
    <w:rsid w:val="004745A5"/>
    <w:rsid w:val="00474FE8"/>
    <w:rsid w:val="004766D9"/>
    <w:rsid w:val="004770C9"/>
    <w:rsid w:val="00482A53"/>
    <w:rsid w:val="004853C1"/>
    <w:rsid w:val="00485811"/>
    <w:rsid w:val="0048793E"/>
    <w:rsid w:val="004905AF"/>
    <w:rsid w:val="004909E8"/>
    <w:rsid w:val="00494537"/>
    <w:rsid w:val="00494724"/>
    <w:rsid w:val="00495BE0"/>
    <w:rsid w:val="00497A12"/>
    <w:rsid w:val="00497DF4"/>
    <w:rsid w:val="00497EDC"/>
    <w:rsid w:val="004A150B"/>
    <w:rsid w:val="004A2F67"/>
    <w:rsid w:val="004A3094"/>
    <w:rsid w:val="004A5629"/>
    <w:rsid w:val="004A7EE3"/>
    <w:rsid w:val="004B3E07"/>
    <w:rsid w:val="004B42FA"/>
    <w:rsid w:val="004B4F3A"/>
    <w:rsid w:val="004B64D9"/>
    <w:rsid w:val="004C0430"/>
    <w:rsid w:val="004C1209"/>
    <w:rsid w:val="004C16EF"/>
    <w:rsid w:val="004C3575"/>
    <w:rsid w:val="004C3EE4"/>
    <w:rsid w:val="004C5546"/>
    <w:rsid w:val="004C6B4D"/>
    <w:rsid w:val="004C779A"/>
    <w:rsid w:val="004C7C79"/>
    <w:rsid w:val="004D0539"/>
    <w:rsid w:val="004D09C5"/>
    <w:rsid w:val="004D2622"/>
    <w:rsid w:val="004D29DD"/>
    <w:rsid w:val="004D4FC3"/>
    <w:rsid w:val="004D59A4"/>
    <w:rsid w:val="004D64C2"/>
    <w:rsid w:val="004D6F84"/>
    <w:rsid w:val="004D7941"/>
    <w:rsid w:val="004E00D8"/>
    <w:rsid w:val="004E077B"/>
    <w:rsid w:val="004E0C6E"/>
    <w:rsid w:val="004E20D1"/>
    <w:rsid w:val="004E2E4F"/>
    <w:rsid w:val="004E3481"/>
    <w:rsid w:val="004E37CE"/>
    <w:rsid w:val="004E7E7E"/>
    <w:rsid w:val="004F0B6B"/>
    <w:rsid w:val="004F10E7"/>
    <w:rsid w:val="004F13B2"/>
    <w:rsid w:val="004F183E"/>
    <w:rsid w:val="004F2C34"/>
    <w:rsid w:val="005027C4"/>
    <w:rsid w:val="00503096"/>
    <w:rsid w:val="005031DA"/>
    <w:rsid w:val="00503C58"/>
    <w:rsid w:val="00505FFF"/>
    <w:rsid w:val="005118C7"/>
    <w:rsid w:val="0051343C"/>
    <w:rsid w:val="00515CF7"/>
    <w:rsid w:val="00516A0A"/>
    <w:rsid w:val="005179C1"/>
    <w:rsid w:val="005205B7"/>
    <w:rsid w:val="0052085E"/>
    <w:rsid w:val="00521405"/>
    <w:rsid w:val="0052351A"/>
    <w:rsid w:val="0052353D"/>
    <w:rsid w:val="005238D5"/>
    <w:rsid w:val="00526260"/>
    <w:rsid w:val="00526F06"/>
    <w:rsid w:val="00531A54"/>
    <w:rsid w:val="005323F1"/>
    <w:rsid w:val="00532565"/>
    <w:rsid w:val="00532FC6"/>
    <w:rsid w:val="005339BC"/>
    <w:rsid w:val="00534EC1"/>
    <w:rsid w:val="0053569B"/>
    <w:rsid w:val="00536738"/>
    <w:rsid w:val="00537113"/>
    <w:rsid w:val="005378DC"/>
    <w:rsid w:val="00540B3E"/>
    <w:rsid w:val="005418BD"/>
    <w:rsid w:val="00545D64"/>
    <w:rsid w:val="00552A8E"/>
    <w:rsid w:val="00554980"/>
    <w:rsid w:val="00554B00"/>
    <w:rsid w:val="00556716"/>
    <w:rsid w:val="00556B29"/>
    <w:rsid w:val="00562BA4"/>
    <w:rsid w:val="00562F0B"/>
    <w:rsid w:val="00567BF5"/>
    <w:rsid w:val="00570886"/>
    <w:rsid w:val="005724A8"/>
    <w:rsid w:val="005744A7"/>
    <w:rsid w:val="0057637D"/>
    <w:rsid w:val="0057771B"/>
    <w:rsid w:val="005815E0"/>
    <w:rsid w:val="00583209"/>
    <w:rsid w:val="00583AD1"/>
    <w:rsid w:val="00583F9F"/>
    <w:rsid w:val="00584332"/>
    <w:rsid w:val="00584F6F"/>
    <w:rsid w:val="0058519E"/>
    <w:rsid w:val="00587569"/>
    <w:rsid w:val="00592AF0"/>
    <w:rsid w:val="005934C3"/>
    <w:rsid w:val="005943A7"/>
    <w:rsid w:val="00597C75"/>
    <w:rsid w:val="005A02EF"/>
    <w:rsid w:val="005A0FCA"/>
    <w:rsid w:val="005A1108"/>
    <w:rsid w:val="005A1B95"/>
    <w:rsid w:val="005A620E"/>
    <w:rsid w:val="005A667A"/>
    <w:rsid w:val="005B02AC"/>
    <w:rsid w:val="005B1120"/>
    <w:rsid w:val="005B1B14"/>
    <w:rsid w:val="005B232A"/>
    <w:rsid w:val="005B2C40"/>
    <w:rsid w:val="005B3B8C"/>
    <w:rsid w:val="005B4F19"/>
    <w:rsid w:val="005B775B"/>
    <w:rsid w:val="005C00AE"/>
    <w:rsid w:val="005C0BEA"/>
    <w:rsid w:val="005C2EDF"/>
    <w:rsid w:val="005C2F33"/>
    <w:rsid w:val="005C372C"/>
    <w:rsid w:val="005C3AE3"/>
    <w:rsid w:val="005C50BF"/>
    <w:rsid w:val="005C5C40"/>
    <w:rsid w:val="005C61A4"/>
    <w:rsid w:val="005C6E81"/>
    <w:rsid w:val="005C7BEB"/>
    <w:rsid w:val="005D0411"/>
    <w:rsid w:val="005D0C3E"/>
    <w:rsid w:val="005D0DE9"/>
    <w:rsid w:val="005D10FC"/>
    <w:rsid w:val="005D166A"/>
    <w:rsid w:val="005D4D3E"/>
    <w:rsid w:val="005D515F"/>
    <w:rsid w:val="005D7C27"/>
    <w:rsid w:val="005E00C1"/>
    <w:rsid w:val="005E08A7"/>
    <w:rsid w:val="005E127D"/>
    <w:rsid w:val="005E3275"/>
    <w:rsid w:val="005E3AFC"/>
    <w:rsid w:val="005E47A7"/>
    <w:rsid w:val="005E52D2"/>
    <w:rsid w:val="005E7359"/>
    <w:rsid w:val="005F3CBA"/>
    <w:rsid w:val="005F3D4D"/>
    <w:rsid w:val="005F40C1"/>
    <w:rsid w:val="005F4F05"/>
    <w:rsid w:val="005F5E5D"/>
    <w:rsid w:val="005F65C8"/>
    <w:rsid w:val="005F6846"/>
    <w:rsid w:val="005F71CA"/>
    <w:rsid w:val="00600713"/>
    <w:rsid w:val="00600C4E"/>
    <w:rsid w:val="00602905"/>
    <w:rsid w:val="00603458"/>
    <w:rsid w:val="00603D31"/>
    <w:rsid w:val="00605EEE"/>
    <w:rsid w:val="006073D8"/>
    <w:rsid w:val="00610206"/>
    <w:rsid w:val="006136B4"/>
    <w:rsid w:val="00615BEE"/>
    <w:rsid w:val="0061796E"/>
    <w:rsid w:val="00620AC2"/>
    <w:rsid w:val="00621BF7"/>
    <w:rsid w:val="006247CB"/>
    <w:rsid w:val="00625405"/>
    <w:rsid w:val="0062606A"/>
    <w:rsid w:val="00626F60"/>
    <w:rsid w:val="0063126D"/>
    <w:rsid w:val="006326E5"/>
    <w:rsid w:val="006330BB"/>
    <w:rsid w:val="00633835"/>
    <w:rsid w:val="00634075"/>
    <w:rsid w:val="0063608C"/>
    <w:rsid w:val="0064070A"/>
    <w:rsid w:val="00640F61"/>
    <w:rsid w:val="00644444"/>
    <w:rsid w:val="00646466"/>
    <w:rsid w:val="00646CD1"/>
    <w:rsid w:val="00650467"/>
    <w:rsid w:val="006524A0"/>
    <w:rsid w:val="00654CA5"/>
    <w:rsid w:val="0066125E"/>
    <w:rsid w:val="0066183E"/>
    <w:rsid w:val="006619D4"/>
    <w:rsid w:val="00662963"/>
    <w:rsid w:val="006632D1"/>
    <w:rsid w:val="006638B9"/>
    <w:rsid w:val="0066513D"/>
    <w:rsid w:val="00665C35"/>
    <w:rsid w:val="00666499"/>
    <w:rsid w:val="00666CD0"/>
    <w:rsid w:val="00667135"/>
    <w:rsid w:val="00667179"/>
    <w:rsid w:val="00671039"/>
    <w:rsid w:val="006719B6"/>
    <w:rsid w:val="006735A2"/>
    <w:rsid w:val="00674F9C"/>
    <w:rsid w:val="00676646"/>
    <w:rsid w:val="00676A2E"/>
    <w:rsid w:val="0067720F"/>
    <w:rsid w:val="0068095A"/>
    <w:rsid w:val="006827BC"/>
    <w:rsid w:val="00683007"/>
    <w:rsid w:val="006835C5"/>
    <w:rsid w:val="00684D8D"/>
    <w:rsid w:val="00690986"/>
    <w:rsid w:val="00692DCE"/>
    <w:rsid w:val="00693968"/>
    <w:rsid w:val="006A0703"/>
    <w:rsid w:val="006A2F51"/>
    <w:rsid w:val="006A36E4"/>
    <w:rsid w:val="006A437B"/>
    <w:rsid w:val="006A45F7"/>
    <w:rsid w:val="006A64A9"/>
    <w:rsid w:val="006A7964"/>
    <w:rsid w:val="006A7FF4"/>
    <w:rsid w:val="006B0F68"/>
    <w:rsid w:val="006B22ED"/>
    <w:rsid w:val="006B315F"/>
    <w:rsid w:val="006B3EBF"/>
    <w:rsid w:val="006B56BA"/>
    <w:rsid w:val="006B6891"/>
    <w:rsid w:val="006B6A5D"/>
    <w:rsid w:val="006B6B50"/>
    <w:rsid w:val="006B738E"/>
    <w:rsid w:val="006B76BB"/>
    <w:rsid w:val="006C3C1D"/>
    <w:rsid w:val="006C5467"/>
    <w:rsid w:val="006C5532"/>
    <w:rsid w:val="006C72EE"/>
    <w:rsid w:val="006C749D"/>
    <w:rsid w:val="006C7CBD"/>
    <w:rsid w:val="006D2CA1"/>
    <w:rsid w:val="006D3E42"/>
    <w:rsid w:val="006D5399"/>
    <w:rsid w:val="006D716A"/>
    <w:rsid w:val="006D77C3"/>
    <w:rsid w:val="006D787E"/>
    <w:rsid w:val="006D7BCC"/>
    <w:rsid w:val="006D7EF4"/>
    <w:rsid w:val="006E2AF5"/>
    <w:rsid w:val="006E6CAC"/>
    <w:rsid w:val="006E7098"/>
    <w:rsid w:val="006E7E8D"/>
    <w:rsid w:val="006F1C07"/>
    <w:rsid w:val="006F6C46"/>
    <w:rsid w:val="007015AE"/>
    <w:rsid w:val="00703E08"/>
    <w:rsid w:val="00704146"/>
    <w:rsid w:val="007048DB"/>
    <w:rsid w:val="00704A13"/>
    <w:rsid w:val="00707931"/>
    <w:rsid w:val="00711D83"/>
    <w:rsid w:val="0071281A"/>
    <w:rsid w:val="00713409"/>
    <w:rsid w:val="00714949"/>
    <w:rsid w:val="00724C6C"/>
    <w:rsid w:val="00724EC6"/>
    <w:rsid w:val="0072582D"/>
    <w:rsid w:val="00726D5D"/>
    <w:rsid w:val="00727013"/>
    <w:rsid w:val="00731566"/>
    <w:rsid w:val="00731AAA"/>
    <w:rsid w:val="00732F59"/>
    <w:rsid w:val="007378FD"/>
    <w:rsid w:val="007450AD"/>
    <w:rsid w:val="007453DE"/>
    <w:rsid w:val="0074581B"/>
    <w:rsid w:val="00745FA4"/>
    <w:rsid w:val="0074755D"/>
    <w:rsid w:val="00750B4E"/>
    <w:rsid w:val="00751B25"/>
    <w:rsid w:val="00751F91"/>
    <w:rsid w:val="00753BBD"/>
    <w:rsid w:val="00753CCC"/>
    <w:rsid w:val="00754588"/>
    <w:rsid w:val="0075549E"/>
    <w:rsid w:val="007609EB"/>
    <w:rsid w:val="007620DA"/>
    <w:rsid w:val="00763D86"/>
    <w:rsid w:val="00764917"/>
    <w:rsid w:val="0076670A"/>
    <w:rsid w:val="00772483"/>
    <w:rsid w:val="00772817"/>
    <w:rsid w:val="007746BC"/>
    <w:rsid w:val="00774E33"/>
    <w:rsid w:val="0078103E"/>
    <w:rsid w:val="00781B43"/>
    <w:rsid w:val="00783017"/>
    <w:rsid w:val="0078313D"/>
    <w:rsid w:val="00785944"/>
    <w:rsid w:val="00786487"/>
    <w:rsid w:val="00787557"/>
    <w:rsid w:val="00790F48"/>
    <w:rsid w:val="007921B2"/>
    <w:rsid w:val="0079492B"/>
    <w:rsid w:val="00795B94"/>
    <w:rsid w:val="00796AE7"/>
    <w:rsid w:val="00797708"/>
    <w:rsid w:val="00797EC0"/>
    <w:rsid w:val="007A00DF"/>
    <w:rsid w:val="007A0715"/>
    <w:rsid w:val="007A08D4"/>
    <w:rsid w:val="007A0BF7"/>
    <w:rsid w:val="007A19AF"/>
    <w:rsid w:val="007A1E1A"/>
    <w:rsid w:val="007A3BD6"/>
    <w:rsid w:val="007A4130"/>
    <w:rsid w:val="007A63E8"/>
    <w:rsid w:val="007A651F"/>
    <w:rsid w:val="007A7CCD"/>
    <w:rsid w:val="007B17A8"/>
    <w:rsid w:val="007B1D5E"/>
    <w:rsid w:val="007B31DB"/>
    <w:rsid w:val="007B420D"/>
    <w:rsid w:val="007B5A04"/>
    <w:rsid w:val="007C0138"/>
    <w:rsid w:val="007C1C00"/>
    <w:rsid w:val="007C2243"/>
    <w:rsid w:val="007C2E72"/>
    <w:rsid w:val="007C344C"/>
    <w:rsid w:val="007C3A1F"/>
    <w:rsid w:val="007C3C2F"/>
    <w:rsid w:val="007C3D02"/>
    <w:rsid w:val="007C5463"/>
    <w:rsid w:val="007C6309"/>
    <w:rsid w:val="007C66D3"/>
    <w:rsid w:val="007C6F68"/>
    <w:rsid w:val="007D0666"/>
    <w:rsid w:val="007D0D20"/>
    <w:rsid w:val="007D1D7C"/>
    <w:rsid w:val="007D2FC1"/>
    <w:rsid w:val="007D71EA"/>
    <w:rsid w:val="007E0740"/>
    <w:rsid w:val="007E2CAD"/>
    <w:rsid w:val="007E49D7"/>
    <w:rsid w:val="007E4F0B"/>
    <w:rsid w:val="007F0E03"/>
    <w:rsid w:val="007F1549"/>
    <w:rsid w:val="007F17CC"/>
    <w:rsid w:val="007F2495"/>
    <w:rsid w:val="007F3882"/>
    <w:rsid w:val="007F3953"/>
    <w:rsid w:val="007F4052"/>
    <w:rsid w:val="008002FB"/>
    <w:rsid w:val="0080117C"/>
    <w:rsid w:val="0080149F"/>
    <w:rsid w:val="008025D6"/>
    <w:rsid w:val="008033DE"/>
    <w:rsid w:val="0080347B"/>
    <w:rsid w:val="00807D2B"/>
    <w:rsid w:val="00810D8F"/>
    <w:rsid w:val="00811330"/>
    <w:rsid w:val="00813379"/>
    <w:rsid w:val="00814EBB"/>
    <w:rsid w:val="008155C5"/>
    <w:rsid w:val="0081598E"/>
    <w:rsid w:val="00816CF3"/>
    <w:rsid w:val="00817154"/>
    <w:rsid w:val="008217B2"/>
    <w:rsid w:val="008226CC"/>
    <w:rsid w:val="00822EE4"/>
    <w:rsid w:val="00823448"/>
    <w:rsid w:val="00823E4A"/>
    <w:rsid w:val="0082524B"/>
    <w:rsid w:val="00825913"/>
    <w:rsid w:val="00826A9C"/>
    <w:rsid w:val="0082780F"/>
    <w:rsid w:val="00830EF3"/>
    <w:rsid w:val="00831288"/>
    <w:rsid w:val="00831AF3"/>
    <w:rsid w:val="00832235"/>
    <w:rsid w:val="00834464"/>
    <w:rsid w:val="00835D05"/>
    <w:rsid w:val="00835FA0"/>
    <w:rsid w:val="00837608"/>
    <w:rsid w:val="00840041"/>
    <w:rsid w:val="00840737"/>
    <w:rsid w:val="00841414"/>
    <w:rsid w:val="00842A5B"/>
    <w:rsid w:val="00842BEA"/>
    <w:rsid w:val="00844467"/>
    <w:rsid w:val="00845AAD"/>
    <w:rsid w:val="00847481"/>
    <w:rsid w:val="00847E9E"/>
    <w:rsid w:val="008502F3"/>
    <w:rsid w:val="008503BE"/>
    <w:rsid w:val="00852473"/>
    <w:rsid w:val="0085290C"/>
    <w:rsid w:val="00853B24"/>
    <w:rsid w:val="008547A3"/>
    <w:rsid w:val="00854C34"/>
    <w:rsid w:val="00855C6C"/>
    <w:rsid w:val="008565E8"/>
    <w:rsid w:val="008574B4"/>
    <w:rsid w:val="00860B31"/>
    <w:rsid w:val="00861BC3"/>
    <w:rsid w:val="008627B7"/>
    <w:rsid w:val="00862897"/>
    <w:rsid w:val="0086383D"/>
    <w:rsid w:val="00864B6D"/>
    <w:rsid w:val="008655B2"/>
    <w:rsid w:val="008671FF"/>
    <w:rsid w:val="00867B95"/>
    <w:rsid w:val="00867CDD"/>
    <w:rsid w:val="00870368"/>
    <w:rsid w:val="0087120B"/>
    <w:rsid w:val="008715C8"/>
    <w:rsid w:val="00872C20"/>
    <w:rsid w:val="008764C0"/>
    <w:rsid w:val="0087729F"/>
    <w:rsid w:val="00877CF2"/>
    <w:rsid w:val="00880C77"/>
    <w:rsid w:val="00884C2A"/>
    <w:rsid w:val="00886465"/>
    <w:rsid w:val="00886E89"/>
    <w:rsid w:val="00890765"/>
    <w:rsid w:val="008924F7"/>
    <w:rsid w:val="008925F9"/>
    <w:rsid w:val="00894ADB"/>
    <w:rsid w:val="00894DC9"/>
    <w:rsid w:val="00895816"/>
    <w:rsid w:val="00895925"/>
    <w:rsid w:val="0089603A"/>
    <w:rsid w:val="008965EF"/>
    <w:rsid w:val="008977B9"/>
    <w:rsid w:val="0089798A"/>
    <w:rsid w:val="008A0764"/>
    <w:rsid w:val="008A15E6"/>
    <w:rsid w:val="008A5966"/>
    <w:rsid w:val="008A6A6B"/>
    <w:rsid w:val="008A78EF"/>
    <w:rsid w:val="008A7B62"/>
    <w:rsid w:val="008B0D5E"/>
    <w:rsid w:val="008B1803"/>
    <w:rsid w:val="008B1B8D"/>
    <w:rsid w:val="008B3955"/>
    <w:rsid w:val="008B4BDB"/>
    <w:rsid w:val="008B68DE"/>
    <w:rsid w:val="008B6C3E"/>
    <w:rsid w:val="008C11F2"/>
    <w:rsid w:val="008C1309"/>
    <w:rsid w:val="008C1665"/>
    <w:rsid w:val="008C1927"/>
    <w:rsid w:val="008C2CA6"/>
    <w:rsid w:val="008C4056"/>
    <w:rsid w:val="008C51E9"/>
    <w:rsid w:val="008C6B98"/>
    <w:rsid w:val="008C716E"/>
    <w:rsid w:val="008D04CF"/>
    <w:rsid w:val="008D3388"/>
    <w:rsid w:val="008D3AAC"/>
    <w:rsid w:val="008D3FB7"/>
    <w:rsid w:val="008D59F4"/>
    <w:rsid w:val="008D639E"/>
    <w:rsid w:val="008D687C"/>
    <w:rsid w:val="008D6C72"/>
    <w:rsid w:val="008D782C"/>
    <w:rsid w:val="008E0389"/>
    <w:rsid w:val="008E28B5"/>
    <w:rsid w:val="008E355E"/>
    <w:rsid w:val="008E3D5C"/>
    <w:rsid w:val="008E43DD"/>
    <w:rsid w:val="008E6590"/>
    <w:rsid w:val="008E6EDF"/>
    <w:rsid w:val="008F180B"/>
    <w:rsid w:val="008F1D45"/>
    <w:rsid w:val="008F2D49"/>
    <w:rsid w:val="008F3331"/>
    <w:rsid w:val="008F3858"/>
    <w:rsid w:val="008F47D8"/>
    <w:rsid w:val="008F5234"/>
    <w:rsid w:val="008F528C"/>
    <w:rsid w:val="00901509"/>
    <w:rsid w:val="0090240A"/>
    <w:rsid w:val="00903DED"/>
    <w:rsid w:val="00904204"/>
    <w:rsid w:val="0090440C"/>
    <w:rsid w:val="00904DFC"/>
    <w:rsid w:val="009068E2"/>
    <w:rsid w:val="009079FD"/>
    <w:rsid w:val="00910071"/>
    <w:rsid w:val="009102EF"/>
    <w:rsid w:val="00910C2F"/>
    <w:rsid w:val="009128C9"/>
    <w:rsid w:val="00912914"/>
    <w:rsid w:val="0091355C"/>
    <w:rsid w:val="0091648D"/>
    <w:rsid w:val="0091701E"/>
    <w:rsid w:val="0091765B"/>
    <w:rsid w:val="0092197E"/>
    <w:rsid w:val="00922E6E"/>
    <w:rsid w:val="00923F23"/>
    <w:rsid w:val="0092705F"/>
    <w:rsid w:val="00927A27"/>
    <w:rsid w:val="0093012B"/>
    <w:rsid w:val="00930ED1"/>
    <w:rsid w:val="009314BA"/>
    <w:rsid w:val="00931C5A"/>
    <w:rsid w:val="009322D8"/>
    <w:rsid w:val="00933D3D"/>
    <w:rsid w:val="00934C27"/>
    <w:rsid w:val="00940F03"/>
    <w:rsid w:val="00941228"/>
    <w:rsid w:val="00942139"/>
    <w:rsid w:val="009424E7"/>
    <w:rsid w:val="00942BED"/>
    <w:rsid w:val="009430FC"/>
    <w:rsid w:val="00943445"/>
    <w:rsid w:val="00944AD0"/>
    <w:rsid w:val="00945BC5"/>
    <w:rsid w:val="00946145"/>
    <w:rsid w:val="00946BEF"/>
    <w:rsid w:val="00947344"/>
    <w:rsid w:val="00947D02"/>
    <w:rsid w:val="0095169E"/>
    <w:rsid w:val="0095562C"/>
    <w:rsid w:val="009579E0"/>
    <w:rsid w:val="0096009D"/>
    <w:rsid w:val="00960750"/>
    <w:rsid w:val="00960E90"/>
    <w:rsid w:val="00960F18"/>
    <w:rsid w:val="00961835"/>
    <w:rsid w:val="00961BAD"/>
    <w:rsid w:val="0096510E"/>
    <w:rsid w:val="009670C2"/>
    <w:rsid w:val="0096731A"/>
    <w:rsid w:val="009679D1"/>
    <w:rsid w:val="00975CF4"/>
    <w:rsid w:val="00975FFD"/>
    <w:rsid w:val="00977808"/>
    <w:rsid w:val="00977A79"/>
    <w:rsid w:val="00977EE1"/>
    <w:rsid w:val="0098088B"/>
    <w:rsid w:val="0098513F"/>
    <w:rsid w:val="0099054B"/>
    <w:rsid w:val="00990915"/>
    <w:rsid w:val="0099137D"/>
    <w:rsid w:val="00991CA9"/>
    <w:rsid w:val="00993F68"/>
    <w:rsid w:val="00994E0C"/>
    <w:rsid w:val="00995016"/>
    <w:rsid w:val="0099742A"/>
    <w:rsid w:val="00997AE0"/>
    <w:rsid w:val="009A100D"/>
    <w:rsid w:val="009A469F"/>
    <w:rsid w:val="009A6D8C"/>
    <w:rsid w:val="009A7A27"/>
    <w:rsid w:val="009A7EDB"/>
    <w:rsid w:val="009A7FA8"/>
    <w:rsid w:val="009B2043"/>
    <w:rsid w:val="009B2EE7"/>
    <w:rsid w:val="009B4125"/>
    <w:rsid w:val="009C3144"/>
    <w:rsid w:val="009C53E1"/>
    <w:rsid w:val="009C54A9"/>
    <w:rsid w:val="009C63D8"/>
    <w:rsid w:val="009C6441"/>
    <w:rsid w:val="009C6509"/>
    <w:rsid w:val="009C7DF7"/>
    <w:rsid w:val="009D1093"/>
    <w:rsid w:val="009D17CC"/>
    <w:rsid w:val="009D1BD4"/>
    <w:rsid w:val="009D31A0"/>
    <w:rsid w:val="009D3338"/>
    <w:rsid w:val="009D389C"/>
    <w:rsid w:val="009D45D1"/>
    <w:rsid w:val="009D7475"/>
    <w:rsid w:val="009E040C"/>
    <w:rsid w:val="009E17DE"/>
    <w:rsid w:val="009E1C34"/>
    <w:rsid w:val="009E30C1"/>
    <w:rsid w:val="009E3B92"/>
    <w:rsid w:val="009E3D2D"/>
    <w:rsid w:val="009E7AB9"/>
    <w:rsid w:val="009E7B1F"/>
    <w:rsid w:val="009F0B49"/>
    <w:rsid w:val="009F3C08"/>
    <w:rsid w:val="009F3C4A"/>
    <w:rsid w:val="009F4D00"/>
    <w:rsid w:val="009F76D2"/>
    <w:rsid w:val="00A006E5"/>
    <w:rsid w:val="00A00AE7"/>
    <w:rsid w:val="00A00BEA"/>
    <w:rsid w:val="00A01098"/>
    <w:rsid w:val="00A026DF"/>
    <w:rsid w:val="00A03148"/>
    <w:rsid w:val="00A037B5"/>
    <w:rsid w:val="00A03EED"/>
    <w:rsid w:val="00A043F0"/>
    <w:rsid w:val="00A049B2"/>
    <w:rsid w:val="00A052AF"/>
    <w:rsid w:val="00A060E5"/>
    <w:rsid w:val="00A0697A"/>
    <w:rsid w:val="00A07FE8"/>
    <w:rsid w:val="00A13372"/>
    <w:rsid w:val="00A15B5F"/>
    <w:rsid w:val="00A15D23"/>
    <w:rsid w:val="00A16E0F"/>
    <w:rsid w:val="00A203D5"/>
    <w:rsid w:val="00A21370"/>
    <w:rsid w:val="00A217A5"/>
    <w:rsid w:val="00A2307B"/>
    <w:rsid w:val="00A23AD6"/>
    <w:rsid w:val="00A2451B"/>
    <w:rsid w:val="00A24EB3"/>
    <w:rsid w:val="00A265AF"/>
    <w:rsid w:val="00A26A0A"/>
    <w:rsid w:val="00A307CD"/>
    <w:rsid w:val="00A30905"/>
    <w:rsid w:val="00A30B97"/>
    <w:rsid w:val="00A34371"/>
    <w:rsid w:val="00A375C5"/>
    <w:rsid w:val="00A44511"/>
    <w:rsid w:val="00A45EB7"/>
    <w:rsid w:val="00A46F9E"/>
    <w:rsid w:val="00A510B0"/>
    <w:rsid w:val="00A545A4"/>
    <w:rsid w:val="00A54A9A"/>
    <w:rsid w:val="00A54CCF"/>
    <w:rsid w:val="00A559E3"/>
    <w:rsid w:val="00A560B1"/>
    <w:rsid w:val="00A56E1B"/>
    <w:rsid w:val="00A60D68"/>
    <w:rsid w:val="00A61662"/>
    <w:rsid w:val="00A639B9"/>
    <w:rsid w:val="00A65F42"/>
    <w:rsid w:val="00A6716A"/>
    <w:rsid w:val="00A67317"/>
    <w:rsid w:val="00A701FF"/>
    <w:rsid w:val="00A70457"/>
    <w:rsid w:val="00A7190C"/>
    <w:rsid w:val="00A71C14"/>
    <w:rsid w:val="00A733C7"/>
    <w:rsid w:val="00A7430D"/>
    <w:rsid w:val="00A753CB"/>
    <w:rsid w:val="00A77FBD"/>
    <w:rsid w:val="00A81881"/>
    <w:rsid w:val="00A828F2"/>
    <w:rsid w:val="00A85746"/>
    <w:rsid w:val="00A87EFF"/>
    <w:rsid w:val="00A9077F"/>
    <w:rsid w:val="00A90798"/>
    <w:rsid w:val="00A90B84"/>
    <w:rsid w:val="00A947CD"/>
    <w:rsid w:val="00A94A84"/>
    <w:rsid w:val="00A95253"/>
    <w:rsid w:val="00A95727"/>
    <w:rsid w:val="00A969D8"/>
    <w:rsid w:val="00A96C5F"/>
    <w:rsid w:val="00A9706D"/>
    <w:rsid w:val="00A973B3"/>
    <w:rsid w:val="00A97839"/>
    <w:rsid w:val="00AA0553"/>
    <w:rsid w:val="00AA4CEC"/>
    <w:rsid w:val="00AB0E33"/>
    <w:rsid w:val="00AB2E7A"/>
    <w:rsid w:val="00AB3B28"/>
    <w:rsid w:val="00AB3B4F"/>
    <w:rsid w:val="00AB5C0B"/>
    <w:rsid w:val="00AB5E15"/>
    <w:rsid w:val="00AB67D0"/>
    <w:rsid w:val="00AB7073"/>
    <w:rsid w:val="00AB7DE6"/>
    <w:rsid w:val="00AC0C08"/>
    <w:rsid w:val="00AC0EE9"/>
    <w:rsid w:val="00AC1AEA"/>
    <w:rsid w:val="00AC276A"/>
    <w:rsid w:val="00AC3E15"/>
    <w:rsid w:val="00AC4439"/>
    <w:rsid w:val="00AC5448"/>
    <w:rsid w:val="00AC7989"/>
    <w:rsid w:val="00AD12C4"/>
    <w:rsid w:val="00AD2257"/>
    <w:rsid w:val="00AD5F98"/>
    <w:rsid w:val="00AD6990"/>
    <w:rsid w:val="00AE293E"/>
    <w:rsid w:val="00AE293F"/>
    <w:rsid w:val="00AE7E8D"/>
    <w:rsid w:val="00AF186E"/>
    <w:rsid w:val="00AF1CD5"/>
    <w:rsid w:val="00AF3322"/>
    <w:rsid w:val="00AF592B"/>
    <w:rsid w:val="00AF7593"/>
    <w:rsid w:val="00AF75A8"/>
    <w:rsid w:val="00B02F49"/>
    <w:rsid w:val="00B04334"/>
    <w:rsid w:val="00B046E8"/>
    <w:rsid w:val="00B04CF8"/>
    <w:rsid w:val="00B06069"/>
    <w:rsid w:val="00B07678"/>
    <w:rsid w:val="00B076B3"/>
    <w:rsid w:val="00B07E9D"/>
    <w:rsid w:val="00B11A42"/>
    <w:rsid w:val="00B11BF6"/>
    <w:rsid w:val="00B11C7F"/>
    <w:rsid w:val="00B144D3"/>
    <w:rsid w:val="00B14733"/>
    <w:rsid w:val="00B15F83"/>
    <w:rsid w:val="00B168EC"/>
    <w:rsid w:val="00B20242"/>
    <w:rsid w:val="00B2030A"/>
    <w:rsid w:val="00B22CEB"/>
    <w:rsid w:val="00B23C26"/>
    <w:rsid w:val="00B246E6"/>
    <w:rsid w:val="00B25282"/>
    <w:rsid w:val="00B31918"/>
    <w:rsid w:val="00B32A5A"/>
    <w:rsid w:val="00B34B4B"/>
    <w:rsid w:val="00B359D5"/>
    <w:rsid w:val="00B35D24"/>
    <w:rsid w:val="00B37C46"/>
    <w:rsid w:val="00B406AB"/>
    <w:rsid w:val="00B41130"/>
    <w:rsid w:val="00B41B64"/>
    <w:rsid w:val="00B42EF8"/>
    <w:rsid w:val="00B43841"/>
    <w:rsid w:val="00B446E9"/>
    <w:rsid w:val="00B46471"/>
    <w:rsid w:val="00B5114C"/>
    <w:rsid w:val="00B5286B"/>
    <w:rsid w:val="00B5314E"/>
    <w:rsid w:val="00B560D8"/>
    <w:rsid w:val="00B5657B"/>
    <w:rsid w:val="00B57D8C"/>
    <w:rsid w:val="00B60786"/>
    <w:rsid w:val="00B61FBD"/>
    <w:rsid w:val="00B62BEF"/>
    <w:rsid w:val="00B64779"/>
    <w:rsid w:val="00B661AD"/>
    <w:rsid w:val="00B66862"/>
    <w:rsid w:val="00B70213"/>
    <w:rsid w:val="00B72C74"/>
    <w:rsid w:val="00B73479"/>
    <w:rsid w:val="00B74274"/>
    <w:rsid w:val="00B745FB"/>
    <w:rsid w:val="00B7474E"/>
    <w:rsid w:val="00B74857"/>
    <w:rsid w:val="00B757FE"/>
    <w:rsid w:val="00B7588B"/>
    <w:rsid w:val="00B76B36"/>
    <w:rsid w:val="00B779C5"/>
    <w:rsid w:val="00B80545"/>
    <w:rsid w:val="00B80C9A"/>
    <w:rsid w:val="00B83F75"/>
    <w:rsid w:val="00B8446F"/>
    <w:rsid w:val="00B84B71"/>
    <w:rsid w:val="00B90EEE"/>
    <w:rsid w:val="00B9112F"/>
    <w:rsid w:val="00B9280D"/>
    <w:rsid w:val="00B938A0"/>
    <w:rsid w:val="00B94D5E"/>
    <w:rsid w:val="00BA2723"/>
    <w:rsid w:val="00BA27C4"/>
    <w:rsid w:val="00BA36B8"/>
    <w:rsid w:val="00BA4132"/>
    <w:rsid w:val="00BA491E"/>
    <w:rsid w:val="00BA4B52"/>
    <w:rsid w:val="00BA671B"/>
    <w:rsid w:val="00BB2951"/>
    <w:rsid w:val="00BB5998"/>
    <w:rsid w:val="00BB5A53"/>
    <w:rsid w:val="00BB616A"/>
    <w:rsid w:val="00BB6AED"/>
    <w:rsid w:val="00BB7B85"/>
    <w:rsid w:val="00BC1FF3"/>
    <w:rsid w:val="00BC268C"/>
    <w:rsid w:val="00BC2886"/>
    <w:rsid w:val="00BC50BF"/>
    <w:rsid w:val="00BC532D"/>
    <w:rsid w:val="00BC598D"/>
    <w:rsid w:val="00BC7AC2"/>
    <w:rsid w:val="00BD03BC"/>
    <w:rsid w:val="00BD04A5"/>
    <w:rsid w:val="00BD0847"/>
    <w:rsid w:val="00BD1F30"/>
    <w:rsid w:val="00BD2684"/>
    <w:rsid w:val="00BD40B1"/>
    <w:rsid w:val="00BE00D7"/>
    <w:rsid w:val="00BE26D7"/>
    <w:rsid w:val="00BE30FB"/>
    <w:rsid w:val="00BE6331"/>
    <w:rsid w:val="00BE6F27"/>
    <w:rsid w:val="00BE7422"/>
    <w:rsid w:val="00BF0897"/>
    <w:rsid w:val="00BF2182"/>
    <w:rsid w:val="00BF2196"/>
    <w:rsid w:val="00BF2C37"/>
    <w:rsid w:val="00BF41AC"/>
    <w:rsid w:val="00BF5666"/>
    <w:rsid w:val="00BF6B2E"/>
    <w:rsid w:val="00C01B86"/>
    <w:rsid w:val="00C066A3"/>
    <w:rsid w:val="00C06D48"/>
    <w:rsid w:val="00C07758"/>
    <w:rsid w:val="00C1012D"/>
    <w:rsid w:val="00C11FA7"/>
    <w:rsid w:val="00C13095"/>
    <w:rsid w:val="00C15904"/>
    <w:rsid w:val="00C15D8E"/>
    <w:rsid w:val="00C175B3"/>
    <w:rsid w:val="00C21A46"/>
    <w:rsid w:val="00C233D4"/>
    <w:rsid w:val="00C23BB2"/>
    <w:rsid w:val="00C243E7"/>
    <w:rsid w:val="00C25AB5"/>
    <w:rsid w:val="00C304DE"/>
    <w:rsid w:val="00C30800"/>
    <w:rsid w:val="00C30B0E"/>
    <w:rsid w:val="00C30B1E"/>
    <w:rsid w:val="00C32DB4"/>
    <w:rsid w:val="00C34980"/>
    <w:rsid w:val="00C36E6C"/>
    <w:rsid w:val="00C43FE5"/>
    <w:rsid w:val="00C44B4B"/>
    <w:rsid w:val="00C44DD0"/>
    <w:rsid w:val="00C450EF"/>
    <w:rsid w:val="00C460A6"/>
    <w:rsid w:val="00C46A46"/>
    <w:rsid w:val="00C50752"/>
    <w:rsid w:val="00C50C3A"/>
    <w:rsid w:val="00C50D75"/>
    <w:rsid w:val="00C5291E"/>
    <w:rsid w:val="00C54B09"/>
    <w:rsid w:val="00C6059E"/>
    <w:rsid w:val="00C6224F"/>
    <w:rsid w:val="00C6312D"/>
    <w:rsid w:val="00C63B6F"/>
    <w:rsid w:val="00C677DF"/>
    <w:rsid w:val="00C70B98"/>
    <w:rsid w:val="00C714E6"/>
    <w:rsid w:val="00C71724"/>
    <w:rsid w:val="00C72E48"/>
    <w:rsid w:val="00C77D72"/>
    <w:rsid w:val="00C80CFF"/>
    <w:rsid w:val="00C8104E"/>
    <w:rsid w:val="00C8306B"/>
    <w:rsid w:val="00C8340B"/>
    <w:rsid w:val="00C848C0"/>
    <w:rsid w:val="00C85B2D"/>
    <w:rsid w:val="00C861B2"/>
    <w:rsid w:val="00C86B94"/>
    <w:rsid w:val="00C872FA"/>
    <w:rsid w:val="00C91C46"/>
    <w:rsid w:val="00C92B29"/>
    <w:rsid w:val="00C93F9C"/>
    <w:rsid w:val="00CA00D8"/>
    <w:rsid w:val="00CA051F"/>
    <w:rsid w:val="00CA08AA"/>
    <w:rsid w:val="00CA1EAE"/>
    <w:rsid w:val="00CA5DDD"/>
    <w:rsid w:val="00CA63B5"/>
    <w:rsid w:val="00CA758A"/>
    <w:rsid w:val="00CB3DA4"/>
    <w:rsid w:val="00CB4C8B"/>
    <w:rsid w:val="00CB595E"/>
    <w:rsid w:val="00CB5C05"/>
    <w:rsid w:val="00CB72B2"/>
    <w:rsid w:val="00CB7A79"/>
    <w:rsid w:val="00CC133F"/>
    <w:rsid w:val="00CC4157"/>
    <w:rsid w:val="00CC4672"/>
    <w:rsid w:val="00CC7A18"/>
    <w:rsid w:val="00CD1444"/>
    <w:rsid w:val="00CD15F9"/>
    <w:rsid w:val="00CD1889"/>
    <w:rsid w:val="00CD7039"/>
    <w:rsid w:val="00CD7842"/>
    <w:rsid w:val="00CE14B8"/>
    <w:rsid w:val="00CE15B3"/>
    <w:rsid w:val="00CE2AAF"/>
    <w:rsid w:val="00CE3458"/>
    <w:rsid w:val="00CE397E"/>
    <w:rsid w:val="00CE4837"/>
    <w:rsid w:val="00CE6667"/>
    <w:rsid w:val="00CE718A"/>
    <w:rsid w:val="00CE71A1"/>
    <w:rsid w:val="00CF03DA"/>
    <w:rsid w:val="00CF0F27"/>
    <w:rsid w:val="00CF10EC"/>
    <w:rsid w:val="00CF4011"/>
    <w:rsid w:val="00CF4C87"/>
    <w:rsid w:val="00CF53C9"/>
    <w:rsid w:val="00CF5CCD"/>
    <w:rsid w:val="00CF677D"/>
    <w:rsid w:val="00CF703A"/>
    <w:rsid w:val="00D005DD"/>
    <w:rsid w:val="00D00981"/>
    <w:rsid w:val="00D0296D"/>
    <w:rsid w:val="00D02FDC"/>
    <w:rsid w:val="00D03A62"/>
    <w:rsid w:val="00D05959"/>
    <w:rsid w:val="00D05E83"/>
    <w:rsid w:val="00D06CA5"/>
    <w:rsid w:val="00D108E7"/>
    <w:rsid w:val="00D11D77"/>
    <w:rsid w:val="00D11E5B"/>
    <w:rsid w:val="00D12958"/>
    <w:rsid w:val="00D13712"/>
    <w:rsid w:val="00D14C8F"/>
    <w:rsid w:val="00D203ED"/>
    <w:rsid w:val="00D21508"/>
    <w:rsid w:val="00D21823"/>
    <w:rsid w:val="00D22A35"/>
    <w:rsid w:val="00D23A31"/>
    <w:rsid w:val="00D23C70"/>
    <w:rsid w:val="00D246A6"/>
    <w:rsid w:val="00D26BEC"/>
    <w:rsid w:val="00D30F63"/>
    <w:rsid w:val="00D32B95"/>
    <w:rsid w:val="00D32F58"/>
    <w:rsid w:val="00D3373A"/>
    <w:rsid w:val="00D33E31"/>
    <w:rsid w:val="00D34699"/>
    <w:rsid w:val="00D34F53"/>
    <w:rsid w:val="00D37921"/>
    <w:rsid w:val="00D37CDC"/>
    <w:rsid w:val="00D4204E"/>
    <w:rsid w:val="00D42A09"/>
    <w:rsid w:val="00D43D6F"/>
    <w:rsid w:val="00D43E7C"/>
    <w:rsid w:val="00D5136D"/>
    <w:rsid w:val="00D51DC1"/>
    <w:rsid w:val="00D51E4D"/>
    <w:rsid w:val="00D52BAE"/>
    <w:rsid w:val="00D52E94"/>
    <w:rsid w:val="00D53BBB"/>
    <w:rsid w:val="00D548F8"/>
    <w:rsid w:val="00D5574C"/>
    <w:rsid w:val="00D57214"/>
    <w:rsid w:val="00D57A86"/>
    <w:rsid w:val="00D62A6A"/>
    <w:rsid w:val="00D62D28"/>
    <w:rsid w:val="00D63565"/>
    <w:rsid w:val="00D67E4E"/>
    <w:rsid w:val="00D706F1"/>
    <w:rsid w:val="00D72747"/>
    <w:rsid w:val="00D74464"/>
    <w:rsid w:val="00D75BC8"/>
    <w:rsid w:val="00D7646D"/>
    <w:rsid w:val="00D800CC"/>
    <w:rsid w:val="00D8037D"/>
    <w:rsid w:val="00D80A2C"/>
    <w:rsid w:val="00D80D94"/>
    <w:rsid w:val="00D81295"/>
    <w:rsid w:val="00D817C3"/>
    <w:rsid w:val="00D81A8F"/>
    <w:rsid w:val="00D82A9E"/>
    <w:rsid w:val="00D84D0B"/>
    <w:rsid w:val="00D869D7"/>
    <w:rsid w:val="00D904DE"/>
    <w:rsid w:val="00D91BB2"/>
    <w:rsid w:val="00D96442"/>
    <w:rsid w:val="00DA340E"/>
    <w:rsid w:val="00DA404E"/>
    <w:rsid w:val="00DA435D"/>
    <w:rsid w:val="00DA51C4"/>
    <w:rsid w:val="00DA57F4"/>
    <w:rsid w:val="00DA6245"/>
    <w:rsid w:val="00DA6261"/>
    <w:rsid w:val="00DA7909"/>
    <w:rsid w:val="00DB05F4"/>
    <w:rsid w:val="00DB1DEA"/>
    <w:rsid w:val="00DB3CB7"/>
    <w:rsid w:val="00DB43C0"/>
    <w:rsid w:val="00DB6D9A"/>
    <w:rsid w:val="00DB6DAC"/>
    <w:rsid w:val="00DB6E88"/>
    <w:rsid w:val="00DC0094"/>
    <w:rsid w:val="00DC550D"/>
    <w:rsid w:val="00DC555E"/>
    <w:rsid w:val="00DC57F3"/>
    <w:rsid w:val="00DC60A3"/>
    <w:rsid w:val="00DC6976"/>
    <w:rsid w:val="00DC70B0"/>
    <w:rsid w:val="00DD1170"/>
    <w:rsid w:val="00DD1C0A"/>
    <w:rsid w:val="00DD2659"/>
    <w:rsid w:val="00DD389E"/>
    <w:rsid w:val="00DD3B81"/>
    <w:rsid w:val="00DD3F3A"/>
    <w:rsid w:val="00DD426B"/>
    <w:rsid w:val="00DD5D7C"/>
    <w:rsid w:val="00DD7076"/>
    <w:rsid w:val="00DE0C00"/>
    <w:rsid w:val="00DE0DA7"/>
    <w:rsid w:val="00DE1789"/>
    <w:rsid w:val="00DE3CF0"/>
    <w:rsid w:val="00DE4271"/>
    <w:rsid w:val="00DE43F7"/>
    <w:rsid w:val="00DF016A"/>
    <w:rsid w:val="00DF26D9"/>
    <w:rsid w:val="00DF58EF"/>
    <w:rsid w:val="00DF5E12"/>
    <w:rsid w:val="00DF6A11"/>
    <w:rsid w:val="00DF6E36"/>
    <w:rsid w:val="00DF7820"/>
    <w:rsid w:val="00E0064D"/>
    <w:rsid w:val="00E00759"/>
    <w:rsid w:val="00E02B4A"/>
    <w:rsid w:val="00E039B7"/>
    <w:rsid w:val="00E03B58"/>
    <w:rsid w:val="00E04F28"/>
    <w:rsid w:val="00E06491"/>
    <w:rsid w:val="00E10364"/>
    <w:rsid w:val="00E11F6C"/>
    <w:rsid w:val="00E1251E"/>
    <w:rsid w:val="00E13F53"/>
    <w:rsid w:val="00E1557A"/>
    <w:rsid w:val="00E158B0"/>
    <w:rsid w:val="00E16DAD"/>
    <w:rsid w:val="00E178F7"/>
    <w:rsid w:val="00E22B7A"/>
    <w:rsid w:val="00E23A5D"/>
    <w:rsid w:val="00E25994"/>
    <w:rsid w:val="00E25EA1"/>
    <w:rsid w:val="00E26DEB"/>
    <w:rsid w:val="00E3135C"/>
    <w:rsid w:val="00E319D4"/>
    <w:rsid w:val="00E36132"/>
    <w:rsid w:val="00E3724F"/>
    <w:rsid w:val="00E37DA8"/>
    <w:rsid w:val="00E37E31"/>
    <w:rsid w:val="00E40C98"/>
    <w:rsid w:val="00E4275E"/>
    <w:rsid w:val="00E4323B"/>
    <w:rsid w:val="00E4464B"/>
    <w:rsid w:val="00E44D19"/>
    <w:rsid w:val="00E458DC"/>
    <w:rsid w:val="00E46130"/>
    <w:rsid w:val="00E5018A"/>
    <w:rsid w:val="00E53A85"/>
    <w:rsid w:val="00E53AA7"/>
    <w:rsid w:val="00E53BD7"/>
    <w:rsid w:val="00E53FD2"/>
    <w:rsid w:val="00E5418C"/>
    <w:rsid w:val="00E5536D"/>
    <w:rsid w:val="00E568AD"/>
    <w:rsid w:val="00E570B5"/>
    <w:rsid w:val="00E57618"/>
    <w:rsid w:val="00E60C78"/>
    <w:rsid w:val="00E62660"/>
    <w:rsid w:val="00E62B71"/>
    <w:rsid w:val="00E66217"/>
    <w:rsid w:val="00E67EC7"/>
    <w:rsid w:val="00E70402"/>
    <w:rsid w:val="00E72B9A"/>
    <w:rsid w:val="00E74177"/>
    <w:rsid w:val="00E76ACA"/>
    <w:rsid w:val="00E777A0"/>
    <w:rsid w:val="00E77B8F"/>
    <w:rsid w:val="00E81A66"/>
    <w:rsid w:val="00E8355F"/>
    <w:rsid w:val="00E86032"/>
    <w:rsid w:val="00E87102"/>
    <w:rsid w:val="00E94843"/>
    <w:rsid w:val="00E950B3"/>
    <w:rsid w:val="00E95100"/>
    <w:rsid w:val="00E95B26"/>
    <w:rsid w:val="00EA0827"/>
    <w:rsid w:val="00EA3C69"/>
    <w:rsid w:val="00EA55EC"/>
    <w:rsid w:val="00EA5D39"/>
    <w:rsid w:val="00EA6EBE"/>
    <w:rsid w:val="00EA719A"/>
    <w:rsid w:val="00EB0454"/>
    <w:rsid w:val="00EB133B"/>
    <w:rsid w:val="00EB17EC"/>
    <w:rsid w:val="00EB2B11"/>
    <w:rsid w:val="00EB3EC3"/>
    <w:rsid w:val="00EB512E"/>
    <w:rsid w:val="00EB687A"/>
    <w:rsid w:val="00EC17D6"/>
    <w:rsid w:val="00EC1D31"/>
    <w:rsid w:val="00EC5014"/>
    <w:rsid w:val="00EC59AB"/>
    <w:rsid w:val="00EC6D1A"/>
    <w:rsid w:val="00ED0864"/>
    <w:rsid w:val="00ED12CE"/>
    <w:rsid w:val="00ED14D6"/>
    <w:rsid w:val="00ED1A5F"/>
    <w:rsid w:val="00ED21E7"/>
    <w:rsid w:val="00ED4890"/>
    <w:rsid w:val="00ED702E"/>
    <w:rsid w:val="00EE4A17"/>
    <w:rsid w:val="00EE702B"/>
    <w:rsid w:val="00EE746E"/>
    <w:rsid w:val="00EE77C0"/>
    <w:rsid w:val="00EF0AB8"/>
    <w:rsid w:val="00EF1F76"/>
    <w:rsid w:val="00EF63E3"/>
    <w:rsid w:val="00EF6D7B"/>
    <w:rsid w:val="00F00A5B"/>
    <w:rsid w:val="00F00B5F"/>
    <w:rsid w:val="00F01122"/>
    <w:rsid w:val="00F02A35"/>
    <w:rsid w:val="00F02AD7"/>
    <w:rsid w:val="00F056BC"/>
    <w:rsid w:val="00F057B5"/>
    <w:rsid w:val="00F05B4D"/>
    <w:rsid w:val="00F05EAA"/>
    <w:rsid w:val="00F0610B"/>
    <w:rsid w:val="00F06430"/>
    <w:rsid w:val="00F07ABB"/>
    <w:rsid w:val="00F11243"/>
    <w:rsid w:val="00F11C21"/>
    <w:rsid w:val="00F134F6"/>
    <w:rsid w:val="00F15732"/>
    <w:rsid w:val="00F1581D"/>
    <w:rsid w:val="00F159E9"/>
    <w:rsid w:val="00F15F25"/>
    <w:rsid w:val="00F16FCA"/>
    <w:rsid w:val="00F17A00"/>
    <w:rsid w:val="00F2187A"/>
    <w:rsid w:val="00F22711"/>
    <w:rsid w:val="00F2271D"/>
    <w:rsid w:val="00F23AB1"/>
    <w:rsid w:val="00F248CB"/>
    <w:rsid w:val="00F24973"/>
    <w:rsid w:val="00F24D34"/>
    <w:rsid w:val="00F25C01"/>
    <w:rsid w:val="00F26CC7"/>
    <w:rsid w:val="00F27050"/>
    <w:rsid w:val="00F27B96"/>
    <w:rsid w:val="00F301B1"/>
    <w:rsid w:val="00F310A7"/>
    <w:rsid w:val="00F32EB8"/>
    <w:rsid w:val="00F340E6"/>
    <w:rsid w:val="00F3479A"/>
    <w:rsid w:val="00F40B83"/>
    <w:rsid w:val="00F4319E"/>
    <w:rsid w:val="00F432E9"/>
    <w:rsid w:val="00F43AAD"/>
    <w:rsid w:val="00F46029"/>
    <w:rsid w:val="00F464C7"/>
    <w:rsid w:val="00F466D1"/>
    <w:rsid w:val="00F47178"/>
    <w:rsid w:val="00F50144"/>
    <w:rsid w:val="00F50F54"/>
    <w:rsid w:val="00F518EE"/>
    <w:rsid w:val="00F525F9"/>
    <w:rsid w:val="00F52D68"/>
    <w:rsid w:val="00F53C33"/>
    <w:rsid w:val="00F53E34"/>
    <w:rsid w:val="00F5444E"/>
    <w:rsid w:val="00F54A4A"/>
    <w:rsid w:val="00F5550E"/>
    <w:rsid w:val="00F559EC"/>
    <w:rsid w:val="00F569B5"/>
    <w:rsid w:val="00F56F96"/>
    <w:rsid w:val="00F62576"/>
    <w:rsid w:val="00F627C1"/>
    <w:rsid w:val="00F64AD3"/>
    <w:rsid w:val="00F6667D"/>
    <w:rsid w:val="00F66888"/>
    <w:rsid w:val="00F70A6D"/>
    <w:rsid w:val="00F70CB4"/>
    <w:rsid w:val="00F71CB7"/>
    <w:rsid w:val="00F71EBD"/>
    <w:rsid w:val="00F733BF"/>
    <w:rsid w:val="00F740DF"/>
    <w:rsid w:val="00F74772"/>
    <w:rsid w:val="00F80EBE"/>
    <w:rsid w:val="00F8112E"/>
    <w:rsid w:val="00F8179B"/>
    <w:rsid w:val="00F8205D"/>
    <w:rsid w:val="00F83359"/>
    <w:rsid w:val="00F840B0"/>
    <w:rsid w:val="00F84C23"/>
    <w:rsid w:val="00F86B80"/>
    <w:rsid w:val="00F87DAE"/>
    <w:rsid w:val="00F90DAB"/>
    <w:rsid w:val="00F91D19"/>
    <w:rsid w:val="00F9243B"/>
    <w:rsid w:val="00F92888"/>
    <w:rsid w:val="00F93E25"/>
    <w:rsid w:val="00F94AE5"/>
    <w:rsid w:val="00F94B63"/>
    <w:rsid w:val="00F969BE"/>
    <w:rsid w:val="00F97852"/>
    <w:rsid w:val="00FA01A9"/>
    <w:rsid w:val="00FA07F8"/>
    <w:rsid w:val="00FA0D97"/>
    <w:rsid w:val="00FA0F86"/>
    <w:rsid w:val="00FA7E93"/>
    <w:rsid w:val="00FB190E"/>
    <w:rsid w:val="00FB4DBA"/>
    <w:rsid w:val="00FB58A2"/>
    <w:rsid w:val="00FC02B3"/>
    <w:rsid w:val="00FC091F"/>
    <w:rsid w:val="00FC1F3E"/>
    <w:rsid w:val="00FC531C"/>
    <w:rsid w:val="00FC5DA0"/>
    <w:rsid w:val="00FD1C97"/>
    <w:rsid w:val="00FD2AC0"/>
    <w:rsid w:val="00FD2B3C"/>
    <w:rsid w:val="00FD3D55"/>
    <w:rsid w:val="00FD3DB5"/>
    <w:rsid w:val="00FD4D2A"/>
    <w:rsid w:val="00FD650D"/>
    <w:rsid w:val="00FD7180"/>
    <w:rsid w:val="00FD74A1"/>
    <w:rsid w:val="00FE24C2"/>
    <w:rsid w:val="00FE3C1D"/>
    <w:rsid w:val="00FE510C"/>
    <w:rsid w:val="00FE672C"/>
    <w:rsid w:val="00FE6739"/>
    <w:rsid w:val="00FF0072"/>
    <w:rsid w:val="00FF4997"/>
    <w:rsid w:val="0B651AA2"/>
    <w:rsid w:val="0C421204"/>
    <w:rsid w:val="0DBE2590"/>
    <w:rsid w:val="17233ED1"/>
    <w:rsid w:val="1E4E4DBB"/>
    <w:rsid w:val="39EF56CF"/>
    <w:rsid w:val="3C0C27F4"/>
    <w:rsid w:val="4A081321"/>
    <w:rsid w:val="58BE2639"/>
    <w:rsid w:val="70C754F2"/>
    <w:rsid w:val="7DF9167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F4BB93A-A833-451C-AD37-8EC52F9F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pPr>
      <w:jc w:val="left"/>
    </w:pPr>
  </w:style>
  <w:style w:type="paragraph" w:styleId="a4">
    <w:name w:val="Balloon Text"/>
    <w:basedOn w:val="a"/>
    <w:link w:val="Char0"/>
    <w:uiPriority w:val="99"/>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pPr>
      <w:spacing w:before="100" w:beforeAutospacing="1" w:after="100" w:afterAutospacing="1"/>
      <w:jc w:val="left"/>
    </w:pPr>
    <w:rPr>
      <w:rFonts w:ascii="Times New Roman" w:eastAsia="宋体" w:hAnsi="Times New Roman" w:cs="Times New Roman"/>
      <w:kern w:val="0"/>
      <w:sz w:val="24"/>
      <w:szCs w:val="24"/>
    </w:rPr>
  </w:style>
  <w:style w:type="paragraph" w:styleId="a8">
    <w:name w:val="annotation subject"/>
    <w:basedOn w:val="a3"/>
    <w:next w:val="a3"/>
    <w:link w:val="Char3"/>
    <w:uiPriority w:val="99"/>
    <w:unhideWhenUsed/>
    <w:qFormat/>
    <w:rPr>
      <w:b/>
      <w:bCs/>
    </w:rPr>
  </w:style>
  <w:style w:type="character" w:styleId="a9">
    <w:name w:val="Hyperlink"/>
    <w:basedOn w:val="a0"/>
    <w:qFormat/>
    <w:rPr>
      <w:color w:val="0000FF"/>
      <w:u w:val="single"/>
    </w:rPr>
  </w:style>
  <w:style w:type="character" w:styleId="aa">
    <w:name w:val="annotation reference"/>
    <w:basedOn w:val="a0"/>
    <w:unhideWhenUsed/>
    <w:qFormat/>
    <w:rPr>
      <w:sz w:val="21"/>
      <w:szCs w:val="21"/>
    </w:rPr>
  </w:style>
  <w:style w:type="character" w:customStyle="1" w:styleId="Char2">
    <w:name w:val="页眉 Char"/>
    <w:basedOn w:val="a0"/>
    <w:link w:val="a6"/>
    <w:uiPriority w:val="99"/>
    <w:semiHidden/>
    <w:qFormat/>
    <w:rPr>
      <w:sz w:val="18"/>
      <w:szCs w:val="18"/>
    </w:rPr>
  </w:style>
  <w:style w:type="character" w:customStyle="1" w:styleId="Char1">
    <w:name w:val="页脚 Char"/>
    <w:basedOn w:val="a0"/>
    <w:link w:val="a5"/>
    <w:uiPriority w:val="99"/>
    <w:semiHidden/>
    <w:qFormat/>
    <w:rPr>
      <w:sz w:val="18"/>
      <w:szCs w:val="18"/>
    </w:rPr>
  </w:style>
  <w:style w:type="character" w:customStyle="1" w:styleId="Char0">
    <w:name w:val="批注框文本 Char"/>
    <w:basedOn w:val="a0"/>
    <w:link w:val="a4"/>
    <w:uiPriority w:val="99"/>
    <w:semiHidden/>
    <w:qFormat/>
    <w:rPr>
      <w:sz w:val="18"/>
      <w:szCs w:val="18"/>
    </w:rPr>
  </w:style>
  <w:style w:type="character" w:customStyle="1" w:styleId="Char">
    <w:name w:val="批注文字 Char"/>
    <w:basedOn w:val="a0"/>
    <w:link w:val="a3"/>
    <w:qFormat/>
  </w:style>
  <w:style w:type="character" w:customStyle="1" w:styleId="Char3">
    <w:name w:val="批注主题 Char"/>
    <w:basedOn w:val="Char"/>
    <w:link w:val="a8"/>
    <w:uiPriority w:val="99"/>
    <w:semiHidden/>
    <w:qFormat/>
    <w:rPr>
      <w:b/>
      <w:bCs/>
    </w:rPr>
  </w:style>
  <w:style w:type="paragraph" w:customStyle="1" w:styleId="1">
    <w:name w:val="列出段落1"/>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XZEIXT+TimesNewRomanPS-BoldMT" w:eastAsia="XZEIXT+TimesNewRomanPS-BoldMT" w:cs="XZEIXT+TimesNewRomanPS-BoldMT"/>
      <w:color w:val="000000"/>
      <w:sz w:val="24"/>
      <w:szCs w:val="24"/>
    </w:rPr>
  </w:style>
  <w:style w:type="character" w:customStyle="1" w:styleId="opdicttext22">
    <w:name w:val="op_dict_text22"/>
    <w:basedOn w:val="a0"/>
    <w:qFormat/>
  </w:style>
  <w:style w:type="character" w:customStyle="1" w:styleId="font11">
    <w:name w:val="font11"/>
    <w:basedOn w:val="a0"/>
    <w:qFormat/>
    <w:rPr>
      <w:rFonts w:ascii="Arial" w:hAnsi="Arial" w:cs="Arial" w:hint="default"/>
      <w:color w:val="000000"/>
      <w:sz w:val="22"/>
      <w:szCs w:val="22"/>
      <w:u w:val="none"/>
    </w:rPr>
  </w:style>
  <w:style w:type="character" w:customStyle="1" w:styleId="font21">
    <w:name w:val="font21"/>
    <w:basedOn w:val="a0"/>
    <w:qFormat/>
    <w:rPr>
      <w:rFonts w:ascii="宋体" w:eastAsia="宋体" w:hAnsi="宋体" w:cs="宋体" w:hint="eastAsia"/>
      <w:color w:val="000000"/>
      <w:sz w:val="22"/>
      <w:szCs w:val="22"/>
      <w:u w:val="none"/>
    </w:rPr>
  </w:style>
  <w:style w:type="paragraph" w:customStyle="1" w:styleId="10">
    <w:name w:val="修订1"/>
    <w:hidden/>
    <w:uiPriority w:val="99"/>
    <w:semiHidden/>
    <w:qFormat/>
    <w:rPr>
      <w:kern w:val="2"/>
      <w:sz w:val="21"/>
      <w:szCs w:val="22"/>
    </w:rPr>
  </w:style>
  <w:style w:type="character" w:customStyle="1" w:styleId="fontstyle01">
    <w:name w:val="fontstyle01"/>
    <w:basedOn w:val="a0"/>
    <w:qFormat/>
    <w:rPr>
      <w:rFonts w:ascii="AdvOTea1a7398" w:eastAsia="AdvOTea1a7398" w:hAnsi="AdvOTea1a7398" w:cs="AdvOTea1a7398"/>
      <w:color w:val="000000"/>
      <w:sz w:val="16"/>
      <w:szCs w:val="16"/>
    </w:rPr>
  </w:style>
  <w:style w:type="paragraph" w:customStyle="1" w:styleId="EndNoteBibliographyTitle">
    <w:name w:val="EndNote Bibliography Title"/>
    <w:basedOn w:val="a"/>
    <w:link w:val="EndNoteBibliographyTitleChar"/>
    <w:rsid w:val="00FD7180"/>
    <w:pPr>
      <w:jc w:val="center"/>
    </w:pPr>
    <w:rPr>
      <w:rFonts w:ascii="Arial" w:hAnsi="Arial" w:cs="Arial"/>
      <w:noProof/>
      <w:sz w:val="20"/>
    </w:rPr>
  </w:style>
  <w:style w:type="character" w:customStyle="1" w:styleId="EndNoteBibliographyTitleChar">
    <w:name w:val="EndNote Bibliography Title Char"/>
    <w:basedOn w:val="a0"/>
    <w:link w:val="EndNoteBibliographyTitle"/>
    <w:rsid w:val="00FD7180"/>
    <w:rPr>
      <w:rFonts w:ascii="Arial" w:hAnsi="Arial" w:cs="Arial"/>
      <w:noProof/>
      <w:kern w:val="2"/>
      <w:szCs w:val="22"/>
    </w:rPr>
  </w:style>
  <w:style w:type="paragraph" w:customStyle="1" w:styleId="EndNoteBibliography">
    <w:name w:val="EndNote Bibliography"/>
    <w:basedOn w:val="a"/>
    <w:link w:val="EndNoteBibliographyChar"/>
    <w:rsid w:val="00FD7180"/>
    <w:pPr>
      <w:spacing w:line="360" w:lineRule="auto"/>
    </w:pPr>
    <w:rPr>
      <w:rFonts w:ascii="Arial" w:hAnsi="Arial" w:cs="Arial"/>
      <w:noProof/>
      <w:sz w:val="20"/>
    </w:rPr>
  </w:style>
  <w:style w:type="character" w:customStyle="1" w:styleId="EndNoteBibliographyChar">
    <w:name w:val="EndNote Bibliography Char"/>
    <w:basedOn w:val="a0"/>
    <w:link w:val="EndNoteBibliography"/>
    <w:rsid w:val="00FD7180"/>
    <w:rPr>
      <w:rFonts w:ascii="Arial" w:hAnsi="Arial" w:cs="Arial"/>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zheng@njmu.edu.cn" TargetMode="External"/><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10" Type="http://schemas.openxmlformats.org/officeDocument/2006/relationships/image" Target="media/image2.pn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95ED8E-1194-46CE-BA43-CF388B83F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2085</Words>
  <Characters>11888</Characters>
  <Application>Microsoft Office Word</Application>
  <DocSecurity>0</DocSecurity>
  <Lines>99</Lines>
  <Paragraphs>27</Paragraphs>
  <ScaleCrop>false</ScaleCrop>
  <Company>CHINA</Company>
  <LinksUpToDate>false</LinksUpToDate>
  <CharactersWithSpaces>13946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234</cp:revision>
  <dcterms:created xsi:type="dcterms:W3CDTF">2018-03-07T14:10:00Z</dcterms:created>
  <dcterms:modified xsi:type="dcterms:W3CDTF">2019-04-30T00:31:00Z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