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B22D8" w14:textId="77777777" w:rsidR="00BA34B9" w:rsidRPr="00BC4B5A" w:rsidRDefault="00BA34B9" w:rsidP="00BA34B9">
      <w:pPr>
        <w:pStyle w:val="ListParagraph"/>
        <w:numPr>
          <w:ilvl w:val="0"/>
          <w:numId w:val="1"/>
        </w:numPr>
        <w:spacing w:line="480" w:lineRule="auto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 xml:space="preserve">Adjusting the rate of </w:t>
      </w:r>
      <w:proofErr w:type="gramStart"/>
      <w:r>
        <w:rPr>
          <w:rFonts w:ascii="Helvetica" w:hAnsi="Helvetica" w:cs="Arial"/>
          <w:b/>
          <w:sz w:val="20"/>
          <w:szCs w:val="20"/>
        </w:rPr>
        <w:t>NADH:O</w:t>
      </w:r>
      <w:proofErr w:type="gramEnd"/>
      <w:r>
        <w:rPr>
          <w:rFonts w:ascii="Helvetica" w:hAnsi="Helvetica" w:cs="Arial"/>
          <w:b/>
          <w:sz w:val="20"/>
          <w:szCs w:val="20"/>
          <w:vertAlign w:val="subscript"/>
        </w:rPr>
        <w:t>2</w:t>
      </w:r>
      <w:r>
        <w:rPr>
          <w:rFonts w:ascii="Helvetica" w:hAnsi="Helvetica" w:cs="Arial"/>
          <w:b/>
          <w:sz w:val="20"/>
          <w:szCs w:val="20"/>
        </w:rPr>
        <w:t xml:space="preserve"> turnover in AOX-SMPs</w:t>
      </w:r>
      <w:r w:rsidRPr="00BC4B5A">
        <w:rPr>
          <w:rFonts w:ascii="Helvetica" w:hAnsi="Helvetica" w:cs="Arial"/>
          <w:b/>
          <w:sz w:val="20"/>
          <w:szCs w:val="20"/>
        </w:rPr>
        <w:t xml:space="preserve"> </w:t>
      </w:r>
    </w:p>
    <w:p w14:paraId="3C7471F0" w14:textId="77777777" w:rsidR="00BA34B9" w:rsidRDefault="00BA34B9" w:rsidP="00BA34B9">
      <w:pPr>
        <w:spacing w:line="480" w:lineRule="auto"/>
        <w:ind w:firstLine="0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As the rate of </w:t>
      </w:r>
      <w:proofErr w:type="gramStart"/>
      <w:r>
        <w:rPr>
          <w:rFonts w:ascii="Helvetica" w:hAnsi="Helvetica" w:cs="Arial"/>
          <w:sz w:val="20"/>
          <w:szCs w:val="20"/>
        </w:rPr>
        <w:t>NADH:O</w:t>
      </w:r>
      <w:proofErr w:type="gramEnd"/>
      <w:r>
        <w:rPr>
          <w:rFonts w:ascii="Helvetica" w:hAnsi="Helvetica" w:cs="Arial"/>
          <w:sz w:val="20"/>
          <w:szCs w:val="20"/>
          <w:vertAlign w:val="subscript"/>
        </w:rPr>
        <w:t>2</w:t>
      </w:r>
      <w:r>
        <w:rPr>
          <w:rFonts w:ascii="Helvetica" w:hAnsi="Helvetica" w:cs="Arial"/>
          <w:sz w:val="20"/>
          <w:szCs w:val="20"/>
        </w:rPr>
        <w:t xml:space="preserve"> turnover in AOX-SMPs can exceed that of the natural respiratory chain, rate-matching experiments of AOX</w:t>
      </w:r>
      <w:bookmarkStart w:id="0" w:name="_GoBack"/>
      <w:bookmarkEnd w:id="0"/>
      <w:r>
        <w:rPr>
          <w:rFonts w:ascii="Helvetica" w:hAnsi="Helvetica" w:cs="Arial"/>
          <w:sz w:val="20"/>
          <w:szCs w:val="20"/>
        </w:rPr>
        <w:t xml:space="preserve">-SMPs and SMPs were performed to ensure that the substrate is not exhausted in AOX-SMPs on the timescale of the EPR sample preparation:  </w:t>
      </w:r>
    </w:p>
    <w:p w14:paraId="5A43EA3D" w14:textId="77777777" w:rsidR="00BA34B9" w:rsidRPr="00D61F50" w:rsidRDefault="00BA34B9" w:rsidP="00BA34B9">
      <w:pPr>
        <w:spacing w:line="480" w:lineRule="auto"/>
        <w:ind w:firstLine="0"/>
        <w:jc w:val="both"/>
        <w:rPr>
          <w:rFonts w:ascii="Helvetica" w:hAnsi="Helvetica" w:cs="Arial"/>
          <w:sz w:val="20"/>
          <w:szCs w:val="20"/>
        </w:rPr>
      </w:pPr>
    </w:p>
    <w:p w14:paraId="7A7E0F22" w14:textId="77777777" w:rsidR="00BA34B9" w:rsidRDefault="00BA34B9" w:rsidP="00BA34B9">
      <w:pPr>
        <w:spacing w:line="480" w:lineRule="auto"/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</w:rPr>
        <w:drawing>
          <wp:inline distT="0" distB="0" distL="0" distR="0" wp14:anchorId="0C521ACB" wp14:editId="44DA848F">
            <wp:extent cx="3048000" cy="23114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e S1 (SCF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778C" w14:textId="77777777" w:rsidR="00BA34B9" w:rsidRDefault="00BA34B9" w:rsidP="00BA34B9">
      <w:pPr>
        <w:spacing w:line="480" w:lineRule="auto"/>
        <w:ind w:firstLine="0"/>
        <w:jc w:val="both"/>
        <w:rPr>
          <w:rFonts w:ascii="Helvetica" w:hAnsi="Helvetica" w:cs="Arial"/>
          <w:sz w:val="20"/>
          <w:szCs w:val="20"/>
        </w:rPr>
      </w:pPr>
      <w:r w:rsidRPr="00E5362F">
        <w:rPr>
          <w:rFonts w:ascii="Helvetica" w:hAnsi="Helvetica" w:cs="Arial"/>
          <w:b/>
          <w:sz w:val="20"/>
          <w:szCs w:val="20"/>
        </w:rPr>
        <w:t xml:space="preserve">Figure S1: Rate matching of AOX-SMPs to SMP </w:t>
      </w:r>
      <w:proofErr w:type="gramStart"/>
      <w:r w:rsidRPr="00E5362F">
        <w:rPr>
          <w:rFonts w:ascii="Helvetica" w:hAnsi="Helvetica" w:cs="Arial"/>
          <w:b/>
          <w:sz w:val="20"/>
          <w:szCs w:val="20"/>
        </w:rPr>
        <w:t>NADH:O</w:t>
      </w:r>
      <w:proofErr w:type="gramEnd"/>
      <w:r w:rsidRPr="00E5362F">
        <w:rPr>
          <w:rFonts w:ascii="Helvetica" w:hAnsi="Helvetica" w:cs="Arial"/>
          <w:b/>
          <w:sz w:val="20"/>
          <w:szCs w:val="20"/>
          <w:vertAlign w:val="subscript"/>
        </w:rPr>
        <w:t>2</w:t>
      </w:r>
      <w:r w:rsidRPr="00E5362F">
        <w:rPr>
          <w:rFonts w:ascii="Helvetica" w:hAnsi="Helvetica" w:cs="Arial"/>
          <w:b/>
          <w:sz w:val="20"/>
          <w:szCs w:val="20"/>
        </w:rPr>
        <w:t xml:space="preserve"> turnover. </w:t>
      </w:r>
      <w:r w:rsidRPr="00E5362F">
        <w:rPr>
          <w:rFonts w:ascii="Helvetica" w:hAnsi="Helvetica" w:cs="Arial"/>
          <w:sz w:val="20"/>
          <w:szCs w:val="20"/>
        </w:rPr>
        <w:t xml:space="preserve">SMPs were incubated with AOX at the ratios specified. Activity assays were performed with 20 µg/mL SMP and 200 µM NADH. Antimycin A (2 µM) was added to the assay mixture </w:t>
      </w:r>
      <w:r>
        <w:rPr>
          <w:rFonts w:ascii="Helvetica" w:hAnsi="Helvetica" w:cs="Arial"/>
          <w:sz w:val="20"/>
          <w:szCs w:val="20"/>
        </w:rPr>
        <w:t xml:space="preserve">to </w:t>
      </w:r>
      <w:r w:rsidRPr="00E5362F">
        <w:rPr>
          <w:rFonts w:ascii="Helvetica" w:hAnsi="Helvetica" w:cs="Arial"/>
          <w:sz w:val="20"/>
          <w:szCs w:val="20"/>
        </w:rPr>
        <w:t xml:space="preserve">inhibit electron flux through the canonical electron transport chain. The </w:t>
      </w:r>
      <w:r>
        <w:rPr>
          <w:rFonts w:ascii="Helvetica" w:hAnsi="Helvetica" w:cs="Arial"/>
          <w:sz w:val="20"/>
          <w:szCs w:val="20"/>
        </w:rPr>
        <w:t xml:space="preserve">triplicate </w:t>
      </w:r>
      <w:r w:rsidRPr="00E5362F">
        <w:rPr>
          <w:rFonts w:ascii="Helvetica" w:hAnsi="Helvetica" w:cs="Arial"/>
          <w:sz w:val="20"/>
          <w:szCs w:val="20"/>
        </w:rPr>
        <w:t xml:space="preserve">red lines indicate the </w:t>
      </w:r>
      <w:r>
        <w:rPr>
          <w:rFonts w:ascii="Helvetica" w:hAnsi="Helvetica" w:cs="Arial"/>
          <w:sz w:val="20"/>
          <w:szCs w:val="20"/>
        </w:rPr>
        <w:t xml:space="preserve">amount of AOX required to match the </w:t>
      </w:r>
      <w:r w:rsidRPr="00E5362F">
        <w:rPr>
          <w:rFonts w:ascii="Helvetica" w:hAnsi="Helvetica" w:cs="Arial"/>
          <w:sz w:val="20"/>
          <w:szCs w:val="20"/>
        </w:rPr>
        <w:t>rate of uninhibited SMPs</w:t>
      </w:r>
      <w:r w:rsidRPr="00CC0A99">
        <w:rPr>
          <w:rFonts w:ascii="Helvetica" w:hAnsi="Helvetica" w:cs="Arial"/>
          <w:sz w:val="20"/>
          <w:szCs w:val="20"/>
        </w:rPr>
        <w:t xml:space="preserve"> </w:t>
      </w:r>
      <w:r w:rsidRPr="00E5362F">
        <w:rPr>
          <w:rFonts w:ascii="Helvetica" w:hAnsi="Helvetica" w:cs="Arial"/>
          <w:sz w:val="20"/>
          <w:szCs w:val="20"/>
        </w:rPr>
        <w:t>in this experiment</w:t>
      </w:r>
      <w:r>
        <w:rPr>
          <w:rFonts w:ascii="Helvetica" w:hAnsi="Helvetica" w:cs="Arial"/>
          <w:sz w:val="20"/>
          <w:szCs w:val="20"/>
        </w:rPr>
        <w:t>.</w:t>
      </w:r>
      <w:r w:rsidRPr="00E5362F">
        <w:rPr>
          <w:rFonts w:ascii="Helvetica" w:hAnsi="Helvetica" w:cs="Arial"/>
          <w:sz w:val="20"/>
          <w:szCs w:val="20"/>
        </w:rPr>
        <w:t xml:space="preserve"> </w:t>
      </w:r>
      <w:r>
        <w:rPr>
          <w:rFonts w:ascii="Helvetica" w:hAnsi="Helvetica" w:cs="Arial"/>
          <w:sz w:val="20"/>
          <w:szCs w:val="20"/>
        </w:rPr>
        <w:t>The g</w:t>
      </w:r>
      <w:r w:rsidRPr="00E5362F">
        <w:rPr>
          <w:rFonts w:ascii="Helvetica" w:hAnsi="Helvetica" w:cs="Arial"/>
          <w:sz w:val="20"/>
          <w:szCs w:val="20"/>
        </w:rPr>
        <w:t xml:space="preserve">reen lines indicate the </w:t>
      </w:r>
      <w:r>
        <w:rPr>
          <w:rFonts w:ascii="Helvetica" w:hAnsi="Helvetica" w:cs="Arial"/>
          <w:sz w:val="20"/>
          <w:szCs w:val="20"/>
        </w:rPr>
        <w:t xml:space="preserve">amount of AOX required to match the </w:t>
      </w:r>
      <w:r w:rsidRPr="00E5362F">
        <w:rPr>
          <w:rFonts w:ascii="Helvetica" w:hAnsi="Helvetica" w:cs="Arial"/>
          <w:sz w:val="20"/>
          <w:szCs w:val="20"/>
        </w:rPr>
        <w:t xml:space="preserve">rate of uncoupled (+ 4 </w:t>
      </w:r>
      <w:r w:rsidRPr="00E5362F">
        <w:rPr>
          <w:rFonts w:ascii="Helvetica" w:hAnsi="Helvetica" w:cs="Arial"/>
          <w:sz w:val="20"/>
          <w:szCs w:val="20"/>
        </w:rPr>
        <w:sym w:font="Symbol" w:char="F06D"/>
      </w:r>
      <w:r w:rsidRPr="00E5362F">
        <w:rPr>
          <w:rFonts w:ascii="Helvetica" w:hAnsi="Helvetica" w:cs="Arial"/>
          <w:sz w:val="20"/>
          <w:szCs w:val="20"/>
        </w:rPr>
        <w:t xml:space="preserve">M CCCP) SMPs. Error bars indicate </w:t>
      </w:r>
      <w:r>
        <w:rPr>
          <w:rFonts w:ascii="Helvetica" w:hAnsi="Helvetica" w:cs="Arial"/>
          <w:sz w:val="20"/>
          <w:szCs w:val="20"/>
        </w:rPr>
        <w:t xml:space="preserve">standard deviation </w:t>
      </w:r>
      <w:r w:rsidRPr="00E5362F">
        <w:rPr>
          <w:rFonts w:ascii="Helvetica" w:hAnsi="Helvetica" w:cs="Arial"/>
          <w:sz w:val="20"/>
          <w:szCs w:val="20"/>
        </w:rPr>
        <w:t xml:space="preserve">of triplicate measurements. </w:t>
      </w:r>
    </w:p>
    <w:p w14:paraId="4CE3AD67" w14:textId="77777777" w:rsidR="00BA34B9" w:rsidRDefault="00BA34B9"/>
    <w:sectPr w:rsidR="00BA34B9" w:rsidSect="002F15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B22FC"/>
    <w:multiLevelType w:val="hybridMultilevel"/>
    <w:tmpl w:val="0EEA6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9"/>
    <w:rsid w:val="002F15BE"/>
    <w:rsid w:val="00BA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B44CDC"/>
  <w15:chartTrackingRefBased/>
  <w15:docId w15:val="{760F6E4C-8BCD-6A48-A857-F73D0068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9"/>
    <w:pPr>
      <w:ind w:firstLine="720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4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John.wright@mrc-mbu.cam.ac.uk</dc:creator>
  <cp:keywords/>
  <dc:description/>
  <cp:lastModifiedBy>John.wright@mrc-mbu.cam.ac.uk</cp:lastModifiedBy>
  <cp:revision>1</cp:revision>
  <dcterms:created xsi:type="dcterms:W3CDTF">2020-02-05T18:50:00Z</dcterms:created>
  <dcterms:modified xsi:type="dcterms:W3CDTF">2020-02-05T18:50:00Z</dcterms:modified>
</cp:coreProperties>
</file>