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6CBC3" w14:textId="0B545DFA" w:rsidR="00512CDD" w:rsidRPr="00191B90" w:rsidRDefault="00512CDD" w:rsidP="00191B90">
      <w:pPr>
        <w:pStyle w:val="ListParagraph"/>
        <w:numPr>
          <w:ilvl w:val="0"/>
          <w:numId w:val="9"/>
        </w:numPr>
        <w:spacing w:line="480" w:lineRule="auto"/>
        <w:rPr>
          <w:rFonts w:ascii="Helvetica" w:hAnsi="Helvetica" w:cs="Arial"/>
          <w:b/>
          <w:sz w:val="20"/>
          <w:szCs w:val="20"/>
        </w:rPr>
      </w:pPr>
      <w:r w:rsidRPr="00191B90">
        <w:rPr>
          <w:rFonts w:ascii="Helvetica" w:hAnsi="Helvetica" w:cs="Arial"/>
          <w:b/>
          <w:sz w:val="20"/>
          <w:szCs w:val="20"/>
        </w:rPr>
        <w:t xml:space="preserve">Complete HYSCORE spectrum of the </w:t>
      </w:r>
      <w:r w:rsidRPr="00191B90">
        <w:rPr>
          <w:rFonts w:ascii="Helvetica" w:hAnsi="Helvetica" w:cs="Arial"/>
          <w:b/>
          <w:i/>
          <w:sz w:val="20"/>
          <w:szCs w:val="20"/>
        </w:rPr>
        <w:t>g</w:t>
      </w:r>
      <w:r w:rsidRPr="00191B90">
        <w:rPr>
          <w:rFonts w:ascii="Helvetica" w:hAnsi="Helvetica" w:cs="Arial"/>
          <w:b/>
          <w:sz w:val="20"/>
          <w:szCs w:val="20"/>
        </w:rPr>
        <w:t xml:space="preserve"> ~ 2 signal in complex II inhibited SMPs</w:t>
      </w:r>
    </w:p>
    <w:p w14:paraId="0563DE58" w14:textId="77777777" w:rsidR="00512CDD" w:rsidRPr="00C61EC7" w:rsidRDefault="00512CDD" w:rsidP="00512CDD">
      <w:pPr>
        <w:spacing w:line="480" w:lineRule="auto"/>
        <w:ind w:firstLine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The absence of any significant amounts of N1b in the complex II inhibited SMP sample lends further evidence to the ‘backbone </w:t>
      </w:r>
      <w:r>
        <w:rPr>
          <w:rFonts w:ascii="Helvetica" w:hAnsi="Helvetica" w:cs="Arial"/>
          <w:sz w:val="20"/>
          <w:szCs w:val="20"/>
          <w:vertAlign w:val="superscript"/>
        </w:rPr>
        <w:t>14</w:t>
      </w:r>
      <w:r>
        <w:rPr>
          <w:rFonts w:ascii="Helvetica" w:hAnsi="Helvetica" w:cs="Arial"/>
          <w:sz w:val="20"/>
          <w:szCs w:val="20"/>
        </w:rPr>
        <w:t xml:space="preserve">N’ couplings originating from the </w:t>
      </w:r>
      <w:r>
        <w:rPr>
          <w:rFonts w:ascii="Helvetica" w:hAnsi="Helvetica" w:cs="Arial"/>
          <w:i/>
          <w:sz w:val="20"/>
          <w:szCs w:val="20"/>
        </w:rPr>
        <w:t>g</w:t>
      </w:r>
      <w:r>
        <w:rPr>
          <w:rFonts w:ascii="Helvetica" w:hAnsi="Helvetica" w:cs="Arial"/>
          <w:sz w:val="20"/>
          <w:szCs w:val="20"/>
        </w:rPr>
        <w:t xml:space="preserve"> ~ 2 SQ species. </w:t>
      </w:r>
    </w:p>
    <w:p w14:paraId="63559C06" w14:textId="77777777" w:rsidR="00512CDD" w:rsidRDefault="00512CDD" w:rsidP="00512CDD">
      <w:pPr>
        <w:spacing w:line="480" w:lineRule="auto"/>
        <w:ind w:firstLine="0"/>
        <w:jc w:val="center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noProof/>
          <w:sz w:val="20"/>
          <w:szCs w:val="20"/>
        </w:rPr>
        <w:drawing>
          <wp:inline distT="0" distB="0" distL="0" distR="0" wp14:anchorId="14BB3645" wp14:editId="6D1DAD1C">
            <wp:extent cx="3048000" cy="42037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e S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F8C03" w14:textId="62C54DD2" w:rsidR="00512CDD" w:rsidRDefault="00512CDD" w:rsidP="00512CDD">
      <w:pPr>
        <w:spacing w:line="480" w:lineRule="auto"/>
        <w:ind w:firstLine="0"/>
        <w:jc w:val="both"/>
        <w:rPr>
          <w:rFonts w:ascii="Helvetica" w:hAnsi="Helvetica" w:cs="Arial"/>
          <w:sz w:val="20"/>
          <w:szCs w:val="20"/>
        </w:rPr>
      </w:pPr>
      <w:r w:rsidRPr="00E5362F">
        <w:rPr>
          <w:rFonts w:ascii="Helvetica" w:hAnsi="Helvetica" w:cs="Arial"/>
          <w:b/>
          <w:sz w:val="20"/>
          <w:szCs w:val="20"/>
        </w:rPr>
        <w:t>Figure S</w:t>
      </w:r>
      <w:r w:rsidR="000B17D6">
        <w:rPr>
          <w:rFonts w:ascii="Helvetica" w:hAnsi="Helvetica" w:cs="Arial"/>
          <w:b/>
          <w:sz w:val="20"/>
          <w:szCs w:val="20"/>
        </w:rPr>
        <w:t>7</w:t>
      </w:r>
      <w:bookmarkStart w:id="0" w:name="_GoBack"/>
      <w:bookmarkEnd w:id="0"/>
      <w:r w:rsidRPr="00E5362F">
        <w:rPr>
          <w:rFonts w:ascii="Helvetica" w:hAnsi="Helvetica" w:cs="Arial"/>
          <w:b/>
          <w:sz w:val="20"/>
          <w:szCs w:val="20"/>
        </w:rPr>
        <w:t xml:space="preserve">: Echo-detected field sweep and HYSCORE spectroscopy of oxygen supplemented SMPs treated with carboxin. </w:t>
      </w:r>
      <w:r w:rsidRPr="00E5362F">
        <w:rPr>
          <w:rFonts w:ascii="Helvetica" w:hAnsi="Helvetica" w:cs="Arial"/>
          <w:sz w:val="20"/>
          <w:szCs w:val="20"/>
        </w:rPr>
        <w:t>(Top) Temperature dependence of echo-detected field sweeps of SMPs. Measurements performed with a two-pulse sequence (π/2–</w:t>
      </w:r>
      <w:r w:rsidRPr="00E5362F">
        <w:rPr>
          <w:rFonts w:ascii="Calibri" w:hAnsi="Calibri" w:cs="Calibri"/>
          <w:sz w:val="20"/>
          <w:szCs w:val="20"/>
        </w:rPr>
        <w:t>τ</w:t>
      </w:r>
      <w:r w:rsidRPr="00E5362F">
        <w:rPr>
          <w:rFonts w:ascii="Helvetica" w:hAnsi="Helvetica" w:cs="Helvetica"/>
          <w:sz w:val="20"/>
          <w:szCs w:val="20"/>
        </w:rPr>
        <w:t>–π–</w:t>
      </w:r>
      <w:r w:rsidRPr="00E5362F">
        <w:rPr>
          <w:rFonts w:ascii="Helvetica" w:hAnsi="Helvetica" w:cs="Arial"/>
          <w:sz w:val="20"/>
          <w:szCs w:val="20"/>
        </w:rPr>
        <w:t xml:space="preserve">echo) with </w:t>
      </w:r>
      <w:r w:rsidRPr="00E5362F">
        <w:rPr>
          <w:rFonts w:ascii="Helvetica" w:hAnsi="Helvetica" w:cs="Helvetica"/>
          <w:sz w:val="20"/>
          <w:szCs w:val="20"/>
        </w:rPr>
        <w:t>π</w:t>
      </w:r>
      <w:r w:rsidRPr="00E5362F">
        <w:rPr>
          <w:rFonts w:ascii="Helvetica" w:hAnsi="Helvetica" w:cs="Arial"/>
          <w:sz w:val="20"/>
          <w:szCs w:val="20"/>
        </w:rPr>
        <w:t xml:space="preserve">/2 = 16 ns, </w:t>
      </w:r>
      <w:r w:rsidRPr="00E5362F">
        <w:rPr>
          <w:rFonts w:ascii="Helvetica" w:hAnsi="Helvetica" w:cs="Helvetica"/>
          <w:sz w:val="20"/>
          <w:szCs w:val="20"/>
        </w:rPr>
        <w:t>π</w:t>
      </w:r>
      <w:r w:rsidRPr="00E5362F">
        <w:rPr>
          <w:rFonts w:ascii="Helvetica" w:hAnsi="Helvetica" w:cs="Arial"/>
          <w:sz w:val="20"/>
          <w:szCs w:val="20"/>
        </w:rPr>
        <w:t xml:space="preserve"> = 32 ns, </w:t>
      </w:r>
      <w:r w:rsidRPr="00E5362F">
        <w:rPr>
          <w:rFonts w:ascii="Calibri" w:hAnsi="Calibri" w:cs="Calibri"/>
          <w:sz w:val="20"/>
          <w:szCs w:val="20"/>
        </w:rPr>
        <w:t>τ</w:t>
      </w:r>
      <w:r w:rsidRPr="00E5362F">
        <w:rPr>
          <w:rFonts w:ascii="Helvetica" w:hAnsi="Helvetica" w:cs="Arial"/>
          <w:sz w:val="20"/>
          <w:szCs w:val="20"/>
        </w:rPr>
        <w:t xml:space="preserve"> = 200 ns. Shot repetition times and shots per point were kept constant across the temperature range at 2 </w:t>
      </w:r>
      <w:proofErr w:type="spellStart"/>
      <w:r w:rsidRPr="00E5362F">
        <w:rPr>
          <w:rFonts w:ascii="Helvetica" w:hAnsi="Helvetica" w:cs="Arial"/>
          <w:sz w:val="20"/>
          <w:szCs w:val="20"/>
        </w:rPr>
        <w:t>ms</w:t>
      </w:r>
      <w:proofErr w:type="spellEnd"/>
      <w:r w:rsidRPr="00E5362F">
        <w:rPr>
          <w:rFonts w:ascii="Helvetica" w:hAnsi="Helvetica" w:cs="Arial"/>
          <w:sz w:val="20"/>
          <w:szCs w:val="20"/>
        </w:rPr>
        <w:t xml:space="preserve"> and 50</w:t>
      </w:r>
      <w:r>
        <w:rPr>
          <w:rFonts w:ascii="Helvetica" w:hAnsi="Helvetica" w:cs="Arial"/>
          <w:sz w:val="20"/>
          <w:szCs w:val="20"/>
        </w:rPr>
        <w:t>,</w:t>
      </w:r>
      <w:r w:rsidRPr="00E5362F">
        <w:rPr>
          <w:rFonts w:ascii="Helvetica" w:hAnsi="Helvetica" w:cs="Arial"/>
          <w:sz w:val="20"/>
          <w:szCs w:val="20"/>
        </w:rPr>
        <w:t xml:space="preserve"> respectively. Vertical lines indicate the maximum intensity of the semiquinone signal (</w:t>
      </w:r>
      <w:r w:rsidRPr="00E5362F">
        <w:rPr>
          <w:rFonts w:ascii="Helvetica" w:hAnsi="Helvetica" w:cs="Arial"/>
          <w:i/>
          <w:sz w:val="20"/>
          <w:szCs w:val="20"/>
        </w:rPr>
        <w:t xml:space="preserve">g </w:t>
      </w:r>
      <w:r w:rsidRPr="00E5362F">
        <w:rPr>
          <w:rFonts w:ascii="Helvetica" w:hAnsi="Helvetica" w:cs="Arial"/>
          <w:sz w:val="20"/>
          <w:szCs w:val="20"/>
        </w:rPr>
        <w:t>= 2.00) and the N1</w:t>
      </w:r>
      <w:r>
        <w:rPr>
          <w:rFonts w:ascii="Helvetica" w:hAnsi="Helvetica" w:cs="Arial"/>
          <w:sz w:val="20"/>
          <w:szCs w:val="20"/>
        </w:rPr>
        <w:t>b</w:t>
      </w:r>
      <w:r w:rsidRPr="00E5362F">
        <w:rPr>
          <w:rFonts w:ascii="Helvetica" w:hAnsi="Helvetica" w:cs="Arial"/>
          <w:sz w:val="20"/>
          <w:szCs w:val="20"/>
        </w:rPr>
        <w:t xml:space="preserve"> signal (</w:t>
      </w:r>
      <w:r w:rsidRPr="00E5362F">
        <w:rPr>
          <w:rFonts w:ascii="Helvetica" w:hAnsi="Helvetica" w:cs="Arial"/>
          <w:i/>
          <w:sz w:val="20"/>
          <w:szCs w:val="20"/>
        </w:rPr>
        <w:t xml:space="preserve">g </w:t>
      </w:r>
      <w:r w:rsidRPr="00E5362F">
        <w:rPr>
          <w:rFonts w:ascii="Helvetica" w:hAnsi="Helvetica" w:cs="Arial"/>
          <w:sz w:val="20"/>
          <w:szCs w:val="20"/>
        </w:rPr>
        <w:t>= 1.94) (Bottom) 40 K (</w:t>
      </w:r>
      <w:proofErr w:type="gramStart"/>
      <w:r w:rsidRPr="00E5362F">
        <w:rPr>
          <w:rFonts w:ascii="Helvetica" w:hAnsi="Helvetica" w:cs="Arial"/>
          <w:sz w:val="20"/>
          <w:szCs w:val="20"/>
        </w:rPr>
        <w:t>+,+</w:t>
      </w:r>
      <w:proofErr w:type="gramEnd"/>
      <w:r w:rsidRPr="00E5362F">
        <w:rPr>
          <w:rFonts w:ascii="Helvetica" w:hAnsi="Helvetica" w:cs="Arial"/>
          <w:sz w:val="20"/>
          <w:szCs w:val="20"/>
        </w:rPr>
        <w:t xml:space="preserve">) quadrant of </w:t>
      </w:r>
      <w:r w:rsidRPr="00F84199">
        <w:rPr>
          <w:rFonts w:ascii="Helvetica" w:hAnsi="Helvetica" w:cs="Arial"/>
          <w:sz w:val="20"/>
          <w:szCs w:val="20"/>
        </w:rPr>
        <w:t xml:space="preserve">the </w:t>
      </w:r>
      <w:r w:rsidRPr="00F84199">
        <w:rPr>
          <w:rFonts w:ascii="Helvetica" w:hAnsi="Helvetica" w:cs="Arial"/>
          <w:i/>
          <w:sz w:val="20"/>
          <w:szCs w:val="20"/>
        </w:rPr>
        <w:t xml:space="preserve">g </w:t>
      </w:r>
      <w:r w:rsidRPr="00F84199">
        <w:rPr>
          <w:rFonts w:ascii="Helvetica" w:hAnsi="Helvetica" w:cs="Arial"/>
          <w:sz w:val="20"/>
          <w:szCs w:val="20"/>
        </w:rPr>
        <w:t>= 2.006 signal</w:t>
      </w:r>
      <w:r w:rsidRPr="00E5362F">
        <w:rPr>
          <w:rFonts w:ascii="Helvetica" w:hAnsi="Helvetica" w:cs="Arial"/>
          <w:sz w:val="20"/>
          <w:szCs w:val="20"/>
        </w:rPr>
        <w:t xml:space="preserve"> of carboxin inhibited SMPs with oxygen supplementation. HYSCORE measurement conditions as in Figure </w:t>
      </w:r>
      <w:r>
        <w:rPr>
          <w:rFonts w:ascii="Helvetica" w:hAnsi="Helvetica" w:cs="Arial"/>
          <w:sz w:val="20"/>
          <w:szCs w:val="20"/>
        </w:rPr>
        <w:t>7</w:t>
      </w:r>
      <w:r w:rsidRPr="00E5362F">
        <w:rPr>
          <w:rFonts w:ascii="Helvetica" w:hAnsi="Helvetica" w:cs="Arial"/>
          <w:sz w:val="20"/>
          <w:szCs w:val="20"/>
        </w:rPr>
        <w:t xml:space="preserve">. </w:t>
      </w:r>
    </w:p>
    <w:p w14:paraId="567F1599" w14:textId="45F6D27F" w:rsidR="000A1601" w:rsidRPr="00512CDD" w:rsidRDefault="000A1601" w:rsidP="00512CDD"/>
    <w:sectPr w:rsidR="000A1601" w:rsidRPr="00512CDD" w:rsidSect="002F15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752F"/>
    <w:multiLevelType w:val="hybridMultilevel"/>
    <w:tmpl w:val="9738BA4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50A"/>
    <w:multiLevelType w:val="hybridMultilevel"/>
    <w:tmpl w:val="9432B6F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E16EB"/>
    <w:multiLevelType w:val="hybridMultilevel"/>
    <w:tmpl w:val="961E804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C4FA2"/>
    <w:multiLevelType w:val="hybridMultilevel"/>
    <w:tmpl w:val="CB9E113E"/>
    <w:lvl w:ilvl="0" w:tplc="8030506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01A3E"/>
    <w:multiLevelType w:val="hybridMultilevel"/>
    <w:tmpl w:val="B67E911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50131"/>
    <w:multiLevelType w:val="hybridMultilevel"/>
    <w:tmpl w:val="7B2A79E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2587A"/>
    <w:multiLevelType w:val="hybridMultilevel"/>
    <w:tmpl w:val="12A8230A"/>
    <w:lvl w:ilvl="0" w:tplc="15E661E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B22FC"/>
    <w:multiLevelType w:val="hybridMultilevel"/>
    <w:tmpl w:val="0EEA6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91F91"/>
    <w:multiLevelType w:val="hybridMultilevel"/>
    <w:tmpl w:val="4B1283C0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01"/>
    <w:rsid w:val="000761E8"/>
    <w:rsid w:val="000A1601"/>
    <w:rsid w:val="000B17D6"/>
    <w:rsid w:val="00191B90"/>
    <w:rsid w:val="002F15BE"/>
    <w:rsid w:val="00512CDD"/>
    <w:rsid w:val="005D69B3"/>
    <w:rsid w:val="00942E24"/>
    <w:rsid w:val="00962062"/>
    <w:rsid w:val="00BF2704"/>
    <w:rsid w:val="00F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BC7E"/>
  <w15:chartTrackingRefBased/>
  <w15:docId w15:val="{B3E385C1-12EF-4547-B796-0E83A2C6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601"/>
    <w:pPr>
      <w:ind w:firstLine="720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6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9620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0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062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John.wright@mrc-mbu.cam.ac.uk</dc:creator>
  <cp:keywords/>
  <dc:description/>
  <cp:lastModifiedBy>Roessler, Maxie M</cp:lastModifiedBy>
  <cp:revision>5</cp:revision>
  <dcterms:created xsi:type="dcterms:W3CDTF">2020-02-05T19:36:00Z</dcterms:created>
  <dcterms:modified xsi:type="dcterms:W3CDTF">2020-03-10T16:22:00Z</dcterms:modified>
</cp:coreProperties>
</file>