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19911" w14:textId="0B60F567" w:rsidR="00645846" w:rsidRPr="00DC03E9" w:rsidRDefault="00296B42" w:rsidP="00D5158F">
      <w:pPr>
        <w:spacing w:after="0" w:line="240" w:lineRule="auto"/>
        <w:ind w:left="1080" w:hanging="1080"/>
        <w:rPr>
          <w:rFonts w:ascii="Arial" w:hAnsi="Arial" w:cs="Arial"/>
          <w:b/>
          <w:sz w:val="24"/>
          <w:szCs w:val="24"/>
        </w:rPr>
      </w:pPr>
      <w:r w:rsidRPr="00DC03E9">
        <w:rPr>
          <w:rFonts w:ascii="Arial" w:hAnsi="Arial" w:cs="Arial"/>
          <w:b/>
          <w:sz w:val="24"/>
          <w:szCs w:val="24"/>
        </w:rPr>
        <w:t>Table S1</w:t>
      </w:r>
      <w:r w:rsidR="00DC03E9" w:rsidRPr="00DC03E9">
        <w:rPr>
          <w:rFonts w:ascii="Arial" w:hAnsi="Arial" w:cs="Arial"/>
          <w:b/>
          <w:sz w:val="24"/>
          <w:szCs w:val="24"/>
        </w:rPr>
        <w:t>.</w:t>
      </w:r>
      <w:r w:rsidR="00F20C54" w:rsidRPr="00DC03E9">
        <w:rPr>
          <w:rFonts w:ascii="Arial" w:hAnsi="Arial" w:cs="Arial"/>
          <w:b/>
          <w:sz w:val="24"/>
          <w:szCs w:val="24"/>
        </w:rPr>
        <w:tab/>
        <w:t>Responses of mitochondrial surveillance pathway reporters to additional abiotic stressors</w:t>
      </w:r>
    </w:p>
    <w:tbl>
      <w:tblPr>
        <w:tblW w:w="90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760"/>
        <w:gridCol w:w="1440"/>
        <w:gridCol w:w="1440"/>
        <w:gridCol w:w="1440"/>
      </w:tblGrid>
      <w:tr w:rsidR="00296B42" w:rsidRPr="00296B42" w14:paraId="1E68CD13" w14:textId="77777777" w:rsidTr="0052633D">
        <w:tc>
          <w:tcPr>
            <w:tcW w:w="47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3A9FF49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Stressors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B372C2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ESRE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462AC7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6B42">
              <w:rPr>
                <w:rFonts w:ascii="Arial" w:hAnsi="Arial" w:cs="Arial"/>
                <w:sz w:val="24"/>
                <w:szCs w:val="24"/>
              </w:rPr>
              <w:t>UPR</w:t>
            </w:r>
            <w:r w:rsidRPr="00296B42">
              <w:rPr>
                <w:rFonts w:ascii="Arial" w:hAnsi="Arial" w:cs="Arial"/>
                <w:sz w:val="24"/>
                <w:szCs w:val="24"/>
                <w:vertAlign w:val="superscript"/>
              </w:rPr>
              <w:t>mt</w:t>
            </w:r>
            <w:proofErr w:type="spellEnd"/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E41E3C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MAPK</w:t>
            </w:r>
          </w:p>
        </w:tc>
      </w:tr>
      <w:tr w:rsidR="00296B42" w:rsidRPr="00296B42" w14:paraId="79B0CF5F" w14:textId="77777777" w:rsidTr="0052633D">
        <w:tc>
          <w:tcPr>
            <w:tcW w:w="47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900D3F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DMSO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58FE54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1D18D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7103F0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96B42" w:rsidRPr="00296B42" w14:paraId="642A3B78" w14:textId="77777777" w:rsidTr="0052633D"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1070C4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Ethanol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C2CF6C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C08E6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0E2EE7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96B42" w:rsidRPr="00296B42" w14:paraId="2EF89D7C" w14:textId="77777777" w:rsidTr="0052633D"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38457B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96B42">
              <w:rPr>
                <w:rFonts w:ascii="Arial" w:hAnsi="Arial" w:cs="Arial"/>
                <w:sz w:val="24"/>
                <w:szCs w:val="24"/>
              </w:rPr>
              <w:t>Phenanthroline</w:t>
            </w:r>
            <w:proofErr w:type="spellEnd"/>
            <w:r w:rsidRPr="00296B42">
              <w:rPr>
                <w:rFonts w:ascii="Arial" w:hAnsi="Arial" w:cs="Arial"/>
                <w:sz w:val="24"/>
                <w:szCs w:val="24"/>
              </w:rPr>
              <w:t xml:space="preserve"> (iron </w:t>
            </w:r>
            <w:proofErr w:type="spellStart"/>
            <w:r w:rsidRPr="00296B42">
              <w:rPr>
                <w:rFonts w:ascii="Arial" w:hAnsi="Arial" w:cs="Arial"/>
                <w:sz w:val="24"/>
                <w:szCs w:val="24"/>
              </w:rPr>
              <w:t>chelator</w:t>
            </w:r>
            <w:proofErr w:type="spellEnd"/>
            <w:r w:rsidRPr="00296B4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CE662F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33057E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6AC9B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296B42" w:rsidRPr="00296B42" w14:paraId="5A43D588" w14:textId="77777777" w:rsidTr="0052633D"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BE7C76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Na</w:t>
            </w:r>
            <w:r w:rsidRPr="00296B42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296B42">
              <w:rPr>
                <w:rFonts w:ascii="Arial" w:hAnsi="Arial" w:cs="Arial"/>
                <w:sz w:val="24"/>
                <w:szCs w:val="24"/>
              </w:rPr>
              <w:t>SeO</w:t>
            </w:r>
            <w:r w:rsidRPr="00296B42">
              <w:rPr>
                <w:rFonts w:ascii="Arial" w:hAnsi="Arial" w:cs="Arial"/>
                <w:sz w:val="24"/>
                <w:szCs w:val="24"/>
                <w:vertAlign w:val="subscript"/>
              </w:rPr>
              <w:t xml:space="preserve">3 </w:t>
            </w:r>
            <w:r w:rsidRPr="00296B42">
              <w:rPr>
                <w:rFonts w:ascii="Arial" w:hAnsi="Arial" w:cs="Arial"/>
                <w:sz w:val="24"/>
                <w:szCs w:val="24"/>
              </w:rPr>
              <w:t>(mitophagy activator)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B96940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07806F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D70767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+++</w:t>
            </w:r>
          </w:p>
        </w:tc>
      </w:tr>
      <w:tr w:rsidR="00296B42" w:rsidRPr="00296B42" w14:paraId="703B334B" w14:textId="77777777" w:rsidTr="0052633D">
        <w:tc>
          <w:tcPr>
            <w:tcW w:w="47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39772" w14:textId="77777777" w:rsidR="00296B42" w:rsidRPr="00296B42" w:rsidRDefault="00296B42" w:rsidP="00241A4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Heat shock 37°C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B5F6D6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CB447C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++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0F3398" w14:textId="77777777" w:rsidR="00296B42" w:rsidRPr="00296B42" w:rsidRDefault="00296B42" w:rsidP="00241A4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96B42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74F07506" w14:textId="77777777" w:rsidR="000C7660" w:rsidRDefault="000C7660" w:rsidP="000C7660">
      <w:pPr>
        <w:spacing w:after="0" w:line="240" w:lineRule="auto"/>
        <w:jc w:val="both"/>
        <w:rPr>
          <w:rFonts w:cs="Arial"/>
        </w:rPr>
      </w:pPr>
      <w:r w:rsidRPr="0022537D">
        <w:rPr>
          <w:rFonts w:cs="Arial"/>
          <w:bCs/>
        </w:rPr>
        <w:t>S</w:t>
      </w:r>
      <w:r>
        <w:rPr>
          <w:rFonts w:cs="Arial"/>
        </w:rPr>
        <w:t>ummary of the activation of mitochondrial surveillance pathways after treatment with a panel of insults, previously reported to activate ESRE. (-) indicates lack of response, plus (+), (++), or (+++) indicates weak, medium, or strong response, respectively. Three biological replicates with ~400 worms/replicate were analyzed. Responses were measured qualitatively.</w:t>
      </w:r>
    </w:p>
    <w:p w14:paraId="2A2BC5B9" w14:textId="4A9C9AEE" w:rsidR="00296B42" w:rsidRPr="002A5A9D" w:rsidRDefault="00296B42" w:rsidP="000C76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96B42" w:rsidRPr="002A5A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B42"/>
    <w:rsid w:val="000B29B8"/>
    <w:rsid w:val="000C7660"/>
    <w:rsid w:val="00241A4D"/>
    <w:rsid w:val="00296B42"/>
    <w:rsid w:val="002A5A9D"/>
    <w:rsid w:val="00486E1C"/>
    <w:rsid w:val="0052633D"/>
    <w:rsid w:val="00645846"/>
    <w:rsid w:val="008E02A8"/>
    <w:rsid w:val="00C22B92"/>
    <w:rsid w:val="00D5158F"/>
    <w:rsid w:val="00DC03E9"/>
    <w:rsid w:val="00F2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32FF0"/>
  <w15:chartTrackingRefBased/>
  <w15:docId w15:val="{D5FDD19D-56F2-4963-9FA1-B9E31DDC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6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2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540</Characters>
  <Application>Microsoft Office Word</Application>
  <DocSecurity>0</DocSecurity>
  <Lines>7</Lines>
  <Paragraphs>2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Elissa Tjahjono</dc:creator>
  <cp:keywords/>
  <dc:description/>
  <cp:lastModifiedBy>Natasha Kirienko</cp:lastModifiedBy>
  <cp:revision>12</cp:revision>
  <dcterms:created xsi:type="dcterms:W3CDTF">2019-12-02T17:21:00Z</dcterms:created>
  <dcterms:modified xsi:type="dcterms:W3CDTF">2019-12-05T20:11:00Z</dcterms:modified>
</cp:coreProperties>
</file>