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b/>
          <w:bCs/>
        </w:rPr>
        <w:t xml:space="preserve">Table </w:t>
      </w:r>
      <w:r>
        <w:rPr>
          <w:b/>
          <w:bCs/>
        </w:rPr>
        <w:t>S</w:t>
      </w:r>
      <w:r>
        <w:rPr>
          <w:b/>
          <w:bCs/>
        </w:rPr>
        <w:t>4</w:t>
      </w:r>
      <w:r>
        <w:rPr/>
        <w:t xml:space="preserve">. Patterns of effector presence/absence polymorphism in </w:t>
      </w:r>
      <w:r>
        <w:rPr>
          <w:i/>
          <w:iCs/>
        </w:rPr>
        <w:t>Magnaporthe oryzae</w:t>
      </w:r>
      <w:r>
        <w:rPr/>
        <w:t xml:space="preserve"> isolates</w:t>
      </w:r>
    </w:p>
    <w:p>
      <w:pPr>
        <w:pStyle w:val="Normal"/>
        <w:rPr/>
      </w:pPr>
      <w:r>
        <w:rPr/>
      </w:r>
    </w:p>
    <w:tbl>
      <w:tblPr>
        <w:tblStyle w:val="TableGrid"/>
        <w:tblW w:w="9020" w:type="dxa"/>
        <w:jc w:val="left"/>
        <w:tblInd w:w="0" w:type="dxa"/>
        <w:tblCellMar>
          <w:top w:w="0" w:type="dxa"/>
          <w:left w:w="11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996"/>
        <w:gridCol w:w="2329"/>
        <w:gridCol w:w="2071"/>
        <w:gridCol w:w="2623"/>
      </w:tblGrid>
      <w:tr>
        <w:trPr/>
        <w:tc>
          <w:tcPr>
            <w:tcW w:w="1996" w:type="dxa"/>
            <w:tcBorders>
              <w:left w:val="nil"/>
              <w:right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b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Pattern</w:t>
            </w:r>
          </w:p>
        </w:tc>
        <w:tc>
          <w:tcPr>
            <w:tcW w:w="2329" w:type="dxa"/>
            <w:tcBorders>
              <w:left w:val="nil"/>
              <w:right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b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Group showing presence</w:t>
            </w:r>
          </w:p>
        </w:tc>
        <w:tc>
          <w:tcPr>
            <w:tcW w:w="2071" w:type="dxa"/>
            <w:tcBorders>
              <w:left w:val="nil"/>
              <w:right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b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Group showing absence</w:t>
            </w:r>
          </w:p>
        </w:tc>
        <w:tc>
          <w:tcPr>
            <w:tcW w:w="2623" w:type="dxa"/>
            <w:tcBorders>
              <w:left w:val="nil"/>
              <w:right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b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Effector</w:t>
            </w:r>
          </w:p>
        </w:tc>
      </w:tr>
      <w:tr>
        <w:trPr/>
        <w:tc>
          <w:tcPr>
            <w:tcW w:w="19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Lineage/group specific</w:t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I, II, IV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III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TH16.00119491*</w:t>
            </w:r>
          </w:p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FR13.00013421.M*</w:t>
            </w:r>
          </w:p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Avr-Rmg8*</w:t>
            </w:r>
          </w:p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CD156.00121281*</w:t>
            </w:r>
          </w:p>
        </w:tc>
      </w:tr>
      <w:tr>
        <w:trPr/>
        <w:tc>
          <w:tcPr>
            <w:tcW w:w="19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I, II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III, IV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PWL3*</w:t>
            </w:r>
          </w:p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INA168.G3317*</w:t>
            </w:r>
          </w:p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FR13-00107561.M*</w:t>
            </w:r>
          </w:p>
        </w:tc>
      </w:tr>
      <w:tr>
        <w:trPr/>
        <w:tc>
          <w:tcPr>
            <w:tcW w:w="19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I, II, III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IV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FR13.00028961*</w:t>
            </w:r>
          </w:p>
        </w:tc>
      </w:tr>
      <w:tr>
        <w:trPr/>
        <w:tc>
          <w:tcPr>
            <w:tcW w:w="19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I, III, IV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II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GY11.00110071.M*</w:t>
            </w:r>
          </w:p>
        </w:tc>
      </w:tr>
      <w:tr>
        <w:trPr/>
        <w:tc>
          <w:tcPr>
            <w:tcW w:w="199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II, III, IV (with a few exceptions)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GY11.00199991*</w:t>
            </w:r>
          </w:p>
        </w:tc>
      </w:tr>
      <w:tr>
        <w:trPr/>
        <w:tc>
          <w:tcPr>
            <w:tcW w:w="1996" w:type="dxa"/>
            <w:tcBorders>
              <w:left w:val="nil"/>
              <w:right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Patchy distribution</w:t>
            </w:r>
          </w:p>
        </w:tc>
        <w:tc>
          <w:tcPr>
            <w:tcW w:w="2329" w:type="dxa"/>
            <w:tcBorders>
              <w:left w:val="nil"/>
              <w:right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Varies</w:t>
            </w:r>
          </w:p>
        </w:tc>
        <w:tc>
          <w:tcPr>
            <w:tcW w:w="2071" w:type="dxa"/>
            <w:tcBorders>
              <w:left w:val="nil"/>
              <w:right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Varies</w:t>
            </w:r>
          </w:p>
        </w:tc>
        <w:tc>
          <w:tcPr>
            <w:tcW w:w="2623" w:type="dxa"/>
            <w:tcBorders>
              <w:left w:val="nil"/>
              <w:right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Avr-Pia.M</w:t>
            </w:r>
          </w:p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Avr-Pii</w:t>
            </w:r>
          </w:p>
        </w:tc>
      </w:tr>
      <w:tr>
        <w:trPr/>
        <w:tc>
          <w:tcPr>
            <w:tcW w:w="1996" w:type="dxa"/>
            <w:tcBorders>
              <w:left w:val="nil"/>
              <w:right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Partial gene loss within a group</w:t>
            </w:r>
          </w:p>
        </w:tc>
        <w:tc>
          <w:tcPr>
            <w:tcW w:w="2329" w:type="dxa"/>
            <w:tcBorders>
              <w:left w:val="nil"/>
              <w:right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I, III, IV</w:t>
            </w:r>
          </w:p>
        </w:tc>
        <w:tc>
          <w:tcPr>
            <w:tcW w:w="2071" w:type="dxa"/>
            <w:tcBorders>
              <w:left w:val="nil"/>
              <w:right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II</w:t>
            </w:r>
          </w:p>
        </w:tc>
        <w:tc>
          <w:tcPr>
            <w:tcW w:w="2623" w:type="dxa"/>
            <w:tcBorders>
              <w:left w:val="nil"/>
              <w:right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PH14.00186401*</w:t>
            </w:r>
          </w:p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GY11.00094941.M</w:t>
            </w:r>
          </w:p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GY11.00121271.M*</w:t>
            </w:r>
          </w:p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INA168.G2457*</w:t>
            </w:r>
          </w:p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US71.00114911*</w:t>
            </w:r>
          </w:p>
        </w:tc>
      </w:tr>
      <w:tr>
        <w:trPr/>
        <w:tc>
          <w:tcPr>
            <w:tcW w:w="1996" w:type="dxa"/>
            <w:tcBorders>
              <w:left w:val="nil"/>
              <w:right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Near-complete gene loss across all groups</w:t>
            </w:r>
          </w:p>
        </w:tc>
        <w:tc>
          <w:tcPr>
            <w:tcW w:w="2329" w:type="dxa"/>
            <w:tcBorders>
              <w:left w:val="nil"/>
              <w:right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Varies</w:t>
            </w:r>
          </w:p>
        </w:tc>
        <w:tc>
          <w:tcPr>
            <w:tcW w:w="2071" w:type="dxa"/>
            <w:tcBorders>
              <w:left w:val="nil"/>
              <w:right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Varies</w:t>
            </w:r>
          </w:p>
        </w:tc>
        <w:tc>
          <w:tcPr>
            <w:tcW w:w="2623" w:type="dxa"/>
            <w:tcBorders>
              <w:left w:val="nil"/>
              <w:right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FR13.00109161</w:t>
            </w:r>
          </w:p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APikL1</w:t>
            </w:r>
          </w:p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CD156.00133411</w:t>
            </w:r>
          </w:p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Avr-CO39.M</w:t>
            </w:r>
          </w:p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BR32.00090231.M</w:t>
            </w:r>
          </w:p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BR29.00008131</w:t>
            </w:r>
          </w:p>
          <w:p>
            <w:pPr>
              <w:pStyle w:val="Normal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GFSI.G1776</w:t>
            </w:r>
          </w:p>
        </w:tc>
      </w:tr>
    </w:tbl>
    <w:p>
      <w:pPr>
        <w:pStyle w:val="Normal"/>
        <w:rPr/>
      </w:pPr>
      <w:r>
        <w:rPr>
          <w:sz w:val="16"/>
          <w:szCs w:val="16"/>
        </w:rPr>
        <w:t xml:space="preserve">*These are part of top 13 (as well as top 16) effectors used in </w:t>
      </w:r>
      <w:r>
        <w:rPr>
          <w:rFonts w:eastAsia="Times New Roman" w:cs="Arial"/>
          <w:color w:val="000000"/>
          <w:sz w:val="16"/>
          <w:szCs w:val="16"/>
          <w:lang w:eastAsia="en-GB"/>
        </w:rPr>
        <w:t xml:space="preserve">Fig. </w:t>
      </w:r>
      <w:r>
        <w:rPr>
          <w:rFonts w:eastAsia="Times New Roman" w:cs="Arial"/>
          <w:color w:val="000000"/>
          <w:sz w:val="16"/>
          <w:szCs w:val="16"/>
          <w:lang w:eastAsia="en-GB"/>
        </w:rPr>
        <w:t>S12</w:t>
      </w:r>
      <w:r>
        <w:rPr>
          <w:rFonts w:eastAsia="Times New Roman" w:cs="Arial"/>
          <w:color w:val="000000"/>
          <w:sz w:val="16"/>
          <w:szCs w:val="16"/>
          <w:lang w:eastAsia="en-GB"/>
        </w:rPr>
        <w:t>B-</w:t>
      </w:r>
      <w:r>
        <w:rPr>
          <w:rFonts w:eastAsia="Times New Roman" w:cs="Arial"/>
          <w:color w:val="000000"/>
          <w:sz w:val="16"/>
          <w:szCs w:val="16"/>
          <w:lang w:eastAsia="en-GB"/>
        </w:rPr>
        <w:t>C</w:t>
      </w:r>
      <w:r>
        <w:rPr>
          <w:rFonts w:eastAsia="Times New Roman" w:cs="Arial"/>
          <w:color w:val="000000"/>
          <w:sz w:val="16"/>
          <w:szCs w:val="16"/>
          <w:lang w:eastAsia="en-GB"/>
        </w:rPr>
        <w:t>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56"/>
  <w:mirrorMargins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4"/>
        <w:lang w:val="en-GB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5732f"/>
    <w:pPr>
      <w:widowControl/>
      <w:bidi w:val="0"/>
      <w:jc w:val="left"/>
    </w:pPr>
    <w:rPr>
      <w:rFonts w:ascii="Arial" w:hAnsi="Arial" w:eastAsia="" w:cs="Times New Roman (Body CS)" w:eastAsiaTheme="minorEastAsia"/>
      <w:color w:val="auto"/>
      <w:kern w:val="0"/>
      <w:sz w:val="24"/>
      <w:szCs w:val="24"/>
      <w:lang w:val="en-GB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5d78da"/>
    <w:rPr>
      <w:rFonts w:ascii="Times New Roman" w:hAnsi="Times New Roman" w:eastAsia="" w:cs="Times New Roman" w:eastAsiaTheme="minorEastAsia"/>
      <w:sz w:val="18"/>
      <w:szCs w:val="18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WenQuanYi Micro Hei" w:cs="Lohit Devanagari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5d78da"/>
    <w:pPr/>
    <w:rPr>
      <w:rFonts w:ascii="Times New Roman" w:hAnsi="Times New Roman" w:cs="Times New Roman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5f71a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Application>LibreOffice/6.0.7.3$Linux_X86_64 LibreOffice_project/00m0$Build-3</Application>
  <Pages>1</Pages>
  <Words>108</Words>
  <Characters>708</Characters>
  <CharactersWithSpaces>766</CharactersWithSpaces>
  <Paragraphs>50</Paragraphs>
  <Company>The Sainsbury Laboratory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2019-12-12T10:44:00Z</dcterms:created>
  <dc:creator>Joe</dc:creator>
  <dc:description/>
  <dc:language>en-US</dc:language>
  <cp:lastModifiedBy/>
  <cp:lastPrinted>2019-12-11T16:36:00Z</cp:lastPrinted>
  <dcterms:modified xsi:type="dcterms:W3CDTF">2020-06-14T14:15:47Z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The Sainsbury Laboratory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