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09C80" w14:textId="77777777" w:rsidR="006F0294" w:rsidRPr="00E035EF" w:rsidRDefault="006F0294" w:rsidP="006F0294">
      <w:pPr>
        <w:pStyle w:val="Bibliography"/>
        <w:rPr>
          <w:rFonts w:eastAsia="Times New Roman"/>
          <w:bCs/>
          <w:sz w:val="20"/>
          <w:szCs w:val="20"/>
        </w:rPr>
      </w:pPr>
      <w:r w:rsidRPr="00E035EF">
        <w:rPr>
          <w:b/>
          <w:sz w:val="20"/>
          <w:szCs w:val="20"/>
        </w:rPr>
        <w:t>Table S1</w:t>
      </w:r>
      <w:r w:rsidRPr="00E035EF">
        <w:rPr>
          <w:rFonts w:eastAsia="Times New Roman"/>
          <w:b/>
          <w:sz w:val="20"/>
          <w:szCs w:val="20"/>
        </w:rPr>
        <w:t xml:space="preserve">. </w:t>
      </w:r>
      <w:r w:rsidRPr="00E035EF">
        <w:rPr>
          <w:rFonts w:eastAsia="Times New Roman"/>
          <w:bCs/>
          <w:sz w:val="20"/>
          <w:szCs w:val="20"/>
        </w:rPr>
        <w:t>Antibody reagents used in this study</w:t>
      </w:r>
    </w:p>
    <w:tbl>
      <w:tblPr>
        <w:tblW w:w="0" w:type="auto"/>
        <w:tblLook w:val="04A0" w:firstRow="1" w:lastRow="0" w:firstColumn="1" w:lastColumn="0" w:noHBand="0" w:noVBand="1"/>
      </w:tblPr>
      <w:tblGrid>
        <w:gridCol w:w="1280"/>
        <w:gridCol w:w="2421"/>
        <w:gridCol w:w="1495"/>
        <w:gridCol w:w="2883"/>
        <w:gridCol w:w="1281"/>
      </w:tblGrid>
      <w:tr w:rsidR="006F0294" w:rsidRPr="00E035EF" w14:paraId="22F7A30B" w14:textId="77777777" w:rsidTr="00F82C7E">
        <w:trPr>
          <w:trHeight w:val="391"/>
        </w:trPr>
        <w:tc>
          <w:tcPr>
            <w:tcW w:w="0" w:type="auto"/>
            <w:tcBorders>
              <w:top w:val="single" w:sz="4" w:space="0" w:color="auto"/>
              <w:left w:val="nil"/>
              <w:bottom w:val="single" w:sz="4" w:space="0" w:color="auto"/>
              <w:right w:val="nil"/>
            </w:tcBorders>
            <w:shd w:val="clear" w:color="auto" w:fill="auto"/>
            <w:vAlign w:val="center"/>
            <w:hideMark/>
          </w:tcPr>
          <w:p w14:paraId="70F0C605" w14:textId="77777777" w:rsidR="006F0294" w:rsidRPr="00E035EF" w:rsidRDefault="006F0294" w:rsidP="00F82C7E">
            <w:pPr>
              <w:spacing w:line="240" w:lineRule="auto"/>
              <w:rPr>
                <w:rFonts w:eastAsia="Times New Roman"/>
                <w:b/>
                <w:bCs/>
                <w:color w:val="000000"/>
                <w:sz w:val="20"/>
                <w:szCs w:val="20"/>
              </w:rPr>
            </w:pPr>
            <w:r w:rsidRPr="00E035EF">
              <w:rPr>
                <w:rFonts w:eastAsia="Times New Roman"/>
                <w:b/>
                <w:bCs/>
                <w:color w:val="000000"/>
                <w:sz w:val="20"/>
                <w:szCs w:val="20"/>
              </w:rPr>
              <w:t>Target spp.</w:t>
            </w:r>
          </w:p>
        </w:tc>
        <w:tc>
          <w:tcPr>
            <w:tcW w:w="0" w:type="auto"/>
            <w:tcBorders>
              <w:top w:val="single" w:sz="4" w:space="0" w:color="auto"/>
              <w:left w:val="nil"/>
              <w:bottom w:val="single" w:sz="4" w:space="0" w:color="auto"/>
              <w:right w:val="nil"/>
            </w:tcBorders>
            <w:shd w:val="clear" w:color="auto" w:fill="auto"/>
            <w:vAlign w:val="center"/>
            <w:hideMark/>
          </w:tcPr>
          <w:p w14:paraId="5FE9A0D4" w14:textId="77777777" w:rsidR="006F0294" w:rsidRPr="00E035EF" w:rsidRDefault="006F0294" w:rsidP="00F82C7E">
            <w:pPr>
              <w:spacing w:line="240" w:lineRule="auto"/>
              <w:rPr>
                <w:rFonts w:eastAsia="Times New Roman"/>
                <w:b/>
                <w:bCs/>
                <w:color w:val="000000"/>
                <w:sz w:val="20"/>
                <w:szCs w:val="20"/>
              </w:rPr>
            </w:pPr>
            <w:r w:rsidRPr="00E035EF">
              <w:rPr>
                <w:rFonts w:eastAsia="Times New Roman"/>
                <w:b/>
                <w:bCs/>
                <w:color w:val="000000"/>
                <w:sz w:val="20"/>
                <w:szCs w:val="20"/>
              </w:rPr>
              <w:t>Antibody</w:t>
            </w:r>
          </w:p>
        </w:tc>
        <w:tc>
          <w:tcPr>
            <w:tcW w:w="0" w:type="auto"/>
            <w:tcBorders>
              <w:top w:val="single" w:sz="4" w:space="0" w:color="auto"/>
              <w:left w:val="nil"/>
              <w:bottom w:val="single" w:sz="4" w:space="0" w:color="auto"/>
              <w:right w:val="nil"/>
            </w:tcBorders>
            <w:shd w:val="clear" w:color="auto" w:fill="auto"/>
            <w:vAlign w:val="center"/>
            <w:hideMark/>
          </w:tcPr>
          <w:p w14:paraId="20CBDE54" w14:textId="77777777" w:rsidR="006F0294" w:rsidRPr="00E035EF" w:rsidRDefault="006F0294" w:rsidP="00F82C7E">
            <w:pPr>
              <w:spacing w:line="240" w:lineRule="auto"/>
              <w:rPr>
                <w:rFonts w:eastAsia="Times New Roman"/>
                <w:b/>
                <w:bCs/>
                <w:color w:val="000000"/>
                <w:sz w:val="20"/>
                <w:szCs w:val="20"/>
              </w:rPr>
            </w:pPr>
            <w:r w:rsidRPr="00E035EF">
              <w:rPr>
                <w:rFonts w:eastAsia="Times New Roman"/>
                <w:b/>
                <w:bCs/>
                <w:color w:val="000000"/>
                <w:sz w:val="20"/>
                <w:szCs w:val="20"/>
              </w:rPr>
              <w:t>Clone</w:t>
            </w:r>
          </w:p>
        </w:tc>
        <w:tc>
          <w:tcPr>
            <w:tcW w:w="0" w:type="auto"/>
            <w:tcBorders>
              <w:top w:val="single" w:sz="4" w:space="0" w:color="auto"/>
              <w:left w:val="nil"/>
              <w:bottom w:val="single" w:sz="4" w:space="0" w:color="auto"/>
              <w:right w:val="nil"/>
            </w:tcBorders>
            <w:shd w:val="clear" w:color="auto" w:fill="auto"/>
            <w:vAlign w:val="center"/>
            <w:hideMark/>
          </w:tcPr>
          <w:p w14:paraId="481CF2EA" w14:textId="77777777" w:rsidR="006F0294" w:rsidRPr="00E035EF" w:rsidRDefault="006F0294" w:rsidP="00F82C7E">
            <w:pPr>
              <w:spacing w:line="240" w:lineRule="auto"/>
              <w:rPr>
                <w:rFonts w:eastAsia="Times New Roman"/>
                <w:b/>
                <w:bCs/>
                <w:color w:val="000000"/>
                <w:sz w:val="20"/>
                <w:szCs w:val="20"/>
              </w:rPr>
            </w:pPr>
            <w:r w:rsidRPr="00E035EF">
              <w:rPr>
                <w:rFonts w:eastAsia="Times New Roman"/>
                <w:b/>
                <w:bCs/>
                <w:color w:val="000000"/>
                <w:sz w:val="20"/>
                <w:szCs w:val="20"/>
              </w:rPr>
              <w:t>Source</w:t>
            </w:r>
          </w:p>
        </w:tc>
        <w:tc>
          <w:tcPr>
            <w:tcW w:w="0" w:type="auto"/>
            <w:tcBorders>
              <w:top w:val="single" w:sz="4" w:space="0" w:color="auto"/>
              <w:left w:val="nil"/>
              <w:bottom w:val="single" w:sz="4" w:space="0" w:color="auto"/>
              <w:right w:val="nil"/>
            </w:tcBorders>
            <w:vAlign w:val="center"/>
          </w:tcPr>
          <w:p w14:paraId="199FCFE7" w14:textId="77777777" w:rsidR="006F0294" w:rsidRPr="00E035EF" w:rsidRDefault="006F0294" w:rsidP="00F82C7E">
            <w:pPr>
              <w:spacing w:line="240" w:lineRule="auto"/>
              <w:rPr>
                <w:rFonts w:eastAsia="Times New Roman"/>
                <w:b/>
                <w:bCs/>
                <w:color w:val="000000"/>
                <w:sz w:val="20"/>
                <w:szCs w:val="20"/>
              </w:rPr>
            </w:pPr>
            <w:r w:rsidRPr="00E035EF">
              <w:rPr>
                <w:rFonts w:eastAsia="Times New Roman"/>
                <w:b/>
                <w:bCs/>
                <w:color w:val="000000"/>
                <w:sz w:val="20"/>
                <w:szCs w:val="20"/>
              </w:rPr>
              <w:t>Reference</w:t>
            </w:r>
          </w:p>
        </w:tc>
      </w:tr>
      <w:tr w:rsidR="006F0294" w:rsidRPr="00E035EF" w14:paraId="08776F2D" w14:textId="77777777" w:rsidTr="00F82C7E">
        <w:trPr>
          <w:trHeight w:val="144"/>
        </w:trPr>
        <w:tc>
          <w:tcPr>
            <w:tcW w:w="0" w:type="auto"/>
            <w:tcBorders>
              <w:top w:val="nil"/>
              <w:left w:val="nil"/>
              <w:bottom w:val="nil"/>
              <w:right w:val="nil"/>
            </w:tcBorders>
            <w:shd w:val="clear" w:color="auto" w:fill="auto"/>
            <w:vAlign w:val="center"/>
            <w:hideMark/>
          </w:tcPr>
          <w:p w14:paraId="11369379"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Eq</w:t>
            </w:r>
            <w:proofErr w:type="spellEnd"/>
          </w:p>
        </w:tc>
        <w:tc>
          <w:tcPr>
            <w:tcW w:w="0" w:type="auto"/>
            <w:tcBorders>
              <w:top w:val="nil"/>
              <w:left w:val="nil"/>
              <w:bottom w:val="nil"/>
              <w:right w:val="nil"/>
            </w:tcBorders>
            <w:shd w:val="clear" w:color="auto" w:fill="auto"/>
            <w:vAlign w:val="center"/>
            <w:hideMark/>
          </w:tcPr>
          <w:p w14:paraId="75C43E74"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CD3-AF647</w:t>
            </w:r>
          </w:p>
        </w:tc>
        <w:tc>
          <w:tcPr>
            <w:tcW w:w="0" w:type="auto"/>
            <w:tcBorders>
              <w:top w:val="nil"/>
              <w:left w:val="nil"/>
              <w:bottom w:val="nil"/>
              <w:right w:val="nil"/>
            </w:tcBorders>
            <w:shd w:val="clear" w:color="auto" w:fill="auto"/>
            <w:vAlign w:val="center"/>
            <w:hideMark/>
          </w:tcPr>
          <w:p w14:paraId="049CDC82"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UC-F6G</w:t>
            </w:r>
          </w:p>
        </w:tc>
        <w:tc>
          <w:tcPr>
            <w:tcW w:w="0" w:type="auto"/>
            <w:tcBorders>
              <w:top w:val="nil"/>
              <w:left w:val="nil"/>
              <w:bottom w:val="nil"/>
              <w:right w:val="nil"/>
            </w:tcBorders>
            <w:shd w:val="clear" w:color="auto" w:fill="auto"/>
            <w:vAlign w:val="center"/>
            <w:hideMark/>
          </w:tcPr>
          <w:p w14:paraId="10C41E27"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UC Davis, Dr. Stott</w:t>
            </w:r>
          </w:p>
        </w:tc>
        <w:tc>
          <w:tcPr>
            <w:tcW w:w="0" w:type="auto"/>
            <w:tcBorders>
              <w:top w:val="nil"/>
              <w:left w:val="nil"/>
              <w:bottom w:val="nil"/>
              <w:right w:val="nil"/>
            </w:tcBorders>
            <w:vAlign w:val="center"/>
          </w:tcPr>
          <w:p w14:paraId="4EC5771D"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fldChar w:fldCharType="begin"/>
            </w:r>
            <w:r>
              <w:rPr>
                <w:rFonts w:eastAsia="Times New Roman"/>
                <w:color w:val="000000"/>
                <w:sz w:val="20"/>
                <w:szCs w:val="20"/>
              </w:rPr>
              <w:instrText xml:space="preserve"> ADDIN ZOTERO_ITEM CSL_CITATION {"citationID":"lKM1IPNU","properties":{"formattedCitation":"[18, 94, 95]","plainCitation":"[18, 94, 95]","noteIndex":0},"citationItems":[{"id":24937,"uris":["http://zotero.org/users/5020141/items/P6PZILEA"],"uri":["http://zotero.org/users/5020141/items/P6PZILEA"],"itemData":{"id":24937,"type":"article-journal","container-title":"Veterinary Immunology and Immunopathology","DOI":"10.1016/j.vetimm.2018.03.010","ISSN":"01652427","journalAbbreviation":"Veterinary Immunology and Immunopathology","language":"en","page":"22-31","source":"DOI.org (Crossref)","title":"Multispectral fluorescence-activated cell sorting of B and T cell subpopulations from equine peripheral blood","volume":"199","author":[{"family":"Tomlinson","given":"Joy E."},{"family":"Wagner","given":"Bettina"},{"family":"Felippe","given":"M. Julia B."},{"family":"Van de Walle","given":"Gerlinde R."}],"issued":{"date-parts":[["2018",5]]}}},{"id":25556,"uris":["http://zotero.org/users/5020141/items/SX6DK8X3"],"uri":["http://zotero.org/users/5020141/items/SX6DK8X3"],"itemData":{"id":25556,"type":"article-journal","abstract":"Two monoclonal antibodies (mAb), UC F6G-3 and UC F13C-5, were characterized as being specific for the apparent equine homologues of CD3 and CD5, respectively. Both antibodies exhibited characteristics of pan-T-lymphocyte markers based upon immunohistology and two-colour flow cytometry. UC F6G-3 precipitated a complex of proteins (up to seven) with molecular weights ranging from 18,000 to 42,000, similar to the human and murine CD3 complex. Upon further dissociation of the precipitated complex, two proteins were identified with molecular weights of 22,000 and 27,000. Immobilized UC F6G-3 was effective at inducing interleukin-2 receptor (IL-2R) expression on T lymphocytes, a feature consistent with antibodies specific for the epsilon chain of human and murine CD3. Three populations of cells in the thymus were distinguishable by UC F6G-3 target antigen density, suggesting increasing stages of T-cell maturation. UC F13C-5 precipitated a 67,000 MW protein, consistent with reported values for CD5 in multiple species. While this antibody exhibited characteristics of a pan-T-cell marker, low numbers of B lymphocytes also expressed the target antigen. Phorbol esters induced variable increases in target antigen density on B lymphocytes. These two antibodies, taken together with the few equine CD markers currently available, represent a substantial resource for further defining the equine immune system in health and disease.","container-title":"Immunology","ISSN":"0019-2805","issue":"4","journalAbbreviation":"Immunology","language":"eng","note":"PMID: 7530685\nPMCID: PMC1414917","page":"548-554","source":"PubMed","title":"Characterization of monoclonal antibodies specific for equine homologues of CD3 and CD5","volume":"82","author":[{"family":"Blanchard-Channell","given":"M."},{"family":"Moore","given":"P. F."},{"family":"Stott","given":"J. L."}],"issued":{"date-parts":[["1994",8]]}}},{"id":24932,"uris":["http://zotero.org/users/5020141/items/RQG3RHSP"],"uri":["http://zotero.org/users/5020141/items/RQG3RHSP"],"itemData":{"id":24932,"type":"article-journal","container-title":"Veterinary Immunology and Immunopathology","DOI":"10.1016/S0165-2427(97)00160-8","ISSN":"01652427","issue":"2","journalAbbreviation":"Veterinary Immunology and Immunopathology","language":"en","page":"101-143","source":"DOI.org (Crossref)","title":"Report of the Second Equine Leucocyte Antigen Workshop, Squaw Valley, California, July 1995","volume":"62","author":[{"family":"Lunn","given":"D.P"},{"family":"Holmes","given":"M.A"},{"family":"Antczak","given":"D.F"},{"family":"Agerwal","given":"N"},{"family":"Baker","given":"Jessica"},{"family":"Bendali-Ahcene","given":"S"},{"family":"Blanchard-Channell","given":"Myra"},{"family":"Byrne","given":"Katherine M"},{"family":"Cannizzo","given":"Karen"},{"family":"Davis","given":"W"},{"family":"Hamilton","given":"Mary Jo"},{"family":"Hannant","given":"D"},{"family":"Kondo","given":"T"},{"family":"Kydd","given":"Julia H"},{"family":"Monier","given":"M.C"},{"family":"Moore","given":"P.F"},{"family":"O'Neil","given":"T"},{"family":"Schram","given":"B.R"},{"family":"Sheoran","given":"A"},{"family":"Stott","given":"J.L"},{"family":"Sugiura","given":"T"},{"family":"Vagnoni","given":"Karen E"}],"issued":{"date-parts":[["1998",3]]}}}],"schema":"https://github.com/citation-style-language/schema/raw/master/csl-citation.json"} </w:instrText>
            </w:r>
            <w:r w:rsidRPr="00E035EF">
              <w:rPr>
                <w:rFonts w:eastAsia="Times New Roman"/>
                <w:color w:val="000000"/>
                <w:sz w:val="20"/>
                <w:szCs w:val="20"/>
              </w:rPr>
              <w:fldChar w:fldCharType="separate"/>
            </w:r>
            <w:r>
              <w:rPr>
                <w:color w:val="000000"/>
                <w:sz w:val="20"/>
              </w:rPr>
              <w:t>[18, 94, 95]</w:t>
            </w:r>
            <w:r w:rsidRPr="00E035EF">
              <w:rPr>
                <w:rFonts w:eastAsia="Times New Roman"/>
                <w:color w:val="000000"/>
                <w:sz w:val="20"/>
                <w:szCs w:val="20"/>
              </w:rPr>
              <w:fldChar w:fldCharType="end"/>
            </w:r>
          </w:p>
        </w:tc>
      </w:tr>
      <w:tr w:rsidR="006F0294" w:rsidRPr="00E035EF" w14:paraId="652CBA53" w14:textId="77777777" w:rsidTr="00F82C7E">
        <w:trPr>
          <w:trHeight w:val="144"/>
        </w:trPr>
        <w:tc>
          <w:tcPr>
            <w:tcW w:w="0" w:type="auto"/>
            <w:tcBorders>
              <w:top w:val="nil"/>
              <w:left w:val="nil"/>
              <w:bottom w:val="nil"/>
              <w:right w:val="nil"/>
            </w:tcBorders>
            <w:shd w:val="clear" w:color="auto" w:fill="auto"/>
            <w:vAlign w:val="center"/>
            <w:hideMark/>
          </w:tcPr>
          <w:p w14:paraId="68F0CA71"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Eq</w:t>
            </w:r>
            <w:proofErr w:type="spellEnd"/>
          </w:p>
        </w:tc>
        <w:tc>
          <w:tcPr>
            <w:tcW w:w="0" w:type="auto"/>
            <w:tcBorders>
              <w:top w:val="nil"/>
              <w:left w:val="nil"/>
              <w:bottom w:val="nil"/>
              <w:right w:val="nil"/>
            </w:tcBorders>
            <w:shd w:val="clear" w:color="auto" w:fill="auto"/>
            <w:vAlign w:val="center"/>
            <w:hideMark/>
          </w:tcPr>
          <w:p w14:paraId="78933A9F"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CD4-FITC</w:t>
            </w:r>
          </w:p>
        </w:tc>
        <w:tc>
          <w:tcPr>
            <w:tcW w:w="0" w:type="auto"/>
            <w:tcBorders>
              <w:top w:val="nil"/>
              <w:left w:val="nil"/>
              <w:bottom w:val="nil"/>
              <w:right w:val="nil"/>
            </w:tcBorders>
            <w:shd w:val="clear" w:color="auto" w:fill="auto"/>
            <w:vAlign w:val="center"/>
            <w:hideMark/>
          </w:tcPr>
          <w:p w14:paraId="433CE357"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CVS4</w:t>
            </w:r>
          </w:p>
        </w:tc>
        <w:tc>
          <w:tcPr>
            <w:tcW w:w="0" w:type="auto"/>
            <w:tcBorders>
              <w:top w:val="nil"/>
              <w:left w:val="nil"/>
              <w:bottom w:val="nil"/>
              <w:right w:val="nil"/>
            </w:tcBorders>
            <w:shd w:val="clear" w:color="auto" w:fill="auto"/>
            <w:vAlign w:val="center"/>
            <w:hideMark/>
          </w:tcPr>
          <w:p w14:paraId="11EA6AEF"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Bio Rad Antibodies</w:t>
            </w:r>
          </w:p>
        </w:tc>
        <w:tc>
          <w:tcPr>
            <w:tcW w:w="0" w:type="auto"/>
            <w:tcBorders>
              <w:top w:val="nil"/>
              <w:left w:val="nil"/>
              <w:bottom w:val="nil"/>
              <w:right w:val="nil"/>
            </w:tcBorders>
            <w:vAlign w:val="center"/>
          </w:tcPr>
          <w:p w14:paraId="6914FCA2"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fldChar w:fldCharType="begin"/>
            </w:r>
            <w:r>
              <w:rPr>
                <w:rFonts w:eastAsia="Times New Roman"/>
                <w:color w:val="000000"/>
                <w:sz w:val="20"/>
                <w:szCs w:val="20"/>
              </w:rPr>
              <w:instrText xml:space="preserve"> ADDIN ZOTERO_ITEM CSL_CITATION {"citationID":"4ylmr8j1","properties":{"formattedCitation":"[18, 96]","plainCitation":"[18, 96]","noteIndex":0},"citationItems":[{"id":24937,"uris":["http://zotero.org/users/5020141/items/P6PZILEA"],"uri":["http://zotero.org/users/5020141/items/P6PZILEA"],"itemData":{"id":24937,"type":"article-journal","container-title":"Veterinary Immunology and Immunopathology","DOI":"10.1016/j.vetimm.2018.03.010","ISSN":"01652427","journalAbbreviation":"Veterinary Immunology and Immunopathology","language":"en","page":"22-31","source":"DOI.org (Crossref)","title":"Multispectral fluorescence-activated cell sorting of B and T cell subpopulations from equine peripheral blood","volume":"199","author":[{"family":"Tomlinson","given":"Joy E."},{"family":"Wagner","given":"Bettina"},{"family":"Felippe","given":"M. Julia B."},{"family":"Van de Walle","given":"Gerlinde R."}],"issued":{"date-parts":[["2018",5]]}}},{"id":25555,"uris":["http://zotero.org/users/5020141/items/H2FZEA96"],"uri":["http://zotero.org/users/5020141/items/H2FZEA96"],"itemData":{"id":25555,"type":"article-journal","abstract":"The aim of this study was to produce monoclonal antibodies (mAb) recognizing equine lymphocyte surface antigens. Fusions were conducted using BALB/c mice hyperimmunized with equine thymocytes. Hybridoma supernatants were screened by flow cytometry and positive hybridomas were cloned twice by limiting dilution. These mAb were then characterized for tissue distribution by immunohistology and flow cytometry, and by precipitation and analysis of the lymphocyte antigens which they recognized. Three mAb (CVS5, CVS4 and CVS8) are described which recognize only T lymphocytes in peripheral blood. Two-colour immunofluorescent studies showed that CVS5 recognized all T lymphocytes and that CVS4 and CVS8 recognized two mutually exclusive subsets of CVS5-positive cells. In the thymus there was a large population of CVS4/CVS8 double-positive cells. Immunohistochemical staining with these mAb was restricted to T-lymphocyte areas. CVS4 and CVS5 precipitated molecules of 58,000 and 69,000 MW, respectively, in both reducing and non-reducing conditions. CVS8 precipitated two molecules of 32,000 and 39,000 MW in reducing conditions, and one molecule of 69,000 MW in non-reducing conditions. This evidence suggests that CVS5, CVS4 and CVS8 recognize the equine homologues of CD5, CD4 and CD8, and that the characteristics of these antigens are similar to those of other species.","container-title":"Immunology","ISSN":"0019-2805","issue":"2","journalAbbreviation":"Immunology","language":"eng","note":"PMID: 1748472\nPMCID: PMC1384601","page":"251-257","source":"PubMed","title":"Three monoclonal antibodies identifying antigens on all equine T lymphocytes, and two mutually exclusive T-lymphocyte subsets","volume":"74","author":[{"family":"Lunn","given":"D. P."},{"family":"Holmes","given":"M. A."},{"family":"Duffus","given":"W. P."}],"issued":{"date-parts":[["1991",10]]}}}],"schema":"https://github.com/citation-style-language/schema/raw/master/csl-citation.json"} </w:instrText>
            </w:r>
            <w:r w:rsidRPr="00E035EF">
              <w:rPr>
                <w:rFonts w:eastAsia="Times New Roman"/>
                <w:color w:val="000000"/>
                <w:sz w:val="20"/>
                <w:szCs w:val="20"/>
              </w:rPr>
              <w:fldChar w:fldCharType="separate"/>
            </w:r>
            <w:r>
              <w:rPr>
                <w:rFonts w:eastAsia="Times New Roman"/>
                <w:noProof/>
                <w:color w:val="000000"/>
                <w:sz w:val="20"/>
                <w:szCs w:val="20"/>
              </w:rPr>
              <w:t>[18, 96]</w:t>
            </w:r>
            <w:r w:rsidRPr="00E035EF">
              <w:rPr>
                <w:rFonts w:eastAsia="Times New Roman"/>
                <w:color w:val="000000"/>
                <w:sz w:val="20"/>
                <w:szCs w:val="20"/>
              </w:rPr>
              <w:fldChar w:fldCharType="end"/>
            </w:r>
          </w:p>
        </w:tc>
      </w:tr>
      <w:tr w:rsidR="006F0294" w:rsidRPr="00E035EF" w14:paraId="0FC80BE3" w14:textId="77777777" w:rsidTr="00F82C7E">
        <w:trPr>
          <w:trHeight w:val="144"/>
        </w:trPr>
        <w:tc>
          <w:tcPr>
            <w:tcW w:w="0" w:type="auto"/>
            <w:tcBorders>
              <w:top w:val="nil"/>
              <w:left w:val="nil"/>
              <w:bottom w:val="nil"/>
              <w:right w:val="nil"/>
            </w:tcBorders>
            <w:shd w:val="clear" w:color="auto" w:fill="auto"/>
            <w:vAlign w:val="center"/>
            <w:hideMark/>
          </w:tcPr>
          <w:p w14:paraId="7FF4FC6F"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Eq</w:t>
            </w:r>
            <w:proofErr w:type="spellEnd"/>
          </w:p>
        </w:tc>
        <w:tc>
          <w:tcPr>
            <w:tcW w:w="0" w:type="auto"/>
            <w:tcBorders>
              <w:top w:val="nil"/>
              <w:left w:val="nil"/>
              <w:bottom w:val="nil"/>
              <w:right w:val="nil"/>
            </w:tcBorders>
            <w:shd w:val="clear" w:color="auto" w:fill="auto"/>
            <w:vAlign w:val="center"/>
            <w:hideMark/>
          </w:tcPr>
          <w:p w14:paraId="748518F2"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CD8-RPE</w:t>
            </w:r>
          </w:p>
        </w:tc>
        <w:tc>
          <w:tcPr>
            <w:tcW w:w="0" w:type="auto"/>
            <w:tcBorders>
              <w:top w:val="nil"/>
              <w:left w:val="nil"/>
              <w:bottom w:val="nil"/>
              <w:right w:val="nil"/>
            </w:tcBorders>
            <w:shd w:val="clear" w:color="auto" w:fill="auto"/>
            <w:vAlign w:val="center"/>
            <w:hideMark/>
          </w:tcPr>
          <w:p w14:paraId="311AE809"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CVS8</w:t>
            </w:r>
          </w:p>
        </w:tc>
        <w:tc>
          <w:tcPr>
            <w:tcW w:w="0" w:type="auto"/>
            <w:tcBorders>
              <w:top w:val="nil"/>
              <w:left w:val="nil"/>
              <w:bottom w:val="nil"/>
              <w:right w:val="nil"/>
            </w:tcBorders>
            <w:shd w:val="clear" w:color="auto" w:fill="auto"/>
            <w:vAlign w:val="center"/>
            <w:hideMark/>
          </w:tcPr>
          <w:p w14:paraId="70447F4D"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Bio Rad Antibodies</w:t>
            </w:r>
          </w:p>
        </w:tc>
        <w:tc>
          <w:tcPr>
            <w:tcW w:w="0" w:type="auto"/>
            <w:tcBorders>
              <w:top w:val="nil"/>
              <w:left w:val="nil"/>
              <w:bottom w:val="nil"/>
              <w:right w:val="nil"/>
            </w:tcBorders>
            <w:vAlign w:val="center"/>
          </w:tcPr>
          <w:p w14:paraId="0ED4AB9B"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fldChar w:fldCharType="begin"/>
            </w:r>
            <w:r>
              <w:rPr>
                <w:rFonts w:eastAsia="Times New Roman"/>
                <w:color w:val="000000"/>
                <w:sz w:val="20"/>
                <w:szCs w:val="20"/>
              </w:rPr>
              <w:instrText xml:space="preserve"> ADDIN ZOTERO_ITEM CSL_CITATION {"citationID":"KB4LC88r","properties":{"formattedCitation":"[18, 96]","plainCitation":"[18, 96]","noteIndex":0},"citationItems":[{"id":24937,"uris":["http://zotero.org/users/5020141/items/P6PZILEA"],"uri":["http://zotero.org/users/5020141/items/P6PZILEA"],"itemData":{"id":24937,"type":"article-journal","container-title":"Veterinary Immunology and Immunopathology","DOI":"10.1016/j.vetimm.2018.03.010","ISSN":"01652427","journalAbbreviation":"Veterinary Immunology and Immunopathology","language":"en","page":"22-31","source":"DOI.org (Crossref)","title":"Multispectral fluorescence-activated cell sorting of B and T cell subpopulations from equine peripheral blood","volume":"199","author":[{"family":"Tomlinson","given":"Joy E."},{"family":"Wagner","given":"Bettina"},{"family":"Felippe","given":"M. Julia B."},{"family":"Van de Walle","given":"Gerlinde R."}],"issued":{"date-parts":[["2018",5]]}}},{"id":25555,"uris":["http://zotero.org/users/5020141/items/H2FZEA96"],"uri":["http://zotero.org/users/5020141/items/H2FZEA96"],"itemData":{"id":25555,"type":"article-journal","abstract":"The aim of this study was to produce monoclonal antibodies (mAb) recognizing equine lymphocyte surface antigens. Fusions were conducted using BALB/c mice hyperimmunized with equine thymocytes. Hybridoma supernatants were screened by flow cytometry and positive hybridomas were cloned twice by limiting dilution. These mAb were then characterized for tissue distribution by immunohistology and flow cytometry, and by precipitation and analysis of the lymphocyte antigens which they recognized. Three mAb (CVS5, CVS4 and CVS8) are described which recognize only T lymphocytes in peripheral blood. Two-colour immunofluorescent studies showed that CVS5 recognized all T lymphocytes and that CVS4 and CVS8 recognized two mutually exclusive subsets of CVS5-positive cells. In the thymus there was a large population of CVS4/CVS8 double-positive cells. Immunohistochemical staining with these mAb was restricted to T-lymphocyte areas. CVS4 and CVS5 precipitated molecules of 58,000 and 69,000 MW, respectively, in both reducing and non-reducing conditions. CVS8 precipitated two molecules of 32,000 and 39,000 MW in reducing conditions, and one molecule of 69,000 MW in non-reducing conditions. This evidence suggests that CVS5, CVS4 and CVS8 recognize the equine homologues of CD5, CD4 and CD8, and that the characteristics of these antigens are similar to those of other species.","container-title":"Immunology","ISSN":"0019-2805","issue":"2","journalAbbreviation":"Immunology","language":"eng","note":"PMID: 1748472\nPMCID: PMC1384601","page":"251-257","source":"PubMed","title":"Three monoclonal antibodies identifying antigens on all equine T lymphocytes, and two mutually exclusive T-lymphocyte subsets","volume":"74","author":[{"family":"Lunn","given":"D. P."},{"family":"Holmes","given":"M. A."},{"family":"Duffus","given":"W. P."}],"issued":{"date-parts":[["1991",10]]}}}],"schema":"https://github.com/citation-style-language/schema/raw/master/csl-citation.json"} </w:instrText>
            </w:r>
            <w:r w:rsidRPr="00E035EF">
              <w:rPr>
                <w:rFonts w:eastAsia="Times New Roman"/>
                <w:color w:val="000000"/>
                <w:sz w:val="20"/>
                <w:szCs w:val="20"/>
              </w:rPr>
              <w:fldChar w:fldCharType="separate"/>
            </w:r>
            <w:r>
              <w:rPr>
                <w:rFonts w:eastAsia="Times New Roman"/>
                <w:noProof/>
                <w:color w:val="000000"/>
                <w:sz w:val="20"/>
                <w:szCs w:val="20"/>
              </w:rPr>
              <w:t>[18, 96]</w:t>
            </w:r>
            <w:r w:rsidRPr="00E035EF">
              <w:rPr>
                <w:rFonts w:eastAsia="Times New Roman"/>
                <w:color w:val="000000"/>
                <w:sz w:val="20"/>
                <w:szCs w:val="20"/>
              </w:rPr>
              <w:fldChar w:fldCharType="end"/>
            </w:r>
          </w:p>
        </w:tc>
      </w:tr>
      <w:tr w:rsidR="006F0294" w:rsidRPr="00E035EF" w14:paraId="4C339605" w14:textId="77777777" w:rsidTr="00F82C7E">
        <w:trPr>
          <w:trHeight w:val="144"/>
        </w:trPr>
        <w:tc>
          <w:tcPr>
            <w:tcW w:w="0" w:type="auto"/>
            <w:tcBorders>
              <w:top w:val="nil"/>
              <w:left w:val="nil"/>
              <w:bottom w:val="nil"/>
              <w:right w:val="nil"/>
            </w:tcBorders>
            <w:shd w:val="clear" w:color="auto" w:fill="auto"/>
            <w:vAlign w:val="center"/>
            <w:hideMark/>
          </w:tcPr>
          <w:p w14:paraId="087CCE3F"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Hu</w:t>
            </w:r>
          </w:p>
        </w:tc>
        <w:tc>
          <w:tcPr>
            <w:tcW w:w="0" w:type="auto"/>
            <w:tcBorders>
              <w:top w:val="nil"/>
              <w:left w:val="nil"/>
              <w:bottom w:val="nil"/>
              <w:right w:val="nil"/>
            </w:tcBorders>
            <w:shd w:val="clear" w:color="auto" w:fill="auto"/>
            <w:vAlign w:val="center"/>
            <w:hideMark/>
          </w:tcPr>
          <w:p w14:paraId="37010501"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Ki67-PECy7</w:t>
            </w:r>
          </w:p>
        </w:tc>
        <w:tc>
          <w:tcPr>
            <w:tcW w:w="0" w:type="auto"/>
            <w:tcBorders>
              <w:top w:val="nil"/>
              <w:left w:val="nil"/>
              <w:bottom w:val="nil"/>
              <w:right w:val="nil"/>
            </w:tcBorders>
            <w:shd w:val="clear" w:color="auto" w:fill="auto"/>
            <w:vAlign w:val="center"/>
            <w:hideMark/>
          </w:tcPr>
          <w:p w14:paraId="3D29C118"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B56</w:t>
            </w:r>
          </w:p>
        </w:tc>
        <w:tc>
          <w:tcPr>
            <w:tcW w:w="0" w:type="auto"/>
            <w:tcBorders>
              <w:top w:val="nil"/>
              <w:left w:val="nil"/>
              <w:bottom w:val="nil"/>
              <w:right w:val="nil"/>
            </w:tcBorders>
            <w:shd w:val="clear" w:color="auto" w:fill="auto"/>
            <w:vAlign w:val="center"/>
            <w:hideMark/>
          </w:tcPr>
          <w:p w14:paraId="05E1855F"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BD Biosciences</w:t>
            </w:r>
          </w:p>
        </w:tc>
        <w:tc>
          <w:tcPr>
            <w:tcW w:w="0" w:type="auto"/>
            <w:tcBorders>
              <w:top w:val="nil"/>
              <w:left w:val="nil"/>
              <w:bottom w:val="nil"/>
              <w:right w:val="nil"/>
            </w:tcBorders>
            <w:vAlign w:val="center"/>
          </w:tcPr>
          <w:p w14:paraId="37C64436"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This study*</w:t>
            </w:r>
          </w:p>
        </w:tc>
      </w:tr>
      <w:tr w:rsidR="006F0294" w:rsidRPr="00E035EF" w14:paraId="3DAFF10E" w14:textId="77777777" w:rsidTr="00F82C7E">
        <w:trPr>
          <w:trHeight w:val="144"/>
        </w:trPr>
        <w:tc>
          <w:tcPr>
            <w:tcW w:w="0" w:type="auto"/>
            <w:tcBorders>
              <w:top w:val="nil"/>
              <w:left w:val="nil"/>
              <w:bottom w:val="nil"/>
              <w:right w:val="nil"/>
            </w:tcBorders>
            <w:shd w:val="clear" w:color="auto" w:fill="auto"/>
            <w:vAlign w:val="center"/>
            <w:hideMark/>
          </w:tcPr>
          <w:p w14:paraId="720F25D0"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Eq</w:t>
            </w:r>
            <w:proofErr w:type="spellEnd"/>
          </w:p>
        </w:tc>
        <w:tc>
          <w:tcPr>
            <w:tcW w:w="0" w:type="auto"/>
            <w:tcBorders>
              <w:top w:val="nil"/>
              <w:left w:val="nil"/>
              <w:bottom w:val="nil"/>
              <w:right w:val="nil"/>
            </w:tcBorders>
            <w:shd w:val="clear" w:color="auto" w:fill="auto"/>
            <w:vAlign w:val="center"/>
            <w:hideMark/>
          </w:tcPr>
          <w:p w14:paraId="4A2AA143"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Pan B-cells-RPE</w:t>
            </w:r>
          </w:p>
        </w:tc>
        <w:tc>
          <w:tcPr>
            <w:tcW w:w="0" w:type="auto"/>
            <w:tcBorders>
              <w:top w:val="nil"/>
              <w:left w:val="nil"/>
              <w:bottom w:val="nil"/>
              <w:right w:val="nil"/>
            </w:tcBorders>
            <w:shd w:val="clear" w:color="auto" w:fill="auto"/>
            <w:vAlign w:val="center"/>
            <w:hideMark/>
          </w:tcPr>
          <w:p w14:paraId="60795530"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CVS36</w:t>
            </w:r>
          </w:p>
        </w:tc>
        <w:tc>
          <w:tcPr>
            <w:tcW w:w="0" w:type="auto"/>
            <w:tcBorders>
              <w:top w:val="nil"/>
              <w:left w:val="nil"/>
              <w:bottom w:val="nil"/>
              <w:right w:val="nil"/>
            </w:tcBorders>
            <w:shd w:val="clear" w:color="auto" w:fill="auto"/>
            <w:vAlign w:val="center"/>
            <w:hideMark/>
          </w:tcPr>
          <w:p w14:paraId="29C60814"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Bio Rad Antibodies</w:t>
            </w:r>
          </w:p>
        </w:tc>
        <w:tc>
          <w:tcPr>
            <w:tcW w:w="0" w:type="auto"/>
            <w:tcBorders>
              <w:top w:val="nil"/>
              <w:left w:val="nil"/>
              <w:bottom w:val="nil"/>
              <w:right w:val="nil"/>
            </w:tcBorders>
            <w:vAlign w:val="center"/>
          </w:tcPr>
          <w:p w14:paraId="2D30A17D"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fldChar w:fldCharType="begin"/>
            </w:r>
            <w:r>
              <w:rPr>
                <w:rFonts w:eastAsia="Times New Roman"/>
                <w:color w:val="000000"/>
                <w:sz w:val="20"/>
                <w:szCs w:val="20"/>
              </w:rPr>
              <w:instrText xml:space="preserve"> ADDIN ZOTERO_ITEM CSL_CITATION {"citationID":"AyOJg2Ii","properties":{"formattedCitation":"[18, 95]","plainCitation":"[18, 95]","noteIndex":0},"citationItems":[{"id":24937,"uris":["http://zotero.org/users/5020141/items/P6PZILEA"],"uri":["http://zotero.org/users/5020141/items/P6PZILEA"],"itemData":{"id":24937,"type":"article-journal","container-title":"Veterinary Immunology and Immunopathology","DOI":"10.1016/j.vetimm.2018.03.010","ISSN":"01652427","journalAbbreviation":"Veterinary Immunology and Immunopathology","language":"en","page":"22-31","source":"DOI.org (Crossref)","title":"Multispectral fluorescence-activated cell sorting of B and T cell subpopulations from equine peripheral blood","volume":"199","author":[{"family":"Tomlinson","given":"Joy E."},{"family":"Wagner","given":"Bettina"},{"family":"Felippe","given":"M. Julia B."},{"family":"Van de Walle","given":"Gerlinde R."}],"issued":{"date-parts":[["2018",5]]}}},{"id":24932,"uris":["http://zotero.org/users/5020141/items/RQG3RHSP"],"uri":["http://zotero.org/users/5020141/items/RQG3RHSP"],"itemData":{"id":24932,"type":"article-journal","container-title":"Veterinary Immunology and Immunopathology","DOI":"10.1016/S0165-2427(97)00160-8","ISSN":"01652427","issue":"2","journalAbbreviation":"Veterinary Immunology and Immunopathology","language":"en","page":"101-143","source":"DOI.org (Crossref)","title":"Report of the Second Equine Leucocyte Antigen Workshop, Squaw Valley, California, July 1995","volume":"62","author":[{"family":"Lunn","given":"D.P"},{"family":"Holmes","given":"M.A"},{"family":"Antczak","given":"D.F"},{"family":"Agerwal","given":"N"},{"family":"Baker","given":"Jessica"},{"family":"Bendali-Ahcene","given":"S"},{"family":"Blanchard-Channell","given":"Myra"},{"family":"Byrne","given":"Katherine M"},{"family":"Cannizzo","given":"Karen"},{"family":"Davis","given":"W"},{"family":"Hamilton","given":"Mary Jo"},{"family":"Hannant","given":"D"},{"family":"Kondo","given":"T"},{"family":"Kydd","given":"Julia H"},{"family":"Monier","given":"M.C"},{"family":"Moore","given":"P.F"},{"family":"O'Neil","given":"T"},{"family":"Schram","given":"B.R"},{"family":"Sheoran","given":"A"},{"family":"Stott","given":"J.L"},{"family":"Sugiura","given":"T"},{"family":"Vagnoni","given":"Karen E"}],"issued":{"date-parts":[["1998",3]]}}}],"schema":"https://github.com/citation-style-language/schema/raw/master/csl-citation.json"} </w:instrText>
            </w:r>
            <w:r w:rsidRPr="00E035EF">
              <w:rPr>
                <w:rFonts w:eastAsia="Times New Roman"/>
                <w:color w:val="000000"/>
                <w:sz w:val="20"/>
                <w:szCs w:val="20"/>
              </w:rPr>
              <w:fldChar w:fldCharType="separate"/>
            </w:r>
            <w:r>
              <w:rPr>
                <w:rFonts w:eastAsia="Times New Roman"/>
                <w:noProof/>
                <w:color w:val="000000"/>
                <w:sz w:val="20"/>
                <w:szCs w:val="20"/>
              </w:rPr>
              <w:t>[18, 95]</w:t>
            </w:r>
            <w:r w:rsidRPr="00E035EF">
              <w:rPr>
                <w:rFonts w:eastAsia="Times New Roman"/>
                <w:color w:val="000000"/>
                <w:sz w:val="20"/>
                <w:szCs w:val="20"/>
              </w:rPr>
              <w:fldChar w:fldCharType="end"/>
            </w:r>
          </w:p>
        </w:tc>
      </w:tr>
      <w:tr w:rsidR="006F0294" w:rsidRPr="00E035EF" w14:paraId="3F304C12" w14:textId="77777777" w:rsidTr="00F82C7E">
        <w:trPr>
          <w:trHeight w:val="144"/>
        </w:trPr>
        <w:tc>
          <w:tcPr>
            <w:tcW w:w="0" w:type="auto"/>
            <w:tcBorders>
              <w:top w:val="nil"/>
              <w:left w:val="nil"/>
              <w:bottom w:val="nil"/>
              <w:right w:val="nil"/>
            </w:tcBorders>
            <w:shd w:val="clear" w:color="auto" w:fill="auto"/>
            <w:vAlign w:val="center"/>
            <w:hideMark/>
          </w:tcPr>
          <w:p w14:paraId="21BF8C37"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Eq</w:t>
            </w:r>
            <w:proofErr w:type="spellEnd"/>
          </w:p>
        </w:tc>
        <w:tc>
          <w:tcPr>
            <w:tcW w:w="0" w:type="auto"/>
            <w:tcBorders>
              <w:top w:val="nil"/>
              <w:left w:val="nil"/>
              <w:bottom w:val="nil"/>
              <w:right w:val="nil"/>
            </w:tcBorders>
            <w:shd w:val="clear" w:color="auto" w:fill="auto"/>
            <w:vAlign w:val="center"/>
            <w:hideMark/>
          </w:tcPr>
          <w:p w14:paraId="4C72E38F"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CD16</w:t>
            </w:r>
          </w:p>
        </w:tc>
        <w:tc>
          <w:tcPr>
            <w:tcW w:w="0" w:type="auto"/>
            <w:tcBorders>
              <w:top w:val="nil"/>
              <w:left w:val="nil"/>
              <w:bottom w:val="nil"/>
              <w:right w:val="nil"/>
            </w:tcBorders>
            <w:shd w:val="clear" w:color="auto" w:fill="auto"/>
            <w:vAlign w:val="center"/>
            <w:hideMark/>
          </w:tcPr>
          <w:p w14:paraId="6E90CD06"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1A2.D11</w:t>
            </w:r>
          </w:p>
        </w:tc>
        <w:tc>
          <w:tcPr>
            <w:tcW w:w="0" w:type="auto"/>
            <w:tcBorders>
              <w:top w:val="nil"/>
              <w:left w:val="nil"/>
              <w:bottom w:val="nil"/>
              <w:right w:val="nil"/>
            </w:tcBorders>
            <w:shd w:val="clear" w:color="auto" w:fill="auto"/>
            <w:vAlign w:val="center"/>
            <w:hideMark/>
          </w:tcPr>
          <w:p w14:paraId="4416447C"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 xml:space="preserve">Cornell University, Dr. </w:t>
            </w:r>
            <w:proofErr w:type="spellStart"/>
            <w:r w:rsidRPr="00E035EF">
              <w:rPr>
                <w:rFonts w:eastAsia="Times New Roman"/>
                <w:color w:val="000000"/>
                <w:sz w:val="20"/>
                <w:szCs w:val="20"/>
              </w:rPr>
              <w:t>Antczak</w:t>
            </w:r>
            <w:proofErr w:type="spellEnd"/>
          </w:p>
        </w:tc>
        <w:tc>
          <w:tcPr>
            <w:tcW w:w="0" w:type="auto"/>
            <w:tcBorders>
              <w:top w:val="nil"/>
              <w:left w:val="nil"/>
              <w:bottom w:val="nil"/>
              <w:right w:val="nil"/>
            </w:tcBorders>
            <w:vAlign w:val="center"/>
          </w:tcPr>
          <w:p w14:paraId="254E12B4"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fldChar w:fldCharType="begin"/>
            </w:r>
            <w:r>
              <w:rPr>
                <w:rFonts w:eastAsia="Times New Roman"/>
                <w:color w:val="000000"/>
                <w:sz w:val="20"/>
                <w:szCs w:val="20"/>
              </w:rPr>
              <w:instrText xml:space="preserve"> ADDIN ZOTERO_ITEM CSL_CITATION {"citationID":"N1qskDuH","properties":{"formattedCitation":"[55]","plainCitation":"[55]","noteIndex":0},"citationItems":[{"id":22731,"uris":["http://zotero.org/users/5020141/items/I4UZU4BL"],"uri":["http://zotero.org/users/5020141/items/I4UZU4BL"],"itemData":{"id":22731,"type":"article-journal","abstract":"The low-affinity Fc receptor CD16 plays a central role in the inflammatory and innate immune responses of many species, but has not yet been investigated in the horse. Using the predicted extracellular region of equine CD16 expressed as a recombinant fusion protein with equine IL-4 (rIL-4/CD16), we generated a panel of mouse monoclonal antibodies (mAbs) that recognize equine CD16. Nine mAbs were chosen for characterization based upon recognition of CD16, but not IL-4, in ELISA. All nine mAbs recognized full-length, cell-surface CD16 expressed as a GFP fusion protein by CHO cells, but not the closely related Fc receptor CD32 expressed in the same system. In flow cytometric analysis with equine peripheral leukocytes, the mAbs labeled cells in the granulocyte, monocyte, and lymphocyte populations in a pattern consistent with other species. Monocytes that were strongly labeled with CD16 mAb 9G5 were also positive for the LPS receptor CD14. Cytospins made with peripheral leukocytes were immunohistochemically labeled and showed mAb recognition of primarily mononuclear cells. ELISA revealed that the nine mAbs can be grouped into three patterns of epitope recognition. These new antibodies will serve as useful tools in the investigation of equine immune responses and inflammatory processes.","container-title":"Veterinary Immunology and Immunopathology","DOI":"10.1016/j.vetimm.2012.02.006","ISSN":"0165-2427","issue":"2","journalAbbreviation":"Veterinary Immunology and Immunopathology","language":"en","page":"135-142","source":"ScienceDirect","title":"Generation and characterization of monoclonal antibodies to equine CD16","volume":"146","author":[{"family":"Noronha","given":"Leela E."},{"family":"Harman","given":"Rebecca M."},{"family":"Wagner","given":"Bettina"},{"family":"Antczak","given":"Douglas F."}],"issued":{"date-parts":[["2012",4,15]]}}}],"schema":"https://github.com/citation-style-language/schema/raw/master/csl-citation.json"} </w:instrText>
            </w:r>
            <w:r w:rsidRPr="00E035EF">
              <w:rPr>
                <w:rFonts w:eastAsia="Times New Roman"/>
                <w:color w:val="000000"/>
                <w:sz w:val="20"/>
                <w:szCs w:val="20"/>
              </w:rPr>
              <w:fldChar w:fldCharType="separate"/>
            </w:r>
            <w:r>
              <w:rPr>
                <w:rFonts w:eastAsia="Times New Roman"/>
                <w:noProof/>
                <w:color w:val="000000"/>
                <w:sz w:val="20"/>
                <w:szCs w:val="20"/>
              </w:rPr>
              <w:t>[55]</w:t>
            </w:r>
            <w:r w:rsidRPr="00E035EF">
              <w:rPr>
                <w:rFonts w:eastAsia="Times New Roman"/>
                <w:color w:val="000000"/>
                <w:sz w:val="20"/>
                <w:szCs w:val="20"/>
              </w:rPr>
              <w:fldChar w:fldCharType="end"/>
            </w:r>
          </w:p>
        </w:tc>
      </w:tr>
      <w:tr w:rsidR="006F0294" w:rsidRPr="00E035EF" w14:paraId="7D6346A0" w14:textId="77777777" w:rsidTr="00F82C7E">
        <w:trPr>
          <w:trHeight w:val="144"/>
        </w:trPr>
        <w:tc>
          <w:tcPr>
            <w:tcW w:w="0" w:type="auto"/>
            <w:tcBorders>
              <w:top w:val="nil"/>
              <w:left w:val="nil"/>
              <w:bottom w:val="nil"/>
              <w:right w:val="nil"/>
            </w:tcBorders>
            <w:shd w:val="clear" w:color="auto" w:fill="auto"/>
            <w:vAlign w:val="center"/>
            <w:hideMark/>
          </w:tcPr>
          <w:p w14:paraId="3AE32FB9"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Hu</w:t>
            </w:r>
          </w:p>
        </w:tc>
        <w:tc>
          <w:tcPr>
            <w:tcW w:w="0" w:type="auto"/>
            <w:tcBorders>
              <w:top w:val="nil"/>
              <w:left w:val="nil"/>
              <w:bottom w:val="nil"/>
              <w:right w:val="nil"/>
            </w:tcBorders>
            <w:shd w:val="clear" w:color="auto" w:fill="auto"/>
            <w:vAlign w:val="center"/>
            <w:hideMark/>
          </w:tcPr>
          <w:p w14:paraId="38AA963D"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CD21-BV421</w:t>
            </w:r>
          </w:p>
        </w:tc>
        <w:tc>
          <w:tcPr>
            <w:tcW w:w="0" w:type="auto"/>
            <w:tcBorders>
              <w:top w:val="nil"/>
              <w:left w:val="nil"/>
              <w:bottom w:val="nil"/>
              <w:right w:val="nil"/>
            </w:tcBorders>
            <w:shd w:val="clear" w:color="auto" w:fill="auto"/>
            <w:vAlign w:val="center"/>
            <w:hideMark/>
          </w:tcPr>
          <w:p w14:paraId="03526753"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B-ly4</w:t>
            </w:r>
          </w:p>
        </w:tc>
        <w:tc>
          <w:tcPr>
            <w:tcW w:w="0" w:type="auto"/>
            <w:tcBorders>
              <w:top w:val="nil"/>
              <w:left w:val="nil"/>
              <w:bottom w:val="nil"/>
              <w:right w:val="nil"/>
            </w:tcBorders>
            <w:shd w:val="clear" w:color="auto" w:fill="auto"/>
            <w:vAlign w:val="center"/>
            <w:hideMark/>
          </w:tcPr>
          <w:p w14:paraId="0B52815F"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BD Biosciences</w:t>
            </w:r>
          </w:p>
        </w:tc>
        <w:tc>
          <w:tcPr>
            <w:tcW w:w="0" w:type="auto"/>
            <w:tcBorders>
              <w:top w:val="nil"/>
              <w:left w:val="nil"/>
              <w:bottom w:val="nil"/>
              <w:right w:val="nil"/>
            </w:tcBorders>
            <w:vAlign w:val="center"/>
          </w:tcPr>
          <w:p w14:paraId="7739BF0D"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fldChar w:fldCharType="begin"/>
            </w:r>
            <w:r>
              <w:rPr>
                <w:rFonts w:eastAsia="Times New Roman"/>
                <w:color w:val="000000"/>
                <w:sz w:val="20"/>
                <w:szCs w:val="20"/>
              </w:rPr>
              <w:instrText xml:space="preserve"> ADDIN ZOTERO_ITEM CSL_CITATION {"citationID":"3lbCrHyY","properties":{"formattedCitation":"[18, 97, 98]","plainCitation":"[18, 97, 98]","noteIndex":0},"citationItems":[{"id":24937,"uris":["http://zotero.org/users/5020141/items/P6PZILEA"],"uri":["http://zotero.org/users/5020141/items/P6PZILEA"],"itemData":{"id":24937,"type":"article-journal","container-title":"Veterinary Immunology and Immunopathology","DOI":"10.1016/j.vetimm.2018.03.010","ISSN":"01652427","journalAbbreviation":"Veterinary Immunology and Immunopathology","language":"en","page":"22-31","source":"DOI.org (Crossref)","title":"Multispectral fluorescence-activated cell sorting of B and T cell subpopulations from equine peripheral blood","volume":"199","author":[{"family":"Tomlinson","given":"Joy E."},{"family":"Wagner","given":"Bettina"},{"family":"Felippe","given":"M. Julia B."},{"family":"Van de Walle","given":"Gerlinde R."}],"issued":{"date-parts":[["2018",5]]}}},{"id":25553,"uris":["http://zotero.org/users/5020141/items/LHGHIC6V"],"uri":["http://zotero.org/users/5020141/items/LHGHIC6V"],"itemData":{"id":25553,"type":"article-journal","container-title":"Veterinary Immunology and Immunopathology","DOI":"10.1016/j.vetimm.2007.06.033","ISSN":"01652427","issue":"1-2","language":"en","page":"81-91","source":"Crossref","title":"Non-HLDA8 animal homologue section anti-leukocyte mAbs tested for reactivity with equine leukocytes","volume":"119","author":[{"family":"Ibrahim","given":"Sherif"},{"family":"Steinbach","given":"Falko"}],"issued":{"date-parts":[["2007",9]]}}},{"id":25552,"uris":["http://zotero.org/users/5020141/items/6KGEFFVU"],"uri":["http://zotero.org/users/5020141/items/6KGEFFVU"],"itemData":{"id":25552,"type":"article-journal","container-title":"Veterinary Immunology and Immunopathology","DOI":"10.1016/j.vetimm.2011.07.021","ISSN":"01652427","issue":"1-2","language":"en","page":"7-13","source":"Crossref","title":"Immunoprecipitation of equine CD molecules using anti-human MABs previously analyzed by flow cytometry and immunohistochemistry","volume":"145","author":[{"family":"Ibrahim","given":"Sherif"},{"family":"Steinbach","given":"Falko"}],"issued":{"date-parts":[["2012",1]]}}}],"schema":"https://github.com/citation-style-language/schema/raw/master/csl-citation.json"} </w:instrText>
            </w:r>
            <w:r w:rsidRPr="00E035EF">
              <w:rPr>
                <w:rFonts w:eastAsia="Times New Roman"/>
                <w:color w:val="000000"/>
                <w:sz w:val="20"/>
                <w:szCs w:val="20"/>
              </w:rPr>
              <w:fldChar w:fldCharType="separate"/>
            </w:r>
            <w:r>
              <w:rPr>
                <w:rFonts w:eastAsia="Times New Roman"/>
                <w:noProof/>
                <w:color w:val="000000"/>
                <w:sz w:val="20"/>
                <w:szCs w:val="20"/>
              </w:rPr>
              <w:t>[18, 97, 98]</w:t>
            </w:r>
            <w:r w:rsidRPr="00E035EF">
              <w:rPr>
                <w:rFonts w:eastAsia="Times New Roman"/>
                <w:color w:val="000000"/>
                <w:sz w:val="20"/>
                <w:szCs w:val="20"/>
              </w:rPr>
              <w:fldChar w:fldCharType="end"/>
            </w:r>
          </w:p>
        </w:tc>
      </w:tr>
      <w:tr w:rsidR="006F0294" w:rsidRPr="00E035EF" w14:paraId="6CF9D9D3" w14:textId="77777777" w:rsidTr="00F82C7E">
        <w:trPr>
          <w:trHeight w:val="144"/>
        </w:trPr>
        <w:tc>
          <w:tcPr>
            <w:tcW w:w="0" w:type="auto"/>
            <w:tcBorders>
              <w:top w:val="nil"/>
              <w:left w:val="nil"/>
              <w:bottom w:val="nil"/>
              <w:right w:val="nil"/>
            </w:tcBorders>
            <w:shd w:val="clear" w:color="auto" w:fill="auto"/>
            <w:vAlign w:val="center"/>
            <w:hideMark/>
          </w:tcPr>
          <w:p w14:paraId="64997537"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Eq</w:t>
            </w:r>
            <w:proofErr w:type="spellEnd"/>
          </w:p>
        </w:tc>
        <w:tc>
          <w:tcPr>
            <w:tcW w:w="0" w:type="auto"/>
            <w:tcBorders>
              <w:top w:val="nil"/>
              <w:left w:val="nil"/>
              <w:bottom w:val="nil"/>
              <w:right w:val="nil"/>
            </w:tcBorders>
            <w:shd w:val="clear" w:color="auto" w:fill="auto"/>
            <w:vAlign w:val="center"/>
            <w:hideMark/>
          </w:tcPr>
          <w:p w14:paraId="6E329A04"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CD14-Sav</w:t>
            </w:r>
          </w:p>
        </w:tc>
        <w:tc>
          <w:tcPr>
            <w:tcW w:w="0" w:type="auto"/>
            <w:tcBorders>
              <w:top w:val="nil"/>
              <w:left w:val="nil"/>
              <w:bottom w:val="nil"/>
              <w:right w:val="nil"/>
            </w:tcBorders>
            <w:shd w:val="clear" w:color="auto" w:fill="auto"/>
            <w:noWrap/>
            <w:vAlign w:val="center"/>
            <w:hideMark/>
          </w:tcPr>
          <w:p w14:paraId="264B7FE5"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105</w:t>
            </w:r>
          </w:p>
        </w:tc>
        <w:tc>
          <w:tcPr>
            <w:tcW w:w="0" w:type="auto"/>
            <w:tcBorders>
              <w:top w:val="nil"/>
              <w:left w:val="nil"/>
              <w:bottom w:val="nil"/>
              <w:right w:val="nil"/>
            </w:tcBorders>
            <w:shd w:val="clear" w:color="auto" w:fill="auto"/>
            <w:vAlign w:val="center"/>
            <w:hideMark/>
          </w:tcPr>
          <w:p w14:paraId="39763228"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Cornell University, Dr. Wagner</w:t>
            </w:r>
          </w:p>
        </w:tc>
        <w:tc>
          <w:tcPr>
            <w:tcW w:w="0" w:type="auto"/>
            <w:tcBorders>
              <w:top w:val="nil"/>
              <w:left w:val="nil"/>
              <w:bottom w:val="nil"/>
              <w:right w:val="nil"/>
            </w:tcBorders>
            <w:vAlign w:val="center"/>
          </w:tcPr>
          <w:p w14:paraId="066F0AB1"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fldChar w:fldCharType="begin"/>
            </w:r>
            <w:r>
              <w:rPr>
                <w:rFonts w:eastAsia="Times New Roman"/>
                <w:color w:val="000000"/>
                <w:sz w:val="20"/>
                <w:szCs w:val="20"/>
              </w:rPr>
              <w:instrText xml:space="preserve"> ADDIN ZOTERO_ITEM CSL_CITATION {"citationID":"bYFYgSVF","properties":{"formattedCitation":"[99]","plainCitation":"[99]","noteIndex":0},"citationItems":[{"id":19666,"uris":["http://zotero.org/users/5020141/items/GUJJU5IM"],"uri":["http://zotero.org/users/5020141/items/GUJJU5IM"],"itemData":{"id":19666,"type":"article-journal","abstract":"CD14 is a receptor for the complex of lipopolysaccaride (LPS) and LPS-binding protein. Binding of this complex to CD14 in association with Toll-like receptor 4 provides a major pathway for the initiation of innate immune responses to bacterial pathogens. We used a mammalian expressed extracellular region of equine CD14 (rCD14) derived from an IgG fusion protein to produce monoclonal antibodies (mAbs) to CD14. Eight mAbs were tested by flow cytometric analysis of equine leukocytes and by immunoblotting using rCD14 indicating that the mAbs recognized at least three different epitopes on equine CD14. One mAb, clone 105, was used for further characterization of CD14+ cells in peripheral blood mononuclear cells (PBMC). Phenotyping indicated that the majority of the CD14+ PBMC were non-B/non-T-cells. Magnetic cell sorting enriched CD14+ cells to &gt;95% as detected by flow cytometry. Differential cell counts on Wright's-stained cytospin smears of CD14+ cell fractions demonstrated that 49–73% of them were monocytes. The discrepancy between CD14+ cells detected by flow cytometric analysis and monocytes based on morphologic criteria suggests that some of the equine CD14+ PBMC are lymphoid cells. The mAbs to equine CD14 provide new tools for cellular analysis and CD14+ cell isolation in horses.","container-title":"Veterinary Immunology and Immunopathology","DOI":"10.1016/j.vetimm.2010.07.003","ISSN":"0165-2427","issue":"1","journalAbbreviation":"Veterinary Immunology and Immunopathology","page":"149-153","source":"ScienceDirect","title":"Monoclonal antibodies to equine CD14","volume":"138","author":[{"family":"Kabithe","given":"Esther"},{"family":"Hillegas","given":"Julie"},{"family":"Stokol","given":"Tracy"},{"family":"Moore","given":"James"},{"family":"Wagner","given":"Bettina"}],"issued":{"date-parts":[["2010",11,15]]}}}],"schema":"https://github.com/citation-style-language/schema/raw/master/csl-citation.json"} </w:instrText>
            </w:r>
            <w:r w:rsidRPr="00E035EF">
              <w:rPr>
                <w:rFonts w:eastAsia="Times New Roman"/>
                <w:color w:val="000000"/>
                <w:sz w:val="20"/>
                <w:szCs w:val="20"/>
              </w:rPr>
              <w:fldChar w:fldCharType="separate"/>
            </w:r>
            <w:r>
              <w:rPr>
                <w:rFonts w:eastAsia="Times New Roman"/>
                <w:noProof/>
                <w:color w:val="000000"/>
                <w:sz w:val="20"/>
                <w:szCs w:val="20"/>
              </w:rPr>
              <w:t>[99]</w:t>
            </w:r>
            <w:r w:rsidRPr="00E035EF">
              <w:rPr>
                <w:rFonts w:eastAsia="Times New Roman"/>
                <w:color w:val="000000"/>
                <w:sz w:val="20"/>
                <w:szCs w:val="20"/>
              </w:rPr>
              <w:fldChar w:fldCharType="end"/>
            </w:r>
          </w:p>
        </w:tc>
      </w:tr>
      <w:tr w:rsidR="006F0294" w:rsidRPr="00E035EF" w14:paraId="1512AAAB" w14:textId="77777777" w:rsidTr="00F82C7E">
        <w:trPr>
          <w:trHeight w:val="144"/>
        </w:trPr>
        <w:tc>
          <w:tcPr>
            <w:tcW w:w="0" w:type="auto"/>
            <w:tcBorders>
              <w:top w:val="nil"/>
              <w:left w:val="nil"/>
              <w:bottom w:val="nil"/>
              <w:right w:val="nil"/>
            </w:tcBorders>
            <w:shd w:val="clear" w:color="auto" w:fill="auto"/>
            <w:vAlign w:val="center"/>
            <w:hideMark/>
          </w:tcPr>
          <w:p w14:paraId="48267654"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Eq</w:t>
            </w:r>
            <w:proofErr w:type="spellEnd"/>
          </w:p>
        </w:tc>
        <w:tc>
          <w:tcPr>
            <w:tcW w:w="0" w:type="auto"/>
            <w:tcBorders>
              <w:top w:val="nil"/>
              <w:left w:val="nil"/>
              <w:bottom w:val="nil"/>
              <w:right w:val="nil"/>
            </w:tcBorders>
            <w:shd w:val="clear" w:color="auto" w:fill="auto"/>
            <w:vAlign w:val="center"/>
            <w:hideMark/>
          </w:tcPr>
          <w:p w14:paraId="069645F7"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CD14-AF647</w:t>
            </w:r>
          </w:p>
        </w:tc>
        <w:tc>
          <w:tcPr>
            <w:tcW w:w="0" w:type="auto"/>
            <w:tcBorders>
              <w:top w:val="nil"/>
              <w:left w:val="nil"/>
              <w:bottom w:val="nil"/>
              <w:right w:val="nil"/>
            </w:tcBorders>
            <w:shd w:val="clear" w:color="auto" w:fill="auto"/>
            <w:noWrap/>
            <w:vAlign w:val="center"/>
            <w:hideMark/>
          </w:tcPr>
          <w:p w14:paraId="4E06D937"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105</w:t>
            </w:r>
          </w:p>
        </w:tc>
        <w:tc>
          <w:tcPr>
            <w:tcW w:w="0" w:type="auto"/>
            <w:tcBorders>
              <w:top w:val="nil"/>
              <w:left w:val="nil"/>
              <w:bottom w:val="nil"/>
              <w:right w:val="nil"/>
            </w:tcBorders>
            <w:shd w:val="clear" w:color="auto" w:fill="auto"/>
            <w:vAlign w:val="center"/>
            <w:hideMark/>
          </w:tcPr>
          <w:p w14:paraId="77C7ED91"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Cornell University, Dr. Wagner</w:t>
            </w:r>
          </w:p>
        </w:tc>
        <w:tc>
          <w:tcPr>
            <w:tcW w:w="0" w:type="auto"/>
            <w:tcBorders>
              <w:top w:val="nil"/>
              <w:left w:val="nil"/>
              <w:bottom w:val="nil"/>
              <w:right w:val="nil"/>
            </w:tcBorders>
            <w:vAlign w:val="center"/>
          </w:tcPr>
          <w:p w14:paraId="4BF1C4AB"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fldChar w:fldCharType="begin"/>
            </w:r>
            <w:r>
              <w:rPr>
                <w:rFonts w:eastAsia="Times New Roman"/>
                <w:color w:val="000000"/>
                <w:sz w:val="20"/>
                <w:szCs w:val="20"/>
              </w:rPr>
              <w:instrText xml:space="preserve"> ADDIN ZOTERO_ITEM CSL_CITATION {"citationID":"oOrNyX9x","properties":{"formattedCitation":"[99]","plainCitation":"[99]","noteIndex":0},"citationItems":[{"id":19666,"uris":["http://zotero.org/users/5020141/items/GUJJU5IM"],"uri":["http://zotero.org/users/5020141/items/GUJJU5IM"],"itemData":{"id":19666,"type":"article-journal","abstract":"CD14 is a receptor for the complex of lipopolysaccaride (LPS) and LPS-binding protein. Binding of this complex to CD14 in association with Toll-like receptor 4 provides a major pathway for the initiation of innate immune responses to bacterial pathogens. We used a mammalian expressed extracellular region of equine CD14 (rCD14) derived from an IgG fusion protein to produce monoclonal antibodies (mAbs) to CD14. Eight mAbs were tested by flow cytometric analysis of equine leukocytes and by immunoblotting using rCD14 indicating that the mAbs recognized at least three different epitopes on equine CD14. One mAb, clone 105, was used for further characterization of CD14+ cells in peripheral blood mononuclear cells (PBMC). Phenotyping indicated that the majority of the CD14+ PBMC were non-B/non-T-cells. Magnetic cell sorting enriched CD14+ cells to &gt;95% as detected by flow cytometry. Differential cell counts on Wright's-stained cytospin smears of CD14+ cell fractions demonstrated that 49–73% of them were monocytes. The discrepancy between CD14+ cells detected by flow cytometric analysis and monocytes based on morphologic criteria suggests that some of the equine CD14+ PBMC are lymphoid cells. The mAbs to equine CD14 provide new tools for cellular analysis and CD14+ cell isolation in horses.","container-title":"Veterinary Immunology and Immunopathology","DOI":"10.1016/j.vetimm.2010.07.003","ISSN":"0165-2427","issue":"1","journalAbbreviation":"Veterinary Immunology and Immunopathology","page":"149-153","source":"ScienceDirect","title":"Monoclonal antibodies to equine CD14","volume":"138","author":[{"family":"Kabithe","given":"Esther"},{"family":"Hillegas","given":"Julie"},{"family":"Stokol","given":"Tracy"},{"family":"Moore","given":"James"},{"family":"Wagner","given":"Bettina"}],"issued":{"date-parts":[["2010",11,15]]}}}],"schema":"https://github.com/citation-style-language/schema/raw/master/csl-citation.json"} </w:instrText>
            </w:r>
            <w:r w:rsidRPr="00E035EF">
              <w:rPr>
                <w:rFonts w:eastAsia="Times New Roman"/>
                <w:color w:val="000000"/>
                <w:sz w:val="20"/>
                <w:szCs w:val="20"/>
              </w:rPr>
              <w:fldChar w:fldCharType="separate"/>
            </w:r>
            <w:r>
              <w:rPr>
                <w:rFonts w:eastAsia="Times New Roman"/>
                <w:noProof/>
                <w:color w:val="000000"/>
                <w:sz w:val="20"/>
                <w:szCs w:val="20"/>
              </w:rPr>
              <w:t>[99]</w:t>
            </w:r>
            <w:r w:rsidRPr="00E035EF">
              <w:rPr>
                <w:rFonts w:eastAsia="Times New Roman"/>
                <w:color w:val="000000"/>
                <w:sz w:val="20"/>
                <w:szCs w:val="20"/>
              </w:rPr>
              <w:fldChar w:fldCharType="end"/>
            </w:r>
          </w:p>
        </w:tc>
      </w:tr>
      <w:tr w:rsidR="006F0294" w:rsidRPr="00E035EF" w14:paraId="293ADEA0" w14:textId="77777777" w:rsidTr="00F82C7E">
        <w:trPr>
          <w:trHeight w:val="144"/>
        </w:trPr>
        <w:tc>
          <w:tcPr>
            <w:tcW w:w="0" w:type="auto"/>
            <w:tcBorders>
              <w:top w:val="nil"/>
              <w:left w:val="nil"/>
              <w:bottom w:val="nil"/>
              <w:right w:val="nil"/>
            </w:tcBorders>
            <w:shd w:val="clear" w:color="auto" w:fill="auto"/>
            <w:vAlign w:val="center"/>
            <w:hideMark/>
          </w:tcPr>
          <w:p w14:paraId="082A0DBC"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Eq</w:t>
            </w:r>
            <w:proofErr w:type="spellEnd"/>
          </w:p>
        </w:tc>
        <w:tc>
          <w:tcPr>
            <w:tcW w:w="0" w:type="auto"/>
            <w:tcBorders>
              <w:top w:val="nil"/>
              <w:left w:val="nil"/>
              <w:bottom w:val="nil"/>
              <w:right w:val="nil"/>
            </w:tcBorders>
            <w:shd w:val="clear" w:color="auto" w:fill="auto"/>
            <w:vAlign w:val="center"/>
            <w:hideMark/>
          </w:tcPr>
          <w:p w14:paraId="505D8DD5"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CD23-APC-CF750</w:t>
            </w:r>
          </w:p>
        </w:tc>
        <w:tc>
          <w:tcPr>
            <w:tcW w:w="0" w:type="auto"/>
            <w:tcBorders>
              <w:top w:val="nil"/>
              <w:left w:val="nil"/>
              <w:bottom w:val="nil"/>
              <w:right w:val="nil"/>
            </w:tcBorders>
            <w:shd w:val="clear" w:color="auto" w:fill="auto"/>
            <w:vAlign w:val="center"/>
            <w:hideMark/>
          </w:tcPr>
          <w:p w14:paraId="3017087C"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51-3</w:t>
            </w:r>
          </w:p>
        </w:tc>
        <w:tc>
          <w:tcPr>
            <w:tcW w:w="0" w:type="auto"/>
            <w:tcBorders>
              <w:top w:val="nil"/>
              <w:left w:val="nil"/>
              <w:bottom w:val="nil"/>
              <w:right w:val="nil"/>
            </w:tcBorders>
            <w:shd w:val="clear" w:color="auto" w:fill="auto"/>
            <w:vAlign w:val="center"/>
            <w:hideMark/>
          </w:tcPr>
          <w:p w14:paraId="7EAD4A4B"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Cornell University, Dr. Wagner</w:t>
            </w:r>
          </w:p>
        </w:tc>
        <w:tc>
          <w:tcPr>
            <w:tcW w:w="0" w:type="auto"/>
            <w:tcBorders>
              <w:top w:val="nil"/>
              <w:left w:val="nil"/>
              <w:bottom w:val="nil"/>
              <w:right w:val="nil"/>
            </w:tcBorders>
            <w:vAlign w:val="center"/>
          </w:tcPr>
          <w:p w14:paraId="590829DD"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fldChar w:fldCharType="begin"/>
            </w:r>
            <w:r>
              <w:rPr>
                <w:rFonts w:eastAsia="Times New Roman"/>
                <w:color w:val="000000"/>
                <w:sz w:val="20"/>
                <w:szCs w:val="20"/>
              </w:rPr>
              <w:instrText xml:space="preserve"> ADDIN ZOTERO_ITEM CSL_CITATION {"citationID":"MLgZEr1N","properties":{"formattedCitation":"[100]","plainCitation":"[100]","noteIndex":0},"citationItems":[{"id":22060,"uris":["http://zotero.org/users/5020141/items/ZPH2AV8F"],"uri":["http://zotero.org/users/5020141/items/ZPH2AV8F"],"itemData":{"id":22060,"type":"article-journal","container-title":"Veterinary Immunology and Immunopathology","DOI":"10.1016/j.vetimm.2012.02.007","ISSN":"01652427","issue":"2","journalAbbreviation":"Veterinary Immunology and Immunopathology","language":"en","page":"125-134","source":"DOI.org (Crossref)","title":"Monoclonal antibodies to equine CD23 identify the low-affinity receptor for IgE on subpopulations of IgM+ and IgG1+ B-cells in horses","volume":"146","author":[{"family":"Wagner","given":"Bettina"},{"family":"Hillegas","given":"Julia M."},{"family":"Babasyan","given":"Susanna"}],"issued":{"date-parts":[["2012",4]]}}}],"schema":"https://github.com/citation-style-language/schema/raw/master/csl-citation.json"} </w:instrText>
            </w:r>
            <w:r w:rsidRPr="00E035EF">
              <w:rPr>
                <w:rFonts w:eastAsia="Times New Roman"/>
                <w:color w:val="000000"/>
                <w:sz w:val="20"/>
                <w:szCs w:val="20"/>
              </w:rPr>
              <w:fldChar w:fldCharType="separate"/>
            </w:r>
            <w:r>
              <w:rPr>
                <w:rFonts w:eastAsia="Times New Roman"/>
                <w:noProof/>
                <w:color w:val="000000"/>
                <w:sz w:val="20"/>
                <w:szCs w:val="20"/>
              </w:rPr>
              <w:t>[100]</w:t>
            </w:r>
            <w:r w:rsidRPr="00E035EF">
              <w:rPr>
                <w:rFonts w:eastAsia="Times New Roman"/>
                <w:color w:val="000000"/>
                <w:sz w:val="20"/>
                <w:szCs w:val="20"/>
              </w:rPr>
              <w:fldChar w:fldCharType="end"/>
            </w:r>
          </w:p>
        </w:tc>
      </w:tr>
      <w:tr w:rsidR="006F0294" w:rsidRPr="00E035EF" w14:paraId="057BA377" w14:textId="77777777" w:rsidTr="00F82C7E">
        <w:trPr>
          <w:trHeight w:val="144"/>
        </w:trPr>
        <w:tc>
          <w:tcPr>
            <w:tcW w:w="0" w:type="auto"/>
            <w:tcBorders>
              <w:top w:val="nil"/>
              <w:left w:val="nil"/>
              <w:bottom w:val="nil"/>
              <w:right w:val="nil"/>
            </w:tcBorders>
            <w:shd w:val="clear" w:color="auto" w:fill="auto"/>
            <w:vAlign w:val="center"/>
            <w:hideMark/>
          </w:tcPr>
          <w:p w14:paraId="527B63B6"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Hu</w:t>
            </w:r>
          </w:p>
        </w:tc>
        <w:tc>
          <w:tcPr>
            <w:tcW w:w="0" w:type="auto"/>
            <w:tcBorders>
              <w:top w:val="nil"/>
              <w:left w:val="nil"/>
              <w:bottom w:val="nil"/>
              <w:right w:val="nil"/>
            </w:tcBorders>
            <w:shd w:val="clear" w:color="auto" w:fill="auto"/>
            <w:vAlign w:val="center"/>
            <w:hideMark/>
          </w:tcPr>
          <w:p w14:paraId="62AD10CF"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Tbet-PECy7</w:t>
            </w:r>
          </w:p>
        </w:tc>
        <w:tc>
          <w:tcPr>
            <w:tcW w:w="0" w:type="auto"/>
            <w:tcBorders>
              <w:top w:val="nil"/>
              <w:left w:val="nil"/>
              <w:bottom w:val="nil"/>
              <w:right w:val="nil"/>
            </w:tcBorders>
            <w:shd w:val="clear" w:color="auto" w:fill="auto"/>
            <w:vAlign w:val="center"/>
            <w:hideMark/>
          </w:tcPr>
          <w:p w14:paraId="246AD148"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4B10</w:t>
            </w:r>
          </w:p>
        </w:tc>
        <w:tc>
          <w:tcPr>
            <w:tcW w:w="0" w:type="auto"/>
            <w:tcBorders>
              <w:top w:val="nil"/>
              <w:left w:val="nil"/>
              <w:bottom w:val="nil"/>
              <w:right w:val="nil"/>
            </w:tcBorders>
            <w:shd w:val="clear" w:color="auto" w:fill="auto"/>
            <w:vAlign w:val="center"/>
            <w:hideMark/>
          </w:tcPr>
          <w:p w14:paraId="30EB8934"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BioLegend</w:t>
            </w:r>
            <w:proofErr w:type="spellEnd"/>
          </w:p>
        </w:tc>
        <w:tc>
          <w:tcPr>
            <w:tcW w:w="0" w:type="auto"/>
            <w:tcBorders>
              <w:top w:val="nil"/>
              <w:left w:val="nil"/>
              <w:bottom w:val="nil"/>
              <w:right w:val="nil"/>
            </w:tcBorders>
            <w:vAlign w:val="center"/>
          </w:tcPr>
          <w:p w14:paraId="56FB65C2"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This study**</w:t>
            </w:r>
          </w:p>
        </w:tc>
      </w:tr>
      <w:tr w:rsidR="006F0294" w:rsidRPr="00E035EF" w14:paraId="5BBE1206" w14:textId="77777777" w:rsidTr="00F82C7E">
        <w:trPr>
          <w:trHeight w:val="144"/>
        </w:trPr>
        <w:tc>
          <w:tcPr>
            <w:tcW w:w="0" w:type="auto"/>
            <w:tcBorders>
              <w:top w:val="nil"/>
              <w:left w:val="nil"/>
              <w:bottom w:val="nil"/>
              <w:right w:val="nil"/>
            </w:tcBorders>
            <w:shd w:val="clear" w:color="auto" w:fill="auto"/>
            <w:vAlign w:val="center"/>
            <w:hideMark/>
          </w:tcPr>
          <w:p w14:paraId="733AB37D"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Hu</w:t>
            </w:r>
          </w:p>
        </w:tc>
        <w:tc>
          <w:tcPr>
            <w:tcW w:w="0" w:type="auto"/>
            <w:tcBorders>
              <w:top w:val="nil"/>
              <w:left w:val="nil"/>
              <w:bottom w:val="nil"/>
              <w:right w:val="nil"/>
            </w:tcBorders>
            <w:shd w:val="clear" w:color="auto" w:fill="auto"/>
            <w:vAlign w:val="center"/>
            <w:hideMark/>
          </w:tcPr>
          <w:p w14:paraId="2E04C982"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CD11b-PerCP-Vio700</w:t>
            </w:r>
          </w:p>
        </w:tc>
        <w:tc>
          <w:tcPr>
            <w:tcW w:w="0" w:type="auto"/>
            <w:tcBorders>
              <w:top w:val="nil"/>
              <w:left w:val="nil"/>
              <w:bottom w:val="nil"/>
              <w:right w:val="nil"/>
            </w:tcBorders>
            <w:shd w:val="clear" w:color="auto" w:fill="auto"/>
            <w:vAlign w:val="center"/>
            <w:hideMark/>
          </w:tcPr>
          <w:p w14:paraId="08B346E3"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M1/70.15.11.5</w:t>
            </w:r>
          </w:p>
        </w:tc>
        <w:tc>
          <w:tcPr>
            <w:tcW w:w="0" w:type="auto"/>
            <w:tcBorders>
              <w:top w:val="nil"/>
              <w:left w:val="nil"/>
              <w:bottom w:val="nil"/>
              <w:right w:val="nil"/>
            </w:tcBorders>
            <w:shd w:val="clear" w:color="auto" w:fill="auto"/>
            <w:vAlign w:val="center"/>
            <w:hideMark/>
          </w:tcPr>
          <w:p w14:paraId="60B330F4"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Miltenyi</w:t>
            </w:r>
            <w:proofErr w:type="spellEnd"/>
            <w:r w:rsidRPr="00E035EF">
              <w:rPr>
                <w:rFonts w:eastAsia="Times New Roman"/>
                <w:color w:val="000000"/>
                <w:sz w:val="20"/>
                <w:szCs w:val="20"/>
              </w:rPr>
              <w:t xml:space="preserve"> </w:t>
            </w:r>
            <w:proofErr w:type="spellStart"/>
            <w:r w:rsidRPr="00E035EF">
              <w:rPr>
                <w:rFonts w:eastAsia="Times New Roman"/>
                <w:color w:val="000000"/>
                <w:sz w:val="20"/>
                <w:szCs w:val="20"/>
              </w:rPr>
              <w:t>Biotec</w:t>
            </w:r>
            <w:proofErr w:type="spellEnd"/>
          </w:p>
        </w:tc>
        <w:tc>
          <w:tcPr>
            <w:tcW w:w="0" w:type="auto"/>
            <w:tcBorders>
              <w:top w:val="nil"/>
              <w:left w:val="nil"/>
              <w:bottom w:val="nil"/>
              <w:right w:val="nil"/>
            </w:tcBorders>
            <w:vAlign w:val="center"/>
          </w:tcPr>
          <w:p w14:paraId="5569ED36"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fldChar w:fldCharType="begin"/>
            </w:r>
            <w:r>
              <w:rPr>
                <w:rFonts w:eastAsia="Times New Roman"/>
                <w:color w:val="000000"/>
                <w:sz w:val="20"/>
                <w:szCs w:val="20"/>
              </w:rPr>
              <w:instrText xml:space="preserve"> ADDIN ZOTERO_ITEM CSL_CITATION {"citationID":"1wTfkYDi","properties":{"formattedCitation":"[98]","plainCitation":"[98]","noteIndex":0},"citationItems":[{"id":25552,"uris":["http://zotero.org/users/5020141/items/6KGEFFVU"],"uri":["http://zotero.org/users/5020141/items/6KGEFFVU"],"itemData":{"id":25552,"type":"article-journal","container-title":"Veterinary Immunology and Immunopathology","DOI":"10.1016/j.vetimm.2011.07.021","ISSN":"01652427","issue":"1-2","language":"en","page":"7-13","source":"Crossref","title":"Immunoprecipitation of equine CD molecules using anti-human MABs previously analyzed by flow cytometry and immunohistochemistry","volume":"145","author":[{"family":"Ibrahim","given":"Sherif"},{"family":"Steinbach","given":"Falko"}],"issued":{"date-parts":[["2012",1]]}}}],"schema":"https://github.com/citation-style-language/schema/raw/master/csl-citation.json"} </w:instrText>
            </w:r>
            <w:r w:rsidRPr="00E035EF">
              <w:rPr>
                <w:rFonts w:eastAsia="Times New Roman"/>
                <w:color w:val="000000"/>
                <w:sz w:val="20"/>
                <w:szCs w:val="20"/>
              </w:rPr>
              <w:fldChar w:fldCharType="separate"/>
            </w:r>
            <w:r>
              <w:rPr>
                <w:rFonts w:eastAsia="Times New Roman"/>
                <w:noProof/>
                <w:color w:val="000000"/>
                <w:sz w:val="20"/>
                <w:szCs w:val="20"/>
              </w:rPr>
              <w:t>[98]</w:t>
            </w:r>
            <w:r w:rsidRPr="00E035EF">
              <w:rPr>
                <w:rFonts w:eastAsia="Times New Roman"/>
                <w:color w:val="000000"/>
                <w:sz w:val="20"/>
                <w:szCs w:val="20"/>
              </w:rPr>
              <w:fldChar w:fldCharType="end"/>
            </w:r>
          </w:p>
        </w:tc>
      </w:tr>
      <w:tr w:rsidR="006F0294" w:rsidRPr="00E035EF" w14:paraId="43D9F8C6" w14:textId="77777777" w:rsidTr="00F82C7E">
        <w:trPr>
          <w:trHeight w:val="144"/>
        </w:trPr>
        <w:tc>
          <w:tcPr>
            <w:tcW w:w="0" w:type="auto"/>
            <w:tcBorders>
              <w:top w:val="nil"/>
              <w:left w:val="nil"/>
              <w:bottom w:val="nil"/>
              <w:right w:val="nil"/>
            </w:tcBorders>
            <w:shd w:val="clear" w:color="auto" w:fill="auto"/>
            <w:vAlign w:val="center"/>
            <w:hideMark/>
          </w:tcPr>
          <w:p w14:paraId="25C64F1E"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Eq</w:t>
            </w:r>
            <w:proofErr w:type="spellEnd"/>
          </w:p>
        </w:tc>
        <w:tc>
          <w:tcPr>
            <w:tcW w:w="0" w:type="auto"/>
            <w:tcBorders>
              <w:top w:val="nil"/>
              <w:left w:val="nil"/>
              <w:bottom w:val="nil"/>
              <w:right w:val="nil"/>
            </w:tcBorders>
            <w:shd w:val="clear" w:color="auto" w:fill="auto"/>
            <w:vAlign w:val="center"/>
            <w:hideMark/>
          </w:tcPr>
          <w:p w14:paraId="43D5EAB2"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IgM-CF405M</w:t>
            </w:r>
          </w:p>
        </w:tc>
        <w:tc>
          <w:tcPr>
            <w:tcW w:w="0" w:type="auto"/>
            <w:tcBorders>
              <w:top w:val="nil"/>
              <w:left w:val="nil"/>
              <w:bottom w:val="nil"/>
              <w:right w:val="nil"/>
            </w:tcBorders>
            <w:shd w:val="clear" w:color="auto" w:fill="auto"/>
            <w:vAlign w:val="center"/>
            <w:hideMark/>
          </w:tcPr>
          <w:p w14:paraId="00997C5E"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I-22</w:t>
            </w:r>
          </w:p>
        </w:tc>
        <w:tc>
          <w:tcPr>
            <w:tcW w:w="0" w:type="auto"/>
            <w:tcBorders>
              <w:top w:val="nil"/>
              <w:left w:val="nil"/>
              <w:bottom w:val="nil"/>
              <w:right w:val="nil"/>
            </w:tcBorders>
            <w:shd w:val="clear" w:color="auto" w:fill="auto"/>
            <w:vAlign w:val="center"/>
            <w:hideMark/>
          </w:tcPr>
          <w:p w14:paraId="1B44E37D"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Cornell University, Dr. Wagner</w:t>
            </w:r>
          </w:p>
        </w:tc>
        <w:tc>
          <w:tcPr>
            <w:tcW w:w="0" w:type="auto"/>
            <w:tcBorders>
              <w:top w:val="nil"/>
              <w:left w:val="nil"/>
              <w:bottom w:val="nil"/>
              <w:right w:val="nil"/>
            </w:tcBorders>
            <w:vAlign w:val="center"/>
          </w:tcPr>
          <w:p w14:paraId="3CD7F4E0"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fldChar w:fldCharType="begin"/>
            </w:r>
            <w:r>
              <w:rPr>
                <w:rFonts w:eastAsia="Times New Roman"/>
                <w:color w:val="000000"/>
                <w:sz w:val="20"/>
                <w:szCs w:val="20"/>
              </w:rPr>
              <w:instrText xml:space="preserve"> ADDIN ZOTERO_ITEM CSL_CITATION {"citationID":"6gOI8T4u","properties":{"formattedCitation":"[18, 101]","plainCitation":"[18, 101]","noteIndex":0},"citationItems":[{"id":24937,"uris":["http://zotero.org/users/5020141/items/P6PZILEA"],"uri":["http://zotero.org/users/5020141/items/P6PZILEA"],"itemData":{"id":24937,"type":"article-journal","container-title":"Veterinary Immunology and Immunopathology","DOI":"10.1016/j.vetimm.2018.03.010","ISSN":"01652427","journalAbbreviation":"Veterinary Immunology and Immunopathology","language":"en","page":"22-31","source":"DOI.org (Crossref)","title":"Multispectral fluorescence-activated cell sorting of B and T cell subpopulations from equine peripheral blood","volume":"199","author":[{"family":"Tomlinson","given":"Joy E."},{"family":"Wagner","given":"Bettina"},{"family":"Felippe","given":"M. Julia B."},{"family":"Van de Walle","given":"Gerlinde R."}],"issued":{"date-parts":[["2018",5]]}}},{"id":24935,"uris":["http://zotero.org/users/5020141/items/3E64MWQL"],"uri":["http://zotero.org/users/5020141/items/3E64MWQL"],"itemData":{"id":24935,"type":"article-journal","container-title":"Veterinary Immunology and Immunopathology","DOI":"10.1016/j.vetimm.2007.10.013","ISSN":"01652427","issue":"1-2","journalAbbreviation":"Veterinary Immunology and Immunopathology","language":"en","page":"46-56","source":"DOI.org (Crossref)","title":"Monoclonal antibodies to equine IgM improve the sensitivity of West Nile virus-specific IgM detection in horses","volume":"122","author":[{"family":"Wagner","given":"Bettina"},{"family":"Glaser","given":"Amy"},{"family":"Hillegas","given":"Julia M."},{"family":"Erb","given":"Hollis"},{"family":"Gold","given":"Carvel"},{"family":"Freer","given":"Heather"}],"issued":{"date-parts":[["2008",3]]}}}],"schema":"https://github.com/citation-style-language/schema/raw/master/csl-citation.json"} </w:instrText>
            </w:r>
            <w:r w:rsidRPr="00E035EF">
              <w:rPr>
                <w:rFonts w:eastAsia="Times New Roman"/>
                <w:color w:val="000000"/>
                <w:sz w:val="20"/>
                <w:szCs w:val="20"/>
              </w:rPr>
              <w:fldChar w:fldCharType="separate"/>
            </w:r>
            <w:r>
              <w:rPr>
                <w:rFonts w:eastAsia="Times New Roman"/>
                <w:noProof/>
                <w:color w:val="000000"/>
                <w:sz w:val="20"/>
                <w:szCs w:val="20"/>
              </w:rPr>
              <w:t>[18, 101]</w:t>
            </w:r>
            <w:r w:rsidRPr="00E035EF">
              <w:rPr>
                <w:rFonts w:eastAsia="Times New Roman"/>
                <w:color w:val="000000"/>
                <w:sz w:val="20"/>
                <w:szCs w:val="20"/>
              </w:rPr>
              <w:fldChar w:fldCharType="end"/>
            </w:r>
          </w:p>
        </w:tc>
      </w:tr>
      <w:tr w:rsidR="006F0294" w:rsidRPr="00E035EF" w14:paraId="1486BD34" w14:textId="77777777" w:rsidTr="00F82C7E">
        <w:trPr>
          <w:trHeight w:val="144"/>
        </w:trPr>
        <w:tc>
          <w:tcPr>
            <w:tcW w:w="0" w:type="auto"/>
            <w:tcBorders>
              <w:top w:val="nil"/>
              <w:left w:val="nil"/>
              <w:bottom w:val="nil"/>
              <w:right w:val="nil"/>
            </w:tcBorders>
            <w:shd w:val="clear" w:color="auto" w:fill="auto"/>
            <w:vAlign w:val="center"/>
            <w:hideMark/>
          </w:tcPr>
          <w:p w14:paraId="1C29995A"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Eq</w:t>
            </w:r>
            <w:proofErr w:type="spellEnd"/>
          </w:p>
        </w:tc>
        <w:tc>
          <w:tcPr>
            <w:tcW w:w="0" w:type="auto"/>
            <w:tcBorders>
              <w:top w:val="nil"/>
              <w:left w:val="nil"/>
              <w:bottom w:val="nil"/>
              <w:right w:val="nil"/>
            </w:tcBorders>
            <w:shd w:val="clear" w:color="auto" w:fill="auto"/>
            <w:vAlign w:val="center"/>
            <w:hideMark/>
          </w:tcPr>
          <w:p w14:paraId="02ECC7DF"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IgG1-AF488</w:t>
            </w:r>
          </w:p>
        </w:tc>
        <w:tc>
          <w:tcPr>
            <w:tcW w:w="0" w:type="auto"/>
            <w:tcBorders>
              <w:top w:val="nil"/>
              <w:left w:val="nil"/>
              <w:bottom w:val="nil"/>
              <w:right w:val="nil"/>
            </w:tcBorders>
            <w:shd w:val="clear" w:color="auto" w:fill="auto"/>
            <w:vAlign w:val="center"/>
            <w:hideMark/>
          </w:tcPr>
          <w:p w14:paraId="50BC7600"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CVS45</w:t>
            </w:r>
          </w:p>
        </w:tc>
        <w:tc>
          <w:tcPr>
            <w:tcW w:w="0" w:type="auto"/>
            <w:tcBorders>
              <w:top w:val="nil"/>
              <w:left w:val="nil"/>
              <w:bottom w:val="nil"/>
              <w:right w:val="nil"/>
            </w:tcBorders>
            <w:shd w:val="clear" w:color="auto" w:fill="auto"/>
            <w:vAlign w:val="center"/>
            <w:hideMark/>
          </w:tcPr>
          <w:p w14:paraId="6907BC7C"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Cornell University, Dr. Wagner</w:t>
            </w:r>
          </w:p>
        </w:tc>
        <w:tc>
          <w:tcPr>
            <w:tcW w:w="0" w:type="auto"/>
            <w:tcBorders>
              <w:top w:val="nil"/>
              <w:left w:val="nil"/>
              <w:bottom w:val="nil"/>
              <w:right w:val="nil"/>
            </w:tcBorders>
            <w:vAlign w:val="center"/>
          </w:tcPr>
          <w:p w14:paraId="68D6D3C3"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fldChar w:fldCharType="begin"/>
            </w:r>
            <w:r>
              <w:rPr>
                <w:rFonts w:eastAsia="Times New Roman"/>
                <w:color w:val="000000"/>
                <w:sz w:val="20"/>
                <w:szCs w:val="20"/>
              </w:rPr>
              <w:instrText xml:space="preserve"> ADDIN ZOTERO_ITEM CSL_CITATION {"citationID":"WqemRQL4","properties":{"formattedCitation":"[18, 95]","plainCitation":"[18, 95]","noteIndex":0},"citationItems":[{"id":24937,"uris":["http://zotero.org/users/5020141/items/P6PZILEA"],"uri":["http://zotero.org/users/5020141/items/P6PZILEA"],"itemData":{"id":24937,"type":"article-journal","container-title":"Veterinary Immunology and Immunopathology","DOI":"10.1016/j.vetimm.2018.03.010","ISSN":"01652427","journalAbbreviation":"Veterinary Immunology and Immunopathology","language":"en","page":"22-31","source":"DOI.org (Crossref)","title":"Multispectral fluorescence-activated cell sorting of B and T cell subpopulations from equine peripheral blood","volume":"199","author":[{"family":"Tomlinson","given":"Joy E."},{"family":"Wagner","given":"Bettina"},{"family":"Felippe","given":"M. Julia B."},{"family":"Van de Walle","given":"Gerlinde R."}],"issued":{"date-parts":[["2018",5]]}}},{"id":24932,"uris":["http://zotero.org/users/5020141/items/RQG3RHSP"],"uri":["http://zotero.org/users/5020141/items/RQG3RHSP"],"itemData":{"id":24932,"type":"article-journal","container-title":"Veterinary Immunology and Immunopathology","DOI":"10.1016/S0165-2427(97)00160-8","ISSN":"01652427","issue":"2","journalAbbreviation":"Veterinary Immunology and Immunopathology","language":"en","page":"101-143","source":"DOI.org (Crossref)","title":"Report of the Second Equine Leucocyte Antigen Workshop, Squaw Valley, California, July 1995","volume":"62","author":[{"family":"Lunn","given":"D.P"},{"family":"Holmes","given":"M.A"},{"family":"Antczak","given":"D.F"},{"family":"Agerwal","given":"N"},{"family":"Baker","given":"Jessica"},{"family":"Bendali-Ahcene","given":"S"},{"family":"Blanchard-Channell","given":"Myra"},{"family":"Byrne","given":"Katherine M"},{"family":"Cannizzo","given":"Karen"},{"family":"Davis","given":"W"},{"family":"Hamilton","given":"Mary Jo"},{"family":"Hannant","given":"D"},{"family":"Kondo","given":"T"},{"family":"Kydd","given":"Julia H"},{"family":"Monier","given":"M.C"},{"family":"Moore","given":"P.F"},{"family":"O'Neil","given":"T"},{"family":"Schram","given":"B.R"},{"family":"Sheoran","given":"A"},{"family":"Stott","given":"J.L"},{"family":"Sugiura","given":"T"},{"family":"Vagnoni","given":"Karen E"}],"issued":{"date-parts":[["1998",3]]}}}],"schema":"https://github.com/citation-style-language/schema/raw/master/csl-citation.json"} </w:instrText>
            </w:r>
            <w:r w:rsidRPr="00E035EF">
              <w:rPr>
                <w:rFonts w:eastAsia="Times New Roman"/>
                <w:color w:val="000000"/>
                <w:sz w:val="20"/>
                <w:szCs w:val="20"/>
              </w:rPr>
              <w:fldChar w:fldCharType="separate"/>
            </w:r>
            <w:r>
              <w:rPr>
                <w:rFonts w:eastAsia="Times New Roman"/>
                <w:noProof/>
                <w:color w:val="000000"/>
                <w:sz w:val="20"/>
                <w:szCs w:val="20"/>
              </w:rPr>
              <w:t>[18, 95]</w:t>
            </w:r>
            <w:r w:rsidRPr="00E035EF">
              <w:rPr>
                <w:rFonts w:eastAsia="Times New Roman"/>
                <w:color w:val="000000"/>
                <w:sz w:val="20"/>
                <w:szCs w:val="20"/>
              </w:rPr>
              <w:fldChar w:fldCharType="end"/>
            </w:r>
          </w:p>
        </w:tc>
      </w:tr>
      <w:tr w:rsidR="006F0294" w:rsidRPr="00E035EF" w14:paraId="5C0DD17F" w14:textId="77777777" w:rsidTr="00F82C7E">
        <w:trPr>
          <w:trHeight w:val="144"/>
        </w:trPr>
        <w:tc>
          <w:tcPr>
            <w:tcW w:w="0" w:type="auto"/>
            <w:tcBorders>
              <w:top w:val="nil"/>
              <w:left w:val="nil"/>
              <w:bottom w:val="nil"/>
              <w:right w:val="nil"/>
            </w:tcBorders>
            <w:shd w:val="clear" w:color="auto" w:fill="auto"/>
            <w:noWrap/>
            <w:vAlign w:val="bottom"/>
            <w:hideMark/>
          </w:tcPr>
          <w:p w14:paraId="101533CF" w14:textId="77777777" w:rsidR="006F0294" w:rsidRPr="00E035EF" w:rsidRDefault="006F0294" w:rsidP="00F82C7E">
            <w:pPr>
              <w:rPr>
                <w:rFonts w:eastAsia="Times New Roman"/>
                <w:sz w:val="20"/>
                <w:szCs w:val="20"/>
              </w:rPr>
            </w:pPr>
          </w:p>
        </w:tc>
        <w:tc>
          <w:tcPr>
            <w:tcW w:w="0" w:type="auto"/>
            <w:tcBorders>
              <w:top w:val="nil"/>
              <w:left w:val="nil"/>
              <w:bottom w:val="nil"/>
              <w:right w:val="nil"/>
            </w:tcBorders>
            <w:shd w:val="clear" w:color="auto" w:fill="auto"/>
            <w:vAlign w:val="center"/>
            <w:hideMark/>
          </w:tcPr>
          <w:p w14:paraId="18713D5B"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Live/Dead fixable aqua</w:t>
            </w:r>
          </w:p>
        </w:tc>
        <w:tc>
          <w:tcPr>
            <w:tcW w:w="0" w:type="auto"/>
            <w:tcBorders>
              <w:top w:val="nil"/>
              <w:left w:val="nil"/>
              <w:bottom w:val="nil"/>
              <w:right w:val="nil"/>
            </w:tcBorders>
            <w:shd w:val="clear" w:color="auto" w:fill="auto"/>
            <w:noWrap/>
            <w:vAlign w:val="bottom"/>
            <w:hideMark/>
          </w:tcPr>
          <w:p w14:paraId="4B4B8587" w14:textId="77777777" w:rsidR="006F0294" w:rsidRPr="00E035EF" w:rsidRDefault="006F0294" w:rsidP="00F82C7E">
            <w:pPr>
              <w:rPr>
                <w:rFonts w:eastAsia="Times New Roman"/>
                <w:color w:val="000000"/>
                <w:sz w:val="20"/>
                <w:szCs w:val="20"/>
              </w:rPr>
            </w:pPr>
          </w:p>
        </w:tc>
        <w:tc>
          <w:tcPr>
            <w:tcW w:w="0" w:type="auto"/>
            <w:tcBorders>
              <w:top w:val="nil"/>
              <w:left w:val="nil"/>
              <w:bottom w:val="nil"/>
              <w:right w:val="nil"/>
            </w:tcBorders>
            <w:shd w:val="clear" w:color="auto" w:fill="auto"/>
            <w:vAlign w:val="center"/>
            <w:hideMark/>
          </w:tcPr>
          <w:p w14:paraId="2B4E7219"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ThermoFisher</w:t>
            </w:r>
            <w:proofErr w:type="spellEnd"/>
            <w:r w:rsidRPr="00E035EF">
              <w:rPr>
                <w:rFonts w:eastAsia="Times New Roman"/>
                <w:color w:val="000000"/>
                <w:sz w:val="20"/>
                <w:szCs w:val="20"/>
              </w:rPr>
              <w:t xml:space="preserve"> Scientific</w:t>
            </w:r>
          </w:p>
        </w:tc>
        <w:tc>
          <w:tcPr>
            <w:tcW w:w="0" w:type="auto"/>
            <w:tcBorders>
              <w:top w:val="nil"/>
              <w:left w:val="nil"/>
              <w:bottom w:val="nil"/>
              <w:right w:val="nil"/>
            </w:tcBorders>
            <w:vAlign w:val="center"/>
          </w:tcPr>
          <w:p w14:paraId="7B7BEBB1" w14:textId="77777777" w:rsidR="006F0294" w:rsidRPr="00E035EF" w:rsidRDefault="006F0294" w:rsidP="00F82C7E">
            <w:pPr>
              <w:rPr>
                <w:rFonts w:eastAsia="Times New Roman"/>
                <w:color w:val="000000"/>
                <w:sz w:val="20"/>
                <w:szCs w:val="20"/>
              </w:rPr>
            </w:pPr>
          </w:p>
        </w:tc>
      </w:tr>
      <w:tr w:rsidR="006F0294" w:rsidRPr="00E035EF" w14:paraId="1D07D8AE" w14:textId="77777777" w:rsidTr="00F82C7E">
        <w:trPr>
          <w:trHeight w:val="144"/>
        </w:trPr>
        <w:tc>
          <w:tcPr>
            <w:tcW w:w="0" w:type="auto"/>
            <w:tcBorders>
              <w:top w:val="nil"/>
              <w:left w:val="nil"/>
              <w:right w:val="nil"/>
            </w:tcBorders>
            <w:shd w:val="clear" w:color="auto" w:fill="auto"/>
            <w:noWrap/>
            <w:vAlign w:val="bottom"/>
            <w:hideMark/>
          </w:tcPr>
          <w:p w14:paraId="192ADA11" w14:textId="77777777" w:rsidR="006F0294" w:rsidRPr="00E035EF" w:rsidRDefault="006F0294" w:rsidP="00F82C7E">
            <w:pPr>
              <w:rPr>
                <w:rFonts w:eastAsia="Times New Roman"/>
                <w:sz w:val="20"/>
                <w:szCs w:val="20"/>
              </w:rPr>
            </w:pPr>
          </w:p>
        </w:tc>
        <w:tc>
          <w:tcPr>
            <w:tcW w:w="0" w:type="auto"/>
            <w:tcBorders>
              <w:top w:val="nil"/>
              <w:left w:val="nil"/>
              <w:right w:val="nil"/>
            </w:tcBorders>
            <w:shd w:val="clear" w:color="auto" w:fill="auto"/>
            <w:vAlign w:val="center"/>
            <w:hideMark/>
          </w:tcPr>
          <w:p w14:paraId="1BFC8B5B"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Live/Dead fixable near IR</w:t>
            </w:r>
          </w:p>
        </w:tc>
        <w:tc>
          <w:tcPr>
            <w:tcW w:w="0" w:type="auto"/>
            <w:tcBorders>
              <w:top w:val="nil"/>
              <w:left w:val="nil"/>
              <w:right w:val="nil"/>
            </w:tcBorders>
            <w:shd w:val="clear" w:color="auto" w:fill="auto"/>
            <w:noWrap/>
            <w:vAlign w:val="bottom"/>
            <w:hideMark/>
          </w:tcPr>
          <w:p w14:paraId="427AD8FB" w14:textId="77777777" w:rsidR="006F0294" w:rsidRPr="00E035EF" w:rsidRDefault="006F0294" w:rsidP="00F82C7E">
            <w:pPr>
              <w:rPr>
                <w:rFonts w:eastAsia="Times New Roman"/>
                <w:color w:val="000000"/>
                <w:sz w:val="20"/>
                <w:szCs w:val="20"/>
              </w:rPr>
            </w:pPr>
          </w:p>
        </w:tc>
        <w:tc>
          <w:tcPr>
            <w:tcW w:w="0" w:type="auto"/>
            <w:tcBorders>
              <w:top w:val="nil"/>
              <w:left w:val="nil"/>
              <w:right w:val="nil"/>
            </w:tcBorders>
            <w:shd w:val="clear" w:color="auto" w:fill="auto"/>
            <w:vAlign w:val="center"/>
            <w:hideMark/>
          </w:tcPr>
          <w:p w14:paraId="7DE2F47D"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ThermoFisher</w:t>
            </w:r>
            <w:proofErr w:type="spellEnd"/>
            <w:r w:rsidRPr="00E035EF">
              <w:rPr>
                <w:rFonts w:eastAsia="Times New Roman"/>
                <w:color w:val="000000"/>
                <w:sz w:val="20"/>
                <w:szCs w:val="20"/>
              </w:rPr>
              <w:t xml:space="preserve"> Scientific</w:t>
            </w:r>
          </w:p>
        </w:tc>
        <w:tc>
          <w:tcPr>
            <w:tcW w:w="0" w:type="auto"/>
            <w:tcBorders>
              <w:top w:val="nil"/>
              <w:left w:val="nil"/>
              <w:right w:val="nil"/>
            </w:tcBorders>
            <w:vAlign w:val="center"/>
          </w:tcPr>
          <w:p w14:paraId="06CA616A" w14:textId="77777777" w:rsidR="006F0294" w:rsidRPr="00E035EF" w:rsidRDefault="006F0294" w:rsidP="00F82C7E">
            <w:pPr>
              <w:rPr>
                <w:rFonts w:eastAsia="Times New Roman"/>
                <w:color w:val="000000"/>
                <w:sz w:val="20"/>
                <w:szCs w:val="20"/>
              </w:rPr>
            </w:pPr>
          </w:p>
        </w:tc>
      </w:tr>
      <w:tr w:rsidR="006F0294" w:rsidRPr="00E035EF" w14:paraId="54186EBE" w14:textId="77777777" w:rsidTr="00F82C7E">
        <w:trPr>
          <w:trHeight w:val="144"/>
        </w:trPr>
        <w:tc>
          <w:tcPr>
            <w:tcW w:w="0" w:type="auto"/>
            <w:tcBorders>
              <w:top w:val="nil"/>
              <w:left w:val="nil"/>
              <w:bottom w:val="single" w:sz="4" w:space="0" w:color="auto"/>
              <w:right w:val="nil"/>
            </w:tcBorders>
            <w:shd w:val="clear" w:color="auto" w:fill="auto"/>
            <w:noWrap/>
            <w:vAlign w:val="bottom"/>
            <w:hideMark/>
          </w:tcPr>
          <w:p w14:paraId="51105564" w14:textId="77777777" w:rsidR="006F0294" w:rsidRPr="00E035EF" w:rsidRDefault="006F0294" w:rsidP="00F82C7E">
            <w:pPr>
              <w:rPr>
                <w:rFonts w:eastAsia="Times New Roman"/>
                <w:sz w:val="20"/>
                <w:szCs w:val="20"/>
              </w:rPr>
            </w:pPr>
          </w:p>
        </w:tc>
        <w:tc>
          <w:tcPr>
            <w:tcW w:w="0" w:type="auto"/>
            <w:tcBorders>
              <w:top w:val="nil"/>
              <w:left w:val="nil"/>
              <w:bottom w:val="single" w:sz="4" w:space="0" w:color="auto"/>
              <w:right w:val="nil"/>
            </w:tcBorders>
            <w:shd w:val="clear" w:color="auto" w:fill="auto"/>
            <w:vAlign w:val="center"/>
            <w:hideMark/>
          </w:tcPr>
          <w:p w14:paraId="7AA8B06C" w14:textId="77777777" w:rsidR="006F0294" w:rsidRPr="00E035EF" w:rsidRDefault="006F0294" w:rsidP="00F82C7E">
            <w:pPr>
              <w:rPr>
                <w:rFonts w:eastAsia="Times New Roman"/>
                <w:color w:val="000000"/>
                <w:sz w:val="20"/>
                <w:szCs w:val="20"/>
              </w:rPr>
            </w:pPr>
            <w:r w:rsidRPr="00E035EF">
              <w:rPr>
                <w:rFonts w:eastAsia="Times New Roman"/>
                <w:color w:val="000000"/>
                <w:sz w:val="20"/>
                <w:szCs w:val="20"/>
              </w:rPr>
              <w:t>7AAD</w:t>
            </w:r>
          </w:p>
        </w:tc>
        <w:tc>
          <w:tcPr>
            <w:tcW w:w="0" w:type="auto"/>
            <w:tcBorders>
              <w:top w:val="nil"/>
              <w:left w:val="nil"/>
              <w:bottom w:val="single" w:sz="4" w:space="0" w:color="auto"/>
              <w:right w:val="nil"/>
            </w:tcBorders>
            <w:shd w:val="clear" w:color="auto" w:fill="auto"/>
            <w:vAlign w:val="center"/>
            <w:hideMark/>
          </w:tcPr>
          <w:p w14:paraId="348509EF" w14:textId="77777777" w:rsidR="006F0294" w:rsidRPr="00E035EF" w:rsidRDefault="006F0294" w:rsidP="00F82C7E">
            <w:pPr>
              <w:rPr>
                <w:rFonts w:eastAsia="Times New Roman"/>
                <w:color w:val="000000"/>
                <w:sz w:val="20"/>
                <w:szCs w:val="20"/>
              </w:rPr>
            </w:pPr>
          </w:p>
        </w:tc>
        <w:tc>
          <w:tcPr>
            <w:tcW w:w="0" w:type="auto"/>
            <w:tcBorders>
              <w:top w:val="nil"/>
              <w:left w:val="nil"/>
              <w:bottom w:val="single" w:sz="4" w:space="0" w:color="auto"/>
              <w:right w:val="nil"/>
            </w:tcBorders>
            <w:shd w:val="clear" w:color="auto" w:fill="auto"/>
            <w:vAlign w:val="center"/>
            <w:hideMark/>
          </w:tcPr>
          <w:p w14:paraId="6EDAE279" w14:textId="77777777" w:rsidR="006F0294" w:rsidRPr="00E035EF" w:rsidRDefault="006F0294" w:rsidP="00F82C7E">
            <w:pPr>
              <w:rPr>
                <w:rFonts w:eastAsia="Times New Roman"/>
                <w:color w:val="000000"/>
                <w:sz w:val="20"/>
                <w:szCs w:val="20"/>
              </w:rPr>
            </w:pPr>
            <w:proofErr w:type="spellStart"/>
            <w:r w:rsidRPr="00E035EF">
              <w:rPr>
                <w:rFonts w:eastAsia="Times New Roman"/>
                <w:color w:val="000000"/>
                <w:sz w:val="20"/>
                <w:szCs w:val="20"/>
              </w:rPr>
              <w:t>BioLegend</w:t>
            </w:r>
            <w:proofErr w:type="spellEnd"/>
          </w:p>
        </w:tc>
        <w:tc>
          <w:tcPr>
            <w:tcW w:w="0" w:type="auto"/>
            <w:tcBorders>
              <w:top w:val="nil"/>
              <w:left w:val="nil"/>
              <w:bottom w:val="single" w:sz="4" w:space="0" w:color="auto"/>
              <w:right w:val="nil"/>
            </w:tcBorders>
            <w:vAlign w:val="center"/>
          </w:tcPr>
          <w:p w14:paraId="5E2F3531" w14:textId="77777777" w:rsidR="006F0294" w:rsidRPr="00E035EF" w:rsidRDefault="006F0294" w:rsidP="00F82C7E">
            <w:pPr>
              <w:rPr>
                <w:rFonts w:eastAsia="Times New Roman"/>
                <w:color w:val="000000"/>
                <w:sz w:val="20"/>
                <w:szCs w:val="20"/>
              </w:rPr>
            </w:pPr>
          </w:p>
        </w:tc>
      </w:tr>
    </w:tbl>
    <w:p w14:paraId="485D55FA" w14:textId="77777777" w:rsidR="006F0294" w:rsidRPr="00E035EF" w:rsidRDefault="006F0294" w:rsidP="006F0294">
      <w:pPr>
        <w:rPr>
          <w:rFonts w:eastAsia="Times New Roman"/>
          <w:sz w:val="20"/>
          <w:szCs w:val="20"/>
        </w:rPr>
      </w:pPr>
      <w:proofErr w:type="spellStart"/>
      <w:r w:rsidRPr="00E035EF">
        <w:rPr>
          <w:rFonts w:eastAsia="Times New Roman"/>
          <w:sz w:val="20"/>
          <w:szCs w:val="20"/>
        </w:rPr>
        <w:t>Eq</w:t>
      </w:r>
      <w:proofErr w:type="spellEnd"/>
      <w:r w:rsidRPr="00E035EF">
        <w:rPr>
          <w:rFonts w:eastAsia="Times New Roman"/>
          <w:sz w:val="20"/>
          <w:szCs w:val="20"/>
        </w:rPr>
        <w:t>, Horse; Hu, Human</w:t>
      </w:r>
    </w:p>
    <w:p w14:paraId="3FB82153" w14:textId="77777777" w:rsidR="006F0294" w:rsidRPr="00E035EF" w:rsidRDefault="006F0294" w:rsidP="006F0294">
      <w:pPr>
        <w:rPr>
          <w:rFonts w:eastAsia="Times New Roman"/>
          <w:color w:val="000000"/>
          <w:sz w:val="20"/>
          <w:szCs w:val="20"/>
          <w:shd w:val="clear" w:color="auto" w:fill="FFFFFF"/>
        </w:rPr>
      </w:pPr>
      <w:r w:rsidRPr="00E035EF">
        <w:rPr>
          <w:rFonts w:eastAsia="Times New Roman"/>
          <w:color w:val="000000"/>
          <w:sz w:val="20"/>
          <w:szCs w:val="20"/>
          <w:shd w:val="clear" w:color="auto" w:fill="FFFFFF"/>
        </w:rPr>
        <w:t>*Anti-human Ki67 clone B56. This clone was validated by test on non-replicating primary equine lymphocytes, which were negative, and pokeweed mitogen stimulated replicating primary equine lymphocytes, which were positive (data not shown). </w:t>
      </w:r>
    </w:p>
    <w:p w14:paraId="15E34E43" w14:textId="77777777" w:rsidR="006F0294" w:rsidRPr="00E035EF" w:rsidRDefault="006F0294" w:rsidP="006F0294">
      <w:pPr>
        <w:rPr>
          <w:rFonts w:eastAsia="Times New Roman"/>
          <w:color w:val="000000"/>
          <w:sz w:val="20"/>
          <w:szCs w:val="20"/>
          <w:shd w:val="clear" w:color="auto" w:fill="FFFFFF"/>
        </w:rPr>
      </w:pPr>
      <w:r w:rsidRPr="00E035EF">
        <w:rPr>
          <w:rFonts w:eastAsia="Times New Roman"/>
          <w:color w:val="000000"/>
          <w:sz w:val="20"/>
          <w:szCs w:val="20"/>
          <w:shd w:val="clear" w:color="auto" w:fill="FFFFFF"/>
        </w:rPr>
        <w:t xml:space="preserve">**Anti-human T-bet clone 4B10 was validated by co-expression patterns with CD11b, CD21, and CD23 </w:t>
      </w:r>
      <w:bookmarkStart w:id="0" w:name="_GoBack"/>
      <w:bookmarkEnd w:id="0"/>
      <w:r w:rsidRPr="00E035EF">
        <w:rPr>
          <w:rFonts w:eastAsia="Times New Roman"/>
          <w:color w:val="000000"/>
          <w:sz w:val="20"/>
          <w:szCs w:val="20"/>
          <w:shd w:val="clear" w:color="auto" w:fill="FFFFFF"/>
        </w:rPr>
        <w:t>as shown in the main manuscript.</w:t>
      </w:r>
    </w:p>
    <w:p w14:paraId="1F324EC4" w14:textId="77777777" w:rsidR="00D31058" w:rsidRPr="00493674" w:rsidRDefault="00D31058"/>
    <w:sectPr w:rsidR="00D31058" w:rsidRPr="00493674" w:rsidSect="004936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294"/>
    <w:rsid w:val="00137CBD"/>
    <w:rsid w:val="002E759D"/>
    <w:rsid w:val="00493674"/>
    <w:rsid w:val="006F0294"/>
    <w:rsid w:val="00701217"/>
    <w:rsid w:val="007C1CAE"/>
    <w:rsid w:val="00B4749E"/>
    <w:rsid w:val="00D31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C30646"/>
  <w14:defaultImageDpi w14:val="32767"/>
  <w15:chartTrackingRefBased/>
  <w15:docId w15:val="{6D786F92-31C6-694C-A9A0-5E0CF9ADC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F0294"/>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6F0294"/>
    <w:pPr>
      <w:tabs>
        <w:tab w:val="left" w:pos="380"/>
        <w:tab w:val="left" w:pos="500"/>
      </w:tabs>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4441</Words>
  <Characters>25320</Characters>
  <Application>Microsoft Office Word</Application>
  <DocSecurity>0</DocSecurity>
  <Lines>211</Lines>
  <Paragraphs>59</Paragraphs>
  <ScaleCrop>false</ScaleCrop>
  <Company>Icahn School of Medicine at Mount Sinai</Company>
  <LinksUpToDate>false</LinksUpToDate>
  <CharactersWithSpaces>29702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R. Rosenberg</dc:creator>
  <cp:keywords/>
  <dc:description/>
  <cp:lastModifiedBy>Brad R. Rosenberg</cp:lastModifiedBy>
  <cp:revision>1</cp:revision>
  <dcterms:created xsi:type="dcterms:W3CDTF">2020-11-23T08:15:00Z</dcterms:created>
  <dcterms:modified xsi:type="dcterms:W3CDTF">2020-11-23T08:16:00Z</dcterms:modified>
</cp:coreProperties>
</file>