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1"/>
        <w:spacing w:lineRule="auto" w:line="360"/>
        <w:jc w:val="both"/>
        <w:rPr>
          <w:rFonts w:ascii="Times New Roman" w:hAnsi="Times New Roman" w:eastAsia="Times New Roman" w:cs="Times New Roman"/>
          <w:i/>
          <w:i/>
          <w:sz w:val="20"/>
          <w:szCs w:val="20"/>
        </w:rPr>
      </w:pPr>
      <w:r>
        <w:rPr>
          <w:rFonts w:eastAsia="Times New Roman" w:cs="Times New Roman" w:ascii="Times New Roman" w:hAnsi="Times New Roman"/>
          <w:b/>
          <w:sz w:val="20"/>
          <w:szCs w:val="20"/>
        </w:rPr>
        <w:t>Table S1.</w:t>
      </w:r>
      <w:r>
        <w:rPr>
          <w:rFonts w:eastAsia="Times New Roman" w:cs="Times New Roman" w:ascii="Times New Roman" w:hAnsi="Times New Roman"/>
          <w:sz w:val="20"/>
          <w:szCs w:val="20"/>
        </w:rPr>
        <w:t xml:space="preserve"> Evaluation of the performance of Kraken classifying reads at genus and species level for the reference genomes and among all samples of the studies analyzed.</w:t>
      </w:r>
    </w:p>
    <w:tbl>
      <w:tblPr>
        <w:tblStyle w:val="Table1"/>
        <w:tblW w:w="11010" w:type="dxa"/>
        <w:jc w:val="left"/>
        <w:tblInd w:w="-890" w:type="dxa"/>
        <w:tblCellMar>
          <w:top w:w="100" w:type="dxa"/>
          <w:left w:w="100" w:type="dxa"/>
          <w:bottom w:w="100" w:type="dxa"/>
          <w:right w:w="100" w:type="dxa"/>
        </w:tblCellMar>
        <w:tblLook w:val="0600"/>
      </w:tblPr>
      <w:tblGrid>
        <w:gridCol w:w="1829"/>
        <w:gridCol w:w="1919"/>
        <w:gridCol w:w="2159"/>
        <w:gridCol w:w="1079"/>
        <w:gridCol w:w="1230"/>
        <w:gridCol w:w="1290"/>
        <w:gridCol w:w="1503"/>
      </w:tblGrid>
      <w:tr>
        <w:trPr>
          <w:trHeight w:val="1880" w:hRule="atLeast"/>
        </w:trPr>
        <w:tc>
          <w:tcPr>
            <w:tcW w:w="18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Times New Roman" w:hAnsi="Times New Roman" w:eastAsia="Times New Roman" w:cs="Times New Roman"/>
                <w:b/>
                <w:b/>
                <w:sz w:val="18"/>
                <w:szCs w:val="18"/>
              </w:rPr>
            </w:pPr>
            <w:r>
              <w:rPr>
                <w:rFonts w:eastAsia="Times New Roman" w:cs="Times New Roman" w:ascii="Times New Roman" w:hAnsi="Times New Roman"/>
                <w:b/>
                <w:sz w:val="18"/>
                <w:szCs w:val="18"/>
              </w:rPr>
              <w:t>Organism</w:t>
            </w:r>
          </w:p>
        </w:tc>
        <w:tc>
          <w:tcPr>
            <w:tcW w:w="19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Times New Roman" w:hAnsi="Times New Roman" w:eastAsia="Times New Roman" w:cs="Times New Roman"/>
                <w:b/>
                <w:b/>
                <w:sz w:val="18"/>
                <w:szCs w:val="18"/>
              </w:rPr>
            </w:pPr>
            <w:r>
              <w:rPr>
                <w:rFonts w:eastAsia="Times New Roman" w:cs="Times New Roman" w:ascii="Times New Roman" w:hAnsi="Times New Roman"/>
                <w:b/>
                <w:sz w:val="18"/>
                <w:szCs w:val="18"/>
              </w:rPr>
              <w:t>Reads classified as target species  (Illumina MiSeq; 250bp)</w:t>
            </w:r>
          </w:p>
        </w:tc>
        <w:tc>
          <w:tcPr>
            <w:tcW w:w="21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Times New Roman" w:hAnsi="Times New Roman" w:eastAsia="Times New Roman" w:cs="Times New Roman"/>
                <w:b/>
                <w:b/>
                <w:sz w:val="18"/>
                <w:szCs w:val="18"/>
              </w:rPr>
            </w:pPr>
            <w:r>
              <w:rPr>
                <w:rFonts w:eastAsia="Times New Roman" w:cs="Times New Roman" w:ascii="Times New Roman" w:hAnsi="Times New Roman"/>
                <w:b/>
                <w:sz w:val="18"/>
                <w:szCs w:val="18"/>
              </w:rPr>
              <w:t>Reads classified as target genus (Illumina MiSeq; 250bp)</w:t>
            </w:r>
          </w:p>
        </w:tc>
        <w:tc>
          <w:tcPr>
            <w:tcW w:w="10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Times New Roman" w:hAnsi="Times New Roman" w:eastAsia="Times New Roman" w:cs="Times New Roman"/>
                <w:b/>
                <w:b/>
                <w:sz w:val="18"/>
                <w:szCs w:val="18"/>
              </w:rPr>
            </w:pPr>
            <w:r>
              <w:rPr>
                <w:rFonts w:eastAsia="Times New Roman" w:cs="Times New Roman" w:ascii="Times New Roman" w:hAnsi="Times New Roman"/>
                <w:b/>
                <w:sz w:val="18"/>
                <w:szCs w:val="18"/>
              </w:rPr>
              <w:t>Reads classified as target species  (Illumina HiSeq; 100bp)</w:t>
            </w:r>
          </w:p>
        </w:tc>
        <w:tc>
          <w:tcPr>
            <w:tcW w:w="12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Times New Roman" w:hAnsi="Times New Roman" w:eastAsia="Times New Roman" w:cs="Times New Roman"/>
                <w:b/>
                <w:b/>
                <w:sz w:val="18"/>
                <w:szCs w:val="18"/>
              </w:rPr>
            </w:pPr>
            <w:r>
              <w:rPr>
                <w:rFonts w:eastAsia="Times New Roman" w:cs="Times New Roman" w:ascii="Times New Roman" w:hAnsi="Times New Roman"/>
                <w:b/>
                <w:sz w:val="18"/>
                <w:szCs w:val="18"/>
              </w:rPr>
              <w:t>Reads classified as target genus (Illumina HiSeq; 100bp)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Times New Roman" w:hAnsi="Times New Roman" w:eastAsia="Times New Roman" w:cs="Times New Roman"/>
                <w:b/>
                <w:b/>
                <w:sz w:val="18"/>
                <w:szCs w:val="18"/>
              </w:rPr>
            </w:pPr>
            <w:r>
              <w:rPr>
                <w:rFonts w:eastAsia="Times New Roman" w:cs="Times New Roman" w:ascii="Times New Roman" w:hAnsi="Times New Roman"/>
                <w:b/>
                <w:sz w:val="18"/>
                <w:szCs w:val="18"/>
              </w:rPr>
              <w:t>Maximum proportion classified among all samples from each corresponding study as target species</w:t>
            </w:r>
          </w:p>
        </w:tc>
        <w:tc>
          <w:tcPr>
            <w:tcW w:w="15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Times New Roman" w:hAnsi="Times New Roman" w:eastAsia="Times New Roman" w:cs="Times New Roman"/>
                <w:b/>
                <w:b/>
                <w:sz w:val="18"/>
                <w:szCs w:val="18"/>
              </w:rPr>
            </w:pPr>
            <w:r>
              <w:rPr>
                <w:rFonts w:eastAsia="Times New Roman" w:cs="Times New Roman" w:ascii="Times New Roman" w:hAnsi="Times New Roman"/>
                <w:b/>
                <w:sz w:val="18"/>
                <w:szCs w:val="18"/>
              </w:rPr>
              <w:t>Maximum proportion classified among all samples from each corresponding study as target genus</w:t>
            </w:r>
          </w:p>
        </w:tc>
      </w:tr>
      <w:tr>
        <w:trPr/>
        <w:tc>
          <w:tcPr>
            <w:tcW w:w="18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Times New Roman" w:hAnsi="Times New Roman" w:eastAsia="Times New Roman" w:cs="Times New Roman"/>
                <w:i/>
                <w:i/>
                <w:sz w:val="18"/>
                <w:szCs w:val="18"/>
              </w:rPr>
            </w:pPr>
            <w:r>
              <w:rPr>
                <w:rFonts w:eastAsia="Times New Roman" w:cs="Times New Roman" w:ascii="Times New Roman" w:hAnsi="Times New Roman"/>
                <w:i/>
                <w:sz w:val="18"/>
                <w:szCs w:val="18"/>
              </w:rPr>
              <w:t>A. baumannii</w:t>
            </w:r>
          </w:p>
        </w:tc>
        <w:tc>
          <w:tcPr>
            <w:tcW w:w="19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</w:rPr>
              <w:t>99.07%</w:t>
            </w:r>
          </w:p>
        </w:tc>
        <w:tc>
          <w:tcPr>
            <w:tcW w:w="21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</w:rPr>
              <w:t>99.61%</w:t>
            </w:r>
          </w:p>
        </w:tc>
        <w:tc>
          <w:tcPr>
            <w:tcW w:w="10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</w:rPr>
              <w:t>97.98%</w:t>
            </w:r>
          </w:p>
        </w:tc>
        <w:tc>
          <w:tcPr>
            <w:tcW w:w="12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</w:rPr>
              <w:t>99.54%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</w:rPr>
              <w:t>97.37%</w:t>
            </w:r>
          </w:p>
        </w:tc>
        <w:tc>
          <w:tcPr>
            <w:tcW w:w="15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</w:rPr>
              <w:t>99.39%</w:t>
            </w:r>
          </w:p>
        </w:tc>
      </w:tr>
      <w:tr>
        <w:trPr/>
        <w:tc>
          <w:tcPr>
            <w:tcW w:w="18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Times New Roman" w:hAnsi="Times New Roman" w:eastAsia="Times New Roman" w:cs="Times New Roman"/>
                <w:i/>
                <w:i/>
                <w:sz w:val="18"/>
                <w:szCs w:val="18"/>
              </w:rPr>
            </w:pPr>
            <w:r>
              <w:rPr>
                <w:rFonts w:eastAsia="Times New Roman" w:cs="Times New Roman" w:ascii="Times New Roman" w:hAnsi="Times New Roman"/>
                <w:i/>
                <w:sz w:val="18"/>
                <w:szCs w:val="18"/>
              </w:rPr>
              <w:t>C. difficile</w:t>
            </w:r>
          </w:p>
        </w:tc>
        <w:tc>
          <w:tcPr>
            <w:tcW w:w="19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</w:rPr>
              <w:t>99.40%</w:t>
            </w:r>
          </w:p>
        </w:tc>
        <w:tc>
          <w:tcPr>
            <w:tcW w:w="21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</w:rPr>
              <w:t>99.40%</w:t>
            </w:r>
          </w:p>
        </w:tc>
        <w:tc>
          <w:tcPr>
            <w:tcW w:w="10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</w:rPr>
              <w:t>98.95%</w:t>
            </w:r>
          </w:p>
        </w:tc>
        <w:tc>
          <w:tcPr>
            <w:tcW w:w="12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</w:rPr>
              <w:t>98.95%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</w:rPr>
              <w:t>98.37%</w:t>
            </w:r>
          </w:p>
        </w:tc>
        <w:tc>
          <w:tcPr>
            <w:tcW w:w="15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</w:rPr>
              <w:t>98.37%</w:t>
            </w:r>
          </w:p>
        </w:tc>
      </w:tr>
      <w:tr>
        <w:trPr/>
        <w:tc>
          <w:tcPr>
            <w:tcW w:w="18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Times New Roman" w:hAnsi="Times New Roman" w:eastAsia="Times New Roman" w:cs="Times New Roman"/>
                <w:i/>
                <w:i/>
                <w:sz w:val="18"/>
                <w:szCs w:val="18"/>
              </w:rPr>
            </w:pPr>
            <w:r>
              <w:rPr>
                <w:rFonts w:eastAsia="Times New Roman" w:cs="Times New Roman" w:ascii="Times New Roman" w:hAnsi="Times New Roman"/>
                <w:i/>
                <w:sz w:val="18"/>
                <w:szCs w:val="18"/>
              </w:rPr>
              <w:t>E. faecalis</w:t>
            </w:r>
          </w:p>
        </w:tc>
        <w:tc>
          <w:tcPr>
            <w:tcW w:w="19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</w:rPr>
              <w:t>99.55%</w:t>
            </w:r>
          </w:p>
        </w:tc>
        <w:tc>
          <w:tcPr>
            <w:tcW w:w="21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</w:rPr>
              <w:t>99.83%</w:t>
            </w:r>
          </w:p>
        </w:tc>
        <w:tc>
          <w:tcPr>
            <w:tcW w:w="10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</w:rPr>
              <w:t>99.07%</w:t>
            </w:r>
          </w:p>
        </w:tc>
        <w:tc>
          <w:tcPr>
            <w:tcW w:w="12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</w:rPr>
              <w:t>99.65%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</w:rPr>
              <w:t>98.11%</w:t>
            </w:r>
          </w:p>
        </w:tc>
        <w:tc>
          <w:tcPr>
            <w:tcW w:w="15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</w:rPr>
              <w:t>98.27%</w:t>
            </w:r>
          </w:p>
        </w:tc>
      </w:tr>
      <w:tr>
        <w:trPr/>
        <w:tc>
          <w:tcPr>
            <w:tcW w:w="18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Times New Roman" w:hAnsi="Times New Roman" w:eastAsia="Times New Roman" w:cs="Times New Roman"/>
                <w:i/>
                <w:i/>
                <w:sz w:val="18"/>
                <w:szCs w:val="18"/>
              </w:rPr>
            </w:pPr>
            <w:r>
              <w:rPr>
                <w:rFonts w:eastAsia="Times New Roman" w:cs="Times New Roman" w:ascii="Times New Roman" w:hAnsi="Times New Roman"/>
                <w:i/>
                <w:sz w:val="18"/>
                <w:szCs w:val="18"/>
              </w:rPr>
              <w:t>E. faecium</w:t>
            </w:r>
          </w:p>
        </w:tc>
        <w:tc>
          <w:tcPr>
            <w:tcW w:w="19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</w:rPr>
              <w:t>99.30%</w:t>
            </w:r>
          </w:p>
        </w:tc>
        <w:tc>
          <w:tcPr>
            <w:tcW w:w="21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</w:rPr>
              <w:t>99.95%</w:t>
            </w:r>
          </w:p>
        </w:tc>
        <w:tc>
          <w:tcPr>
            <w:tcW w:w="10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</w:rPr>
              <w:t>98.74%</w:t>
            </w:r>
          </w:p>
        </w:tc>
        <w:tc>
          <w:tcPr>
            <w:tcW w:w="12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</w:rPr>
              <w:t>99.79%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</w:rPr>
              <w:t>97.7%</w:t>
            </w:r>
          </w:p>
        </w:tc>
        <w:tc>
          <w:tcPr>
            <w:tcW w:w="15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</w:rPr>
              <w:t>98.97%</w:t>
            </w:r>
          </w:p>
        </w:tc>
      </w:tr>
      <w:tr>
        <w:trPr/>
        <w:tc>
          <w:tcPr>
            <w:tcW w:w="18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Times New Roman" w:hAnsi="Times New Roman" w:eastAsia="Times New Roman" w:cs="Times New Roman"/>
                <w:i/>
                <w:i/>
                <w:sz w:val="18"/>
                <w:szCs w:val="18"/>
              </w:rPr>
            </w:pPr>
            <w:r>
              <w:rPr>
                <w:rFonts w:eastAsia="Times New Roman" w:cs="Times New Roman" w:ascii="Times New Roman" w:hAnsi="Times New Roman"/>
                <w:i/>
                <w:sz w:val="18"/>
                <w:szCs w:val="18"/>
              </w:rPr>
              <w:t>K. pneumoniae</w:t>
            </w:r>
          </w:p>
        </w:tc>
        <w:tc>
          <w:tcPr>
            <w:tcW w:w="19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</w:rPr>
              <w:t>97.86%</w:t>
            </w:r>
          </w:p>
        </w:tc>
        <w:tc>
          <w:tcPr>
            <w:tcW w:w="21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</w:rPr>
              <w:t>98.96%</w:t>
            </w:r>
          </w:p>
        </w:tc>
        <w:tc>
          <w:tcPr>
            <w:tcW w:w="10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</w:rPr>
              <w:t>94.20%</w:t>
            </w:r>
          </w:p>
        </w:tc>
        <w:tc>
          <w:tcPr>
            <w:tcW w:w="12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</w:rPr>
              <w:t>98%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</w:rPr>
              <w:t>94.96%</w:t>
            </w:r>
          </w:p>
        </w:tc>
        <w:tc>
          <w:tcPr>
            <w:tcW w:w="15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</w:rPr>
              <w:t>97.07%</w:t>
            </w:r>
          </w:p>
        </w:tc>
      </w:tr>
      <w:tr>
        <w:trPr/>
        <w:tc>
          <w:tcPr>
            <w:tcW w:w="18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Times New Roman" w:hAnsi="Times New Roman" w:eastAsia="Times New Roman" w:cs="Times New Roman"/>
                <w:i/>
                <w:i/>
                <w:sz w:val="18"/>
                <w:szCs w:val="18"/>
              </w:rPr>
            </w:pPr>
            <w:r>
              <w:rPr>
                <w:rFonts w:eastAsia="Times New Roman" w:cs="Times New Roman" w:ascii="Times New Roman" w:hAnsi="Times New Roman"/>
                <w:i/>
                <w:sz w:val="18"/>
                <w:szCs w:val="18"/>
              </w:rPr>
              <w:t>L. pneumophila</w:t>
            </w:r>
          </w:p>
        </w:tc>
        <w:tc>
          <w:tcPr>
            <w:tcW w:w="19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</w:rPr>
              <w:t>99.80%</w:t>
            </w:r>
          </w:p>
        </w:tc>
        <w:tc>
          <w:tcPr>
            <w:tcW w:w="21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</w:rPr>
              <w:t>100%</w:t>
            </w:r>
          </w:p>
        </w:tc>
        <w:tc>
          <w:tcPr>
            <w:tcW w:w="10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</w:rPr>
              <w:t>99.61%</w:t>
            </w:r>
          </w:p>
        </w:tc>
        <w:tc>
          <w:tcPr>
            <w:tcW w:w="12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</w:rPr>
              <w:t>99.98%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</w:rPr>
              <w:t>99.80%</w:t>
            </w:r>
          </w:p>
        </w:tc>
        <w:tc>
          <w:tcPr>
            <w:tcW w:w="15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</w:rPr>
              <w:t>99.84%</w:t>
            </w:r>
          </w:p>
        </w:tc>
      </w:tr>
      <w:tr>
        <w:trPr/>
        <w:tc>
          <w:tcPr>
            <w:tcW w:w="18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Times New Roman" w:hAnsi="Times New Roman" w:eastAsia="Times New Roman" w:cs="Times New Roman"/>
                <w:i/>
                <w:i/>
                <w:sz w:val="18"/>
                <w:szCs w:val="18"/>
              </w:rPr>
            </w:pPr>
            <w:r>
              <w:rPr>
                <w:rFonts w:eastAsia="Times New Roman" w:cs="Times New Roman" w:ascii="Times New Roman" w:hAnsi="Times New Roman"/>
                <w:i/>
                <w:sz w:val="18"/>
                <w:szCs w:val="18"/>
              </w:rPr>
              <w:t>L. monocytogenes</w:t>
            </w:r>
          </w:p>
        </w:tc>
        <w:tc>
          <w:tcPr>
            <w:tcW w:w="19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</w:rPr>
              <w:t>99.26%</w:t>
            </w:r>
          </w:p>
        </w:tc>
        <w:tc>
          <w:tcPr>
            <w:tcW w:w="21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</w:rPr>
              <w:t>99.96%</w:t>
            </w:r>
          </w:p>
        </w:tc>
        <w:tc>
          <w:tcPr>
            <w:tcW w:w="10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</w:rPr>
              <w:t>98.57%</w:t>
            </w:r>
          </w:p>
        </w:tc>
        <w:tc>
          <w:tcPr>
            <w:tcW w:w="12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</w:rPr>
              <w:t>99.87%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</w:rPr>
              <w:t>98.32%</w:t>
            </w:r>
          </w:p>
        </w:tc>
        <w:tc>
          <w:tcPr>
            <w:tcW w:w="15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</w:rPr>
              <w:t>99.90%</w:t>
            </w:r>
          </w:p>
        </w:tc>
      </w:tr>
      <w:tr>
        <w:trPr/>
        <w:tc>
          <w:tcPr>
            <w:tcW w:w="18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Times New Roman" w:hAnsi="Times New Roman" w:eastAsia="Times New Roman" w:cs="Times New Roman"/>
                <w:i/>
                <w:i/>
                <w:sz w:val="18"/>
                <w:szCs w:val="18"/>
              </w:rPr>
            </w:pPr>
            <w:r>
              <w:rPr>
                <w:rFonts w:eastAsia="Times New Roman" w:cs="Times New Roman" w:ascii="Times New Roman" w:hAnsi="Times New Roman"/>
                <w:i/>
                <w:sz w:val="18"/>
                <w:szCs w:val="18"/>
              </w:rPr>
              <w:t xml:space="preserve">M. tuberculosis </w:t>
            </w:r>
          </w:p>
          <w:p>
            <w:pPr>
              <w:pStyle w:val="Normal1"/>
              <w:widowControl w:val="false"/>
              <w:spacing w:lineRule="auto" w:line="240"/>
              <w:jc w:val="both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</w:rPr>
              <w:t>complex</w:t>
            </w:r>
          </w:p>
        </w:tc>
        <w:tc>
          <w:tcPr>
            <w:tcW w:w="19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</w:rPr>
              <w:t>99.98%</w:t>
            </w:r>
          </w:p>
        </w:tc>
        <w:tc>
          <w:tcPr>
            <w:tcW w:w="21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</w:rPr>
              <w:t>100%</w:t>
            </w:r>
          </w:p>
        </w:tc>
        <w:tc>
          <w:tcPr>
            <w:tcW w:w="10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</w:rPr>
              <w:t>99.98%</w:t>
            </w:r>
          </w:p>
        </w:tc>
        <w:tc>
          <w:tcPr>
            <w:tcW w:w="12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</w:rPr>
              <w:t>100%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</w:rPr>
              <w:t>99.99%</w:t>
            </w:r>
          </w:p>
        </w:tc>
        <w:tc>
          <w:tcPr>
            <w:tcW w:w="15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</w:rPr>
              <w:t>100%</w:t>
            </w:r>
          </w:p>
        </w:tc>
      </w:tr>
      <w:tr>
        <w:trPr/>
        <w:tc>
          <w:tcPr>
            <w:tcW w:w="18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Times New Roman" w:hAnsi="Times New Roman" w:eastAsia="Times New Roman" w:cs="Times New Roman"/>
                <w:i/>
                <w:i/>
                <w:sz w:val="18"/>
                <w:szCs w:val="18"/>
              </w:rPr>
            </w:pPr>
            <w:r>
              <w:rPr>
                <w:rFonts w:eastAsia="Times New Roman" w:cs="Times New Roman" w:ascii="Times New Roman" w:hAnsi="Times New Roman"/>
                <w:i/>
                <w:sz w:val="18"/>
                <w:szCs w:val="18"/>
              </w:rPr>
              <w:t>N. gonorrhoeae</w:t>
            </w:r>
          </w:p>
        </w:tc>
        <w:tc>
          <w:tcPr>
            <w:tcW w:w="19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</w:rPr>
              <w:t>99.16%</w:t>
            </w:r>
          </w:p>
        </w:tc>
        <w:tc>
          <w:tcPr>
            <w:tcW w:w="21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</w:rPr>
              <w:t>100%</w:t>
            </w:r>
          </w:p>
        </w:tc>
        <w:tc>
          <w:tcPr>
            <w:tcW w:w="10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</w:rPr>
              <w:t>94.96%</w:t>
            </w:r>
          </w:p>
        </w:tc>
        <w:tc>
          <w:tcPr>
            <w:tcW w:w="12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</w:rPr>
              <w:t>99.99%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</w:rPr>
              <w:t>98.72%</w:t>
            </w:r>
          </w:p>
        </w:tc>
        <w:tc>
          <w:tcPr>
            <w:tcW w:w="15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</w:rPr>
              <w:t>99.98%</w:t>
            </w:r>
          </w:p>
        </w:tc>
      </w:tr>
      <w:tr>
        <w:trPr/>
        <w:tc>
          <w:tcPr>
            <w:tcW w:w="18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Times New Roman" w:hAnsi="Times New Roman" w:eastAsia="Times New Roman" w:cs="Times New Roman"/>
                <w:i/>
                <w:i/>
                <w:sz w:val="18"/>
                <w:szCs w:val="18"/>
              </w:rPr>
            </w:pPr>
            <w:r>
              <w:rPr>
                <w:rFonts w:eastAsia="Times New Roman" w:cs="Times New Roman" w:ascii="Times New Roman" w:hAnsi="Times New Roman"/>
                <w:i/>
                <w:sz w:val="18"/>
                <w:szCs w:val="18"/>
              </w:rPr>
              <w:t>P. aeruginosa</w:t>
            </w:r>
          </w:p>
        </w:tc>
        <w:tc>
          <w:tcPr>
            <w:tcW w:w="19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</w:rPr>
              <w:t>99.95%</w:t>
            </w:r>
          </w:p>
        </w:tc>
        <w:tc>
          <w:tcPr>
            <w:tcW w:w="21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</w:rPr>
              <w:t>99.99%</w:t>
            </w:r>
          </w:p>
        </w:tc>
        <w:tc>
          <w:tcPr>
            <w:tcW w:w="10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</w:rPr>
              <w:t>99.85%</w:t>
            </w:r>
          </w:p>
        </w:tc>
        <w:tc>
          <w:tcPr>
            <w:tcW w:w="12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</w:rPr>
              <w:t>99.95%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</w:rPr>
              <w:t>99.79%</w:t>
            </w:r>
          </w:p>
        </w:tc>
        <w:tc>
          <w:tcPr>
            <w:tcW w:w="15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</w:rPr>
              <w:t>99.92%</w:t>
            </w:r>
          </w:p>
        </w:tc>
      </w:tr>
      <w:tr>
        <w:trPr/>
        <w:tc>
          <w:tcPr>
            <w:tcW w:w="18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Times New Roman" w:hAnsi="Times New Roman" w:eastAsia="Times New Roman" w:cs="Times New Roman"/>
                <w:i/>
                <w:i/>
                <w:sz w:val="18"/>
                <w:szCs w:val="18"/>
              </w:rPr>
            </w:pPr>
            <w:r>
              <w:rPr>
                <w:rFonts w:eastAsia="Times New Roman" w:cs="Times New Roman" w:ascii="Times New Roman" w:hAnsi="Times New Roman"/>
                <w:i/>
                <w:sz w:val="18"/>
                <w:szCs w:val="18"/>
              </w:rPr>
              <w:t>S. enterica</w:t>
            </w:r>
          </w:p>
        </w:tc>
        <w:tc>
          <w:tcPr>
            <w:tcW w:w="19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</w:rPr>
              <w:t>99.58%</w:t>
            </w:r>
          </w:p>
        </w:tc>
        <w:tc>
          <w:tcPr>
            <w:tcW w:w="21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</w:rPr>
              <w:t>99.73%</w:t>
            </w:r>
          </w:p>
        </w:tc>
        <w:tc>
          <w:tcPr>
            <w:tcW w:w="10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</w:rPr>
              <w:t>98.83%</w:t>
            </w:r>
          </w:p>
        </w:tc>
        <w:tc>
          <w:tcPr>
            <w:tcW w:w="12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</w:rPr>
              <w:t>99.25%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</w:rPr>
              <w:t>98.90%</w:t>
            </w:r>
          </w:p>
        </w:tc>
        <w:tc>
          <w:tcPr>
            <w:tcW w:w="15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</w:rPr>
              <w:t>99.25%</w:t>
            </w:r>
          </w:p>
        </w:tc>
      </w:tr>
      <w:tr>
        <w:trPr/>
        <w:tc>
          <w:tcPr>
            <w:tcW w:w="18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Times New Roman" w:hAnsi="Times New Roman" w:eastAsia="Times New Roman" w:cs="Times New Roman"/>
                <w:i/>
                <w:i/>
                <w:sz w:val="18"/>
                <w:szCs w:val="18"/>
              </w:rPr>
            </w:pPr>
            <w:r>
              <w:rPr>
                <w:rFonts w:eastAsia="Times New Roman" w:cs="Times New Roman" w:ascii="Times New Roman" w:hAnsi="Times New Roman"/>
                <w:i/>
                <w:sz w:val="18"/>
                <w:szCs w:val="18"/>
              </w:rPr>
              <w:t>S. aureus</w:t>
            </w:r>
          </w:p>
        </w:tc>
        <w:tc>
          <w:tcPr>
            <w:tcW w:w="19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</w:rPr>
              <w:t>95.01%</w:t>
            </w:r>
          </w:p>
        </w:tc>
        <w:tc>
          <w:tcPr>
            <w:tcW w:w="21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</w:rPr>
              <w:t>95.39%</w:t>
            </w:r>
          </w:p>
        </w:tc>
        <w:tc>
          <w:tcPr>
            <w:tcW w:w="10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</w:rPr>
              <w:t>94.57%</w:t>
            </w:r>
          </w:p>
        </w:tc>
        <w:tc>
          <w:tcPr>
            <w:tcW w:w="12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</w:rPr>
              <w:t>95.35%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</w:rPr>
              <w:t>96.10%</w:t>
            </w:r>
          </w:p>
        </w:tc>
        <w:tc>
          <w:tcPr>
            <w:tcW w:w="15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</w:rPr>
              <w:t>95.15%</w:t>
            </w:r>
          </w:p>
        </w:tc>
      </w:tr>
      <w:tr>
        <w:trPr/>
        <w:tc>
          <w:tcPr>
            <w:tcW w:w="18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Times New Roman" w:hAnsi="Times New Roman" w:eastAsia="Times New Roman" w:cs="Times New Roman"/>
                <w:i/>
                <w:i/>
                <w:sz w:val="18"/>
                <w:szCs w:val="18"/>
              </w:rPr>
            </w:pPr>
            <w:r>
              <w:rPr>
                <w:rFonts w:eastAsia="Times New Roman" w:cs="Times New Roman" w:ascii="Times New Roman" w:hAnsi="Times New Roman"/>
                <w:i/>
                <w:sz w:val="18"/>
                <w:szCs w:val="18"/>
              </w:rPr>
              <w:t>T. pallidum</w:t>
            </w:r>
          </w:p>
        </w:tc>
        <w:tc>
          <w:tcPr>
            <w:tcW w:w="19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</w:rPr>
              <w:t>93.54%</w:t>
            </w:r>
          </w:p>
        </w:tc>
        <w:tc>
          <w:tcPr>
            <w:tcW w:w="21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</w:rPr>
              <w:t>100%</w:t>
            </w:r>
          </w:p>
        </w:tc>
        <w:tc>
          <w:tcPr>
            <w:tcW w:w="10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</w:rPr>
              <w:t>72.74%</w:t>
            </w:r>
          </w:p>
        </w:tc>
        <w:tc>
          <w:tcPr>
            <w:tcW w:w="12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</w:rPr>
              <w:t>100%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</w:rPr>
              <w:t>94.75%</w:t>
            </w:r>
          </w:p>
        </w:tc>
        <w:tc>
          <w:tcPr>
            <w:tcW w:w="15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</w:rPr>
              <w:t>94.75%</w:t>
            </w:r>
          </w:p>
        </w:tc>
      </w:tr>
      <w:tr>
        <w:trPr/>
        <w:tc>
          <w:tcPr>
            <w:tcW w:w="18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Times New Roman" w:hAnsi="Times New Roman" w:eastAsia="Times New Roman" w:cs="Times New Roman"/>
                <w:i/>
                <w:i/>
                <w:sz w:val="18"/>
                <w:szCs w:val="18"/>
              </w:rPr>
            </w:pPr>
            <w:r>
              <w:rPr>
                <w:rFonts w:eastAsia="Times New Roman" w:cs="Times New Roman" w:ascii="Times New Roman" w:hAnsi="Times New Roman"/>
                <w:i/>
                <w:sz w:val="18"/>
                <w:szCs w:val="18"/>
              </w:rPr>
              <w:t>V. cholerae</w:t>
            </w:r>
          </w:p>
        </w:tc>
        <w:tc>
          <w:tcPr>
            <w:tcW w:w="19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</w:rPr>
              <w:t>99.59%</w:t>
            </w:r>
          </w:p>
        </w:tc>
        <w:tc>
          <w:tcPr>
            <w:tcW w:w="21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</w:rPr>
              <w:t>99.83%</w:t>
            </w:r>
          </w:p>
        </w:tc>
        <w:tc>
          <w:tcPr>
            <w:tcW w:w="10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</w:rPr>
              <w:t>98.90%</w:t>
            </w:r>
          </w:p>
        </w:tc>
        <w:tc>
          <w:tcPr>
            <w:tcW w:w="12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</w:rPr>
              <w:t>99.74%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</w:rPr>
              <w:t>98.70%</w:t>
            </w:r>
          </w:p>
        </w:tc>
        <w:tc>
          <w:tcPr>
            <w:tcW w:w="15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</w:rPr>
              <w:t>99.82%</w:t>
            </w:r>
          </w:p>
        </w:tc>
      </w:tr>
    </w:tbl>
    <w:p>
      <w:pPr>
        <w:pStyle w:val="Normal1"/>
        <w:spacing w:lineRule="auto" w:line="480"/>
        <w:ind w:hanging="992"/>
        <w:jc w:val="both"/>
        <w:rPr>
          <w:rFonts w:ascii="Times New Roman" w:hAnsi="Times New Roman" w:eastAsia="Times New Roman" w:cs="Times New Roman"/>
          <w:b/>
          <w:b/>
          <w:sz w:val="20"/>
          <w:szCs w:val="20"/>
        </w:rPr>
      </w:pPr>
      <w:r>
        <w:rPr>
          <w:rFonts w:eastAsia="Times New Roman" w:cs="Times New Roman" w:ascii="Times New Roman" w:hAnsi="Times New Roman"/>
          <w:sz w:val="20"/>
          <w:szCs w:val="20"/>
        </w:rPr>
        <w:t>* species in the case of MTB (</w:t>
      </w:r>
      <w:r>
        <w:rPr>
          <w:rFonts w:eastAsia="Times New Roman" w:cs="Times New Roman" w:ascii="Times New Roman" w:hAnsi="Times New Roman"/>
          <w:i/>
          <w:sz w:val="20"/>
          <w:szCs w:val="20"/>
        </w:rPr>
        <w:t>Mycobacterium tuberculosis</w:t>
      </w:r>
      <w:r>
        <w:rPr>
          <w:rFonts w:eastAsia="Times New Roman" w:cs="Times New Roman" w:ascii="Times New Roman" w:hAnsi="Times New Roman"/>
          <w:sz w:val="20"/>
          <w:szCs w:val="20"/>
        </w:rPr>
        <w:t xml:space="preserve"> complex)</w:t>
      </w:r>
    </w:p>
    <w:p>
      <w:pPr>
        <w:pStyle w:val="Normal1"/>
        <w:jc w:val="both"/>
        <w:rPr>
          <w:rFonts w:ascii="Times New Roman" w:hAnsi="Times New Roman" w:eastAsia="Times New Roman" w:cs="Times New Roman"/>
          <w:b/>
          <w:b/>
          <w:sz w:val="20"/>
          <w:szCs w:val="20"/>
        </w:rPr>
      </w:pPr>
      <w:r>
        <w:rPr>
          <w:rFonts w:eastAsia="Times New Roman" w:cs="Times New Roman" w:ascii="Times New Roman" w:hAnsi="Times New Roman"/>
          <w:b/>
          <w:sz w:val="20"/>
          <w:szCs w:val="20"/>
        </w:rPr>
      </w:r>
    </w:p>
    <w:p>
      <w:pPr>
        <w:pStyle w:val="Normal1"/>
        <w:spacing w:lineRule="auto" w:line="360"/>
        <w:jc w:val="both"/>
        <w:rPr>
          <w:rFonts w:ascii="Times New Roman" w:hAnsi="Times New Roman" w:eastAsia="Times New Roman" w:cs="Times New Roman"/>
          <w:sz w:val="20"/>
          <w:szCs w:val="20"/>
        </w:rPr>
      </w:pPr>
      <w:r>
        <w:rPr/>
      </w:r>
    </w:p>
    <w:sectPr>
      <w:type w:val="nextPage"/>
      <w:pgSz w:w="11906" w:h="16838"/>
      <w:pgMar w:left="1440" w:right="1440" w:header="0" w:top="1440" w:footer="0" w:bottom="1440" w:gutter="0"/>
      <w:pgNumType w:start="1"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Arial"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Times New Roman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45"/>
  <w:defaultTabStop w:val="720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rial" w:hAnsi="Arial" w:eastAsia="Arial" w:cs="Arial"/>
        <w:sz w:val="22"/>
        <w:szCs w:val="22"/>
        <w:lang w:val="es" w:eastAsia="zh-CN" w:bidi="hi-IN"/>
      </w:rPr>
    </w:rPrDefault>
    <w:pPrDefault>
      <w:pPr/>
    </w:pPrDefault>
  </w:docDefaults>
  <w:style w:type="paragraph" w:styleId="Normal">
    <w:name w:val="Normal"/>
    <w:qFormat/>
    <w:pPr>
      <w:widowControl/>
      <w:bidi w:val="0"/>
      <w:spacing w:lineRule="auto" w:line="276"/>
      <w:jc w:val="left"/>
    </w:pPr>
    <w:rPr>
      <w:rFonts w:ascii="Arial" w:hAnsi="Arial" w:eastAsia="Arial" w:cs="Arial"/>
      <w:color w:val="auto"/>
      <w:kern w:val="0"/>
      <w:sz w:val="22"/>
      <w:szCs w:val="22"/>
      <w:lang w:val="es" w:eastAsia="zh-CN" w:bidi="hi-IN"/>
    </w:rPr>
  </w:style>
  <w:style w:type="paragraph" w:styleId="Heading1">
    <w:name w:val="Heading 1"/>
    <w:basedOn w:val="Normal1"/>
    <w:next w:val="Normal1"/>
    <w:qFormat/>
    <w:pPr>
      <w:keepNext w:val="true"/>
      <w:keepLines/>
      <w:spacing w:lineRule="auto" w:line="240" w:before="400" w:after="120"/>
    </w:pPr>
    <w:rPr>
      <w:sz w:val="40"/>
      <w:szCs w:val="40"/>
    </w:rPr>
  </w:style>
  <w:style w:type="paragraph" w:styleId="Heading2">
    <w:name w:val="Heading 2"/>
    <w:basedOn w:val="Normal1"/>
    <w:next w:val="Normal1"/>
    <w:qFormat/>
    <w:pPr>
      <w:keepNext w:val="true"/>
      <w:keepLines/>
      <w:spacing w:lineRule="auto" w:line="240" w:before="360" w:after="120"/>
    </w:pPr>
    <w:rPr>
      <w:b w:val="false"/>
      <w:sz w:val="32"/>
      <w:szCs w:val="32"/>
    </w:rPr>
  </w:style>
  <w:style w:type="paragraph" w:styleId="Heading3">
    <w:name w:val="Heading 3"/>
    <w:basedOn w:val="Normal1"/>
    <w:next w:val="Normal1"/>
    <w:qFormat/>
    <w:pPr>
      <w:keepNext w:val="true"/>
      <w:keepLines/>
      <w:spacing w:lineRule="auto" w:line="240" w:before="320" w:after="80"/>
    </w:pPr>
    <w:rPr>
      <w:b w:val="false"/>
      <w:color w:val="434343"/>
      <w:sz w:val="28"/>
      <w:szCs w:val="28"/>
    </w:rPr>
  </w:style>
  <w:style w:type="paragraph" w:styleId="Heading4">
    <w:name w:val="Heading 4"/>
    <w:basedOn w:val="Normal1"/>
    <w:next w:val="Normal1"/>
    <w:qFormat/>
    <w:pPr>
      <w:keepNext w:val="true"/>
      <w:keepLines/>
      <w:spacing w:lineRule="auto" w:line="240" w:before="280" w:after="80"/>
    </w:pPr>
    <w:rPr>
      <w:color w:val="666666"/>
      <w:sz w:val="24"/>
      <w:szCs w:val="24"/>
    </w:rPr>
  </w:style>
  <w:style w:type="paragraph" w:styleId="Heading5">
    <w:name w:val="Heading 5"/>
    <w:basedOn w:val="Normal1"/>
    <w:next w:val="Normal1"/>
    <w:qFormat/>
    <w:pPr>
      <w:keepNext w:val="true"/>
      <w:keepLines/>
      <w:spacing w:lineRule="auto" w:line="240" w:before="240" w:after="80"/>
    </w:pPr>
    <w:rPr>
      <w:color w:val="666666"/>
      <w:sz w:val="22"/>
      <w:szCs w:val="22"/>
    </w:rPr>
  </w:style>
  <w:style w:type="paragraph" w:styleId="Heading6">
    <w:name w:val="Heading 6"/>
    <w:basedOn w:val="Normal1"/>
    <w:next w:val="Normal1"/>
    <w:qFormat/>
    <w:pPr>
      <w:keepNext w:val="true"/>
      <w:keepLines/>
      <w:spacing w:lineRule="auto" w:line="240" w:before="240" w:after="80"/>
    </w:pPr>
    <w:rPr>
      <w:i/>
      <w:color w:val="666666"/>
      <w:sz w:val="22"/>
      <w:szCs w:val="22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Noto Sans CJK SC" w:cs="Droid Sans Devanagari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cs="Droid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Droid Sans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Droid Sans Devanagari"/>
    </w:rPr>
  </w:style>
  <w:style w:type="paragraph" w:styleId="Normal1" w:default="1">
    <w:name w:val="LO-normal"/>
    <w:qFormat/>
    <w:pPr>
      <w:widowControl/>
      <w:bidi w:val="0"/>
      <w:spacing w:lineRule="auto" w:line="276"/>
      <w:jc w:val="left"/>
    </w:pPr>
    <w:rPr>
      <w:rFonts w:ascii="Arial" w:hAnsi="Arial" w:eastAsia="Arial" w:cs="Arial"/>
      <w:color w:val="auto"/>
      <w:kern w:val="0"/>
      <w:sz w:val="22"/>
      <w:szCs w:val="22"/>
      <w:lang w:val="es" w:eastAsia="zh-CN" w:bidi="hi-IN"/>
    </w:rPr>
  </w:style>
  <w:style w:type="paragraph" w:styleId="Title">
    <w:name w:val="Title"/>
    <w:basedOn w:val="Normal1"/>
    <w:next w:val="Normal1"/>
    <w:qFormat/>
    <w:pPr>
      <w:keepNext w:val="true"/>
      <w:keepLines/>
      <w:spacing w:lineRule="auto" w:line="240" w:before="0" w:after="60"/>
    </w:pPr>
    <w:rPr>
      <w:sz w:val="52"/>
      <w:szCs w:val="52"/>
    </w:rPr>
  </w:style>
  <w:style w:type="paragraph" w:styleId="Subtitle">
    <w:name w:val="Subtitle"/>
    <w:basedOn w:val="Normal1"/>
    <w:next w:val="Normal1"/>
    <w:qFormat/>
    <w:pPr>
      <w:keepNext w:val="true"/>
      <w:keepLines/>
      <w:spacing w:lineRule="auto" w:line="240" w:before="0" w:after="320"/>
    </w:pPr>
    <w:rPr>
      <w:rFonts w:ascii="Arial" w:hAnsi="Arial" w:eastAsia="Arial" w:cs="Arial"/>
      <w:i w:val="false"/>
      <w:color w:val="666666"/>
      <w:sz w:val="30"/>
      <w:szCs w:val="30"/>
    </w:rPr>
  </w:style>
  <w:style w:type="table" w:default="1" w:styleId="TableNormal">
    <w:name w:val="Table Normal"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LibreOffice/6.2.8.2$Linux_X86_64 LibreOffice_project/20$Build-2</Application>
  <Pages>1</Pages>
  <Words>209</Words>
  <Characters>1220</Characters>
  <CharactersWithSpaces>1324</CharactersWithSpaces>
  <Paragraphs>108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en-US</dc:language>
  <cp:lastModifiedBy/>
  <dcterms:modified xsi:type="dcterms:W3CDTF">2020-01-20T15:35:59Z</dcterms:modified>
  <cp:revision>1</cp:revision>
  <dc:subject/>
  <dc:title/>
</cp:coreProperties>
</file>