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>Table S2.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Evaluation of the performance of Kraken classifying reads at genus and species level for the reference genomes after excluding the reference genomes from the Kraken database.</w:t>
      </w:r>
    </w:p>
    <w:tbl>
      <w:tblPr>
        <w:tblStyle w:val="Table2"/>
        <w:tblW w:w="10380" w:type="dxa"/>
        <w:jc w:val="left"/>
        <w:tblInd w:w="-89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859"/>
        <w:gridCol w:w="1889"/>
        <w:gridCol w:w="2159"/>
        <w:gridCol w:w="1079"/>
        <w:gridCol w:w="3394"/>
      </w:tblGrid>
      <w:tr>
        <w:trPr>
          <w:trHeight w:val="1880" w:hRule="atLeast"/>
        </w:trPr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Organism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species  (Illumina MiSeq; 250bp)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genus (Illumina MiSeq; 250bp)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species  (Illumina HiSeq; 100bp)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Reads classified as target genus (Illumina HiSeq; 100bp)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A. baumannii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99.07%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99.61%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97.98%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99.07%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C. difficile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99.39%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99.39%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98.95%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98.95%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faecalis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90.59%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92.01%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89.72%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91.17%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E. faecium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98.27%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98.92%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97.53%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98.62%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K. pneumoniae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97.86%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98.96%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94.20%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98.00%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pneumophila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99.80%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99.61%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99.98%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L. monocytogenes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98.49%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99.21%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97.76%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99.10%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N. gonorrhoeae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99.16%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94.96%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99.99%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P. aeruginosa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99.95%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99.99%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99.85%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99.95%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enterica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99.58%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99.73%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98.83%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99.25%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S. aureus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94.98%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95.37%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94.56%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95.34%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T. pallidum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92.96%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71.25%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100%</w:t>
            </w:r>
          </w:p>
        </w:tc>
      </w:tr>
      <w:tr>
        <w:trPr/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18"/>
                <w:szCs w:val="18"/>
              </w:rPr>
              <w:t>V. cholerae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99.59%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99.83%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98.90%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99.74%</w:t>
            </w:r>
          </w:p>
        </w:tc>
      </w:tr>
    </w:tbl>
    <w:p>
      <w:pPr>
        <w:pStyle w:val="Normal1"/>
        <w:spacing w:lineRule="auto" w:line="480"/>
        <w:ind w:hanging="992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1"/>
        <w:spacing w:lineRule="auto" w:line="480"/>
        <w:ind w:hanging="992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LibreOffice/6.2.8.2$Linux_X86_64 LibreOffice_project/20$Build-2</Application>
  <Pages>1</Pages>
  <Words>139</Words>
  <Characters>813</Characters>
  <CharactersWithSpaces>883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2020-01-20T15:36:37Z</dcterms:modified>
  <cp:revision>2</cp:revision>
  <dc:subject/>
  <dc:title/>
</cp:coreProperties>
</file>