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1"/>
        <w:spacing w:lineRule="auto" w:line="360"/>
        <w:jc w:val="both"/>
        <w:rPr/>
      </w:pPr>
      <w:r>
        <w:rPr>
          <w:rFonts w:eastAsia="Times New Roman" w:cs="Times New Roman" w:ascii="Times New Roman" w:hAnsi="Times New Roman"/>
          <w:b/>
          <w:sz w:val="20"/>
          <w:szCs w:val="20"/>
        </w:rPr>
        <w:t>Table S3.</w:t>
      </w:r>
      <w:r>
        <w:rPr>
          <w:rFonts w:eastAsia="Times New Roman" w:cs="Times New Roman" w:ascii="Times New Roman" w:hAnsi="Times New Roman"/>
          <w:sz w:val="20"/>
          <w:szCs w:val="20"/>
        </w:rPr>
        <w:t xml:space="preserve"> Proportion of unclassified reads and reads classified at any taxonomic level other that the target genus that are estimated by Bracken to actually belong to the target genus.</w:t>
      </w:r>
    </w:p>
    <w:p>
      <w:pPr>
        <w:pStyle w:val="Normal1"/>
        <w:spacing w:lineRule="auto" w:line="480"/>
        <w:jc w:val="both"/>
        <w:rPr>
          <w:rFonts w:ascii="Times New Roman" w:hAnsi="Times New Roman" w:eastAsia="Times New Roman" w:cs="Times New Roman"/>
          <w:i/>
          <w:i/>
          <w:sz w:val="20"/>
          <w:szCs w:val="20"/>
        </w:rPr>
      </w:pPr>
      <w:r>
        <w:rPr>
          <w:rFonts w:eastAsia="Times New Roman" w:cs="Times New Roman" w:ascii="Times New Roman" w:hAnsi="Times New Roman"/>
          <w:i/>
          <w:sz w:val="20"/>
          <w:szCs w:val="20"/>
        </w:rPr>
      </w:r>
    </w:p>
    <w:tbl>
      <w:tblPr>
        <w:tblStyle w:val="Table3"/>
        <w:tblW w:w="10155" w:type="dxa"/>
        <w:jc w:val="left"/>
        <w:tblInd w:w="-890" w:type="dxa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1829"/>
        <w:gridCol w:w="1920"/>
        <w:gridCol w:w="2160"/>
        <w:gridCol w:w="2009"/>
        <w:gridCol w:w="2237"/>
      </w:tblGrid>
      <w:tr>
        <w:trPr>
          <w:trHeight w:val="1880" w:hRule="atLeast"/>
        </w:trPr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b/>
                <w:sz w:val="18"/>
                <w:szCs w:val="18"/>
              </w:rPr>
              <w:t>Organism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b/>
                <w:sz w:val="18"/>
                <w:szCs w:val="18"/>
              </w:rPr>
              <w:t xml:space="preserve">Percentage of unclassified reads 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b/>
                <w:sz w:val="18"/>
                <w:szCs w:val="18"/>
              </w:rPr>
              <w:t>Percentage of unclassified reads reassigned to target genus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b/>
                <w:sz w:val="18"/>
                <w:szCs w:val="18"/>
              </w:rPr>
              <w:t>Percentage of reads assigned to any taxonomic level other than target genus</w:t>
            </w: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b/>
                <w:sz w:val="18"/>
                <w:szCs w:val="18"/>
              </w:rPr>
              <w:t>Percentage of reads assigned to  taxonomic levels other than the target genus that are reassigned to the target genus</w:t>
            </w:r>
          </w:p>
        </w:tc>
      </w:tr>
      <w:tr>
        <w:trPr/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A. baumannii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0.59%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0.06%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0.52%</w:t>
            </w: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0.01%</w:t>
            </w:r>
          </w:p>
        </w:tc>
      </w:tr>
      <w:tr>
        <w:trPr/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C. difficile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2.39%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0.14%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15.35%</w:t>
            </w: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1.15%</w:t>
            </w:r>
          </w:p>
        </w:tc>
      </w:tr>
      <w:tr>
        <w:trPr/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E. faecalis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4.69%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0.92%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2.53%</w:t>
            </w: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0.44%</w:t>
            </w:r>
          </w:p>
        </w:tc>
      </w:tr>
      <w:tr>
        <w:trPr/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E. faecium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3.90%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0.84%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2.85%</w:t>
            </w: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0.53%</w:t>
            </w:r>
          </w:p>
        </w:tc>
      </w:tr>
      <w:tr>
        <w:trPr/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K. pneumoniae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2.81%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0.91%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7.36%</w:t>
            </w: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2.45%</w:t>
            </w:r>
          </w:p>
        </w:tc>
      </w:tr>
      <w:tr>
        <w:trPr/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L. pneumophila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0.50%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0.04%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0.06%</w:t>
            </w: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0.006%</w:t>
            </w:r>
          </w:p>
        </w:tc>
      </w:tr>
      <w:tr>
        <w:trPr/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L. monocytogenes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0.12%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0.05%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0.67%</w:t>
            </w: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0.28%</w:t>
            </w:r>
          </w:p>
        </w:tc>
      </w:tr>
      <w:tr>
        <w:trPr/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 xml:space="preserve">M. tuberculosis </w:t>
            </w:r>
          </w:p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complex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0.07%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0.0002%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0.2%</w:t>
            </w: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0.0006%</w:t>
            </w:r>
          </w:p>
        </w:tc>
      </w:tr>
      <w:tr>
        <w:trPr/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N. gonorrhoeae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0.03%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0.007%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0.06%</w:t>
            </w: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0.01%</w:t>
            </w:r>
          </w:p>
        </w:tc>
      </w:tr>
      <w:tr>
        <w:trPr/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P. aeruginosa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0.92%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0.15%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0.75%</w:t>
            </w: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0.22%</w:t>
            </w:r>
          </w:p>
        </w:tc>
      </w:tr>
      <w:tr>
        <w:trPr/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S. enterica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0.22%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0.15%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3.4%</w:t>
            </w: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2.1%</w:t>
            </w:r>
          </w:p>
        </w:tc>
      </w:tr>
      <w:tr>
        <w:trPr/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S. aureus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1.33%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0.6%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4.05%</w:t>
            </w: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2.04%</w:t>
            </w:r>
          </w:p>
        </w:tc>
      </w:tr>
      <w:tr>
        <w:trPr/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T. pallidum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0.31%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0%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67.32%</w:t>
            </w: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0%</w:t>
            </w:r>
          </w:p>
        </w:tc>
      </w:tr>
      <w:tr>
        <w:trPr/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V. cholerae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4.37%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0.23%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0.97%</w:t>
            </w: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0.07%</w:t>
            </w:r>
          </w:p>
        </w:tc>
      </w:tr>
    </w:tbl>
    <w:p>
      <w:pPr>
        <w:pStyle w:val="Normal1"/>
        <w:spacing w:lineRule="auto" w:line="480"/>
        <w:ind w:hanging="992"/>
        <w:jc w:val="both"/>
        <w:rPr>
          <w:rFonts w:ascii="Times New Roman" w:hAnsi="Times New Roman" w:eastAsia="Times New Roman" w:cs="Times New Roman"/>
          <w:b/>
          <w:b/>
          <w:sz w:val="20"/>
          <w:szCs w:val="20"/>
        </w:rPr>
      </w:pPr>
      <w:r>
        <w:rPr>
          <w:rFonts w:eastAsia="Times New Roman" w:cs="Times New Roman" w:ascii="Times New Roman" w:hAnsi="Times New Roman"/>
          <w:b/>
          <w:sz w:val="20"/>
          <w:szCs w:val="20"/>
        </w:rPr>
      </w:r>
    </w:p>
    <w:p>
      <w:pPr>
        <w:pStyle w:val="Normal1"/>
        <w:jc w:val="both"/>
        <w:rPr>
          <w:rFonts w:ascii="Times New Roman" w:hAnsi="Times New Roman" w:eastAsia="Times New Roman" w:cs="Times New Roman"/>
          <w:b/>
          <w:b/>
          <w:sz w:val="20"/>
          <w:szCs w:val="20"/>
        </w:rPr>
      </w:pPr>
      <w:r>
        <w:rPr>
          <w:rFonts w:eastAsia="Times New Roman" w:cs="Times New Roman" w:ascii="Times New Roman" w:hAnsi="Times New Roman"/>
          <w:b/>
          <w:sz w:val="20"/>
          <w:szCs w:val="20"/>
        </w:rPr>
      </w:r>
    </w:p>
    <w:p>
      <w:pPr>
        <w:pStyle w:val="Normal1"/>
        <w:spacing w:lineRule="auto" w:line="360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/>
      </w:r>
    </w:p>
    <w:sectPr>
      <w:type w:val="nextPage"/>
      <w:pgSz w:w="11906" w:h="16838"/>
      <w:pgMar w:left="1440" w:right="1440" w:header="0" w:top="1440" w:footer="0" w:bottom="1440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45"/>
  <w:defaultTabStop w:val="72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spacing w:lineRule="auto" w:line="276"/>
      <w:jc w:val="left"/>
    </w:pPr>
    <w:rPr>
      <w:rFonts w:ascii="Arial" w:hAnsi="Arial" w:eastAsia="Arial" w:cs="Arial"/>
      <w:color w:val="auto"/>
      <w:kern w:val="0"/>
      <w:sz w:val="22"/>
      <w:szCs w:val="22"/>
      <w:lang w:val="e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spacing w:lineRule="auto" w:line="240" w:before="360" w:after="120"/>
    </w:pPr>
    <w:rPr>
      <w:b w:val="false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spacing w:lineRule="auto" w:line="240" w:before="320" w:after="80"/>
    </w:pPr>
    <w:rPr>
      <w:b w:val="false"/>
      <w:color w:val="434343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spacing w:lineRule="auto" w:line="240" w:before="240" w:after="80"/>
    </w:pPr>
    <w:rPr>
      <w:i/>
      <w:color w:val="666666"/>
      <w:sz w:val="22"/>
      <w:szCs w:val="22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Normal1" w:default="1">
    <w:name w:val="LO-normal"/>
    <w:qFormat/>
    <w:pPr>
      <w:widowControl/>
      <w:bidi w:val="0"/>
      <w:spacing w:lineRule="auto" w:line="276"/>
      <w:jc w:val="left"/>
    </w:pPr>
    <w:rPr>
      <w:rFonts w:ascii="Arial" w:hAnsi="Arial" w:eastAsia="Arial" w:cs="Arial"/>
      <w:color w:val="auto"/>
      <w:kern w:val="0"/>
      <w:sz w:val="22"/>
      <w:szCs w:val="22"/>
      <w:lang w:val="e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1"/>
    <w:qFormat/>
    <w:pPr>
      <w:keepNext w:val="true"/>
      <w:keepLines/>
      <w:spacing w:lineRule="auto" w:line="240" w:before="0" w:after="320"/>
    </w:pPr>
    <w:rPr>
      <w:rFonts w:ascii="Arial" w:hAnsi="Arial" w:eastAsia="Arial" w:cs="Arial"/>
      <w:i w:val="false"/>
      <w:color w:val="666666"/>
      <w:sz w:val="30"/>
      <w:szCs w:val="30"/>
    </w:rPr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LibreOffice/6.2.8.2$Linux_X86_64 LibreOffice_project/20$Build-2</Application>
  <Pages>1</Pages>
  <Words>159</Words>
  <Characters>849</Characters>
  <CharactersWithSpaces>934</CharactersWithSpaces>
  <Paragraphs>77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dcterms:modified xsi:type="dcterms:W3CDTF">2020-01-20T15:37:04Z</dcterms:modified>
  <cp:revision>3</cp:revision>
  <dc:subject/>
  <dc:title/>
</cp:coreProperties>
</file>