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>Table S4.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Samples of the bacterial dataset with less than 50% of target organism.</w:t>
      </w:r>
    </w:p>
    <w:tbl>
      <w:tblPr>
        <w:tblStyle w:val="Table4"/>
        <w:tblW w:w="8850" w:type="dxa"/>
        <w:jc w:val="left"/>
        <w:tblInd w:w="0" w:type="dxa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1889"/>
        <w:gridCol w:w="1650"/>
        <w:gridCol w:w="2085"/>
        <w:gridCol w:w="3225"/>
      </w:tblGrid>
      <w:tr>
        <w:trPr>
          <w:trHeight w:val="555" w:hRule="atLeast"/>
        </w:trPr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Study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Sample Accession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Percentage of target organism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Majoritary classification</w:t>
            </w:r>
          </w:p>
        </w:tc>
      </w:tr>
      <w:tr>
        <w:trPr>
          <w:trHeight w:val="330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ERR033693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34.17%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Unclassified (41%)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ERR038670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44.74%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 aureus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(43%)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ERR038673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32.07%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Staphylococcus aureus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(31%)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ERR038675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49.30%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Staphylococcus aureus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(48%)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ERR038682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25.64%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Unclassified (44%)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ERR038688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36.52%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Staphylococcus aureus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(35%)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Clostridioides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SRR3115465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49.44%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Clostridioides difficile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(49%)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Clostridioides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SRR3115477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35.90%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Clostridioides difficile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(36%)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Clostridioides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SRR3115503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38.51%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Clostridioides difficile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(38%)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ERR025467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1.13%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Enterobacter hormaechei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(10%)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ERR025493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0.27%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Escherichia coli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(73%)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ERR025508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0.33%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Escherichia coli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(33%)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ERR025530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0.11%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 xml:space="preserve">Ochrobactrum anthropi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(26%)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ERR025533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0.77%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Escherichia coli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(33%)</w:t>
            </w:r>
          </w:p>
        </w:tc>
      </w:tr>
      <w:tr>
        <w:trPr>
          <w:trHeight w:val="31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ERR025580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0.05%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Streptococcus agalactiae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(97%)</w:t>
            </w:r>
          </w:p>
        </w:tc>
      </w:tr>
      <w:tr>
        <w:trPr>
          <w:trHeight w:val="555" w:hRule="atLeast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Klebsiella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ERR025650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0.88%</w:t>
            </w:r>
          </w:p>
        </w:tc>
        <w:tc>
          <w:tcPr>
            <w:tcW w:w="3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bottom"/>
          </w:tcPr>
          <w:p>
            <w:pPr>
              <w:pStyle w:val="Normal1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Enterobacter xiangfangensis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 (14%)</w:t>
            </w:r>
          </w:p>
        </w:tc>
      </w:tr>
    </w:tbl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LibreOffice/6.2.8.2$Linux_X86_64 LibreOffice_project/20$Build-2</Application>
  <Pages>1</Pages>
  <Words>117</Words>
  <Characters>959</Characters>
  <CharactersWithSpaces>1007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2020-01-20T15:37:34Z</dcterms:modified>
  <cp:revision>4</cp:revision>
  <dc:subject/>
  <dc:title/>
</cp:coreProperties>
</file>