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spacing w:lineRule="auto" w:line="360"/>
        <w:jc w:val="both"/>
        <w:rPr/>
      </w:pPr>
      <w:r>
        <w:rPr>
          <w:rFonts w:eastAsia="Times New Roman" w:cs="Times New Roman" w:ascii="Times New Roman" w:hAnsi="Times New Roman"/>
          <w:b/>
          <w:sz w:val="20"/>
          <w:szCs w:val="20"/>
        </w:rPr>
        <w:t xml:space="preserve">Table S5. Difference in the number of non-redundant variant positions within a dataset between the basic and the taxonomic-filtered pipeline. </w:t>
      </w:r>
      <w:r>
        <w:rPr>
          <w:rFonts w:eastAsia="Times New Roman" w:cs="Times New Roman" w:ascii="Times New Roman" w:hAnsi="Times New Roman"/>
          <w:sz w:val="20"/>
          <w:szCs w:val="20"/>
        </w:rPr>
        <w:t>*</w:t>
      </w:r>
      <w:r>
        <w:rPr>
          <w:rFonts w:eastAsia="Times New Roman" w:cs="Times New Roman" w:ascii="Times New Roman" w:hAnsi="Times New Roman"/>
          <w:i/>
          <w:sz w:val="20"/>
          <w:szCs w:val="20"/>
        </w:rPr>
        <w:t>E. faecalis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and </w:t>
      </w:r>
      <w:r>
        <w:rPr>
          <w:rFonts w:eastAsia="Times New Roman" w:cs="Times New Roman" w:ascii="Times New Roman" w:hAnsi="Times New Roman"/>
          <w:i/>
          <w:sz w:val="20"/>
          <w:szCs w:val="20"/>
        </w:rPr>
        <w:t>E. faecium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are analyzed by separate but belong to the same study. **In the Mozambique study one sample contaminated with 20% of </w:t>
      </w:r>
      <w:r>
        <w:rPr>
          <w:rFonts w:eastAsia="Times New Roman" w:cs="Times New Roman" w:ascii="Times New Roman" w:hAnsi="Times New Roman"/>
          <w:i/>
          <w:sz w:val="20"/>
          <w:szCs w:val="20"/>
        </w:rPr>
        <w:t>Mycobacterium sinense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contributed with 72,354 variant positions. The difference observed for the Mozambique study when disregarding this sample was of 927 vSNP positions (20.1%).</w:t>
      </w:r>
    </w:p>
    <w:p>
      <w:pPr>
        <w:pStyle w:val="Normal1"/>
        <w:jc w:val="both"/>
        <w:rPr>
          <w:rFonts w:ascii="Times New Roman" w:hAnsi="Times New Roman" w:eastAsia="Times New Roman" w:cs="Times New Roman"/>
          <w:b/>
          <w:b/>
          <w:sz w:val="20"/>
          <w:szCs w:val="20"/>
        </w:rPr>
      </w:pPr>
      <w:r>
        <w:rPr>
          <w:rFonts w:eastAsia="Times New Roman" w:cs="Times New Roman" w:ascii="Times New Roman" w:hAnsi="Times New Roman"/>
          <w:b/>
          <w:sz w:val="20"/>
          <w:szCs w:val="20"/>
        </w:rPr>
      </w:r>
    </w:p>
    <w:tbl>
      <w:tblPr>
        <w:tblStyle w:val="Table5"/>
        <w:tblW w:w="9029" w:type="dxa"/>
        <w:jc w:val="left"/>
        <w:tblInd w:w="0" w:type="dxa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2257"/>
        <w:gridCol w:w="2257"/>
        <w:gridCol w:w="2257"/>
        <w:gridCol w:w="2257"/>
      </w:tblGrid>
      <w:tr>
        <w:trPr/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Study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Dataset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Difference in fSNP positions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Difference in vSNP positions</w:t>
            </w:r>
          </w:p>
        </w:tc>
      </w:tr>
      <w:tr>
        <w:trPr/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A. baumannii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Bacterial dataset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600 (0.15%)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129 (1.52%)</w:t>
            </w:r>
          </w:p>
        </w:tc>
      </w:tr>
      <w:tr>
        <w:trPr/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C. difficile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Bacterial dataset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3,624 (5.84%)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1,437 (10.53%)</w:t>
            </w:r>
          </w:p>
        </w:tc>
      </w:tr>
      <w:tr>
        <w:trPr/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E. faecalis*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Bacterial dataset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3,676 (1.94%)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635 (5.61%)</w:t>
            </w:r>
          </w:p>
        </w:tc>
      </w:tr>
      <w:tr>
        <w:trPr/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E. faecium*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Bacterial dataset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492 (0.25%)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195 (0.89%)</w:t>
            </w:r>
          </w:p>
        </w:tc>
      </w:tr>
      <w:tr>
        <w:trPr/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K. pneumoniae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Bacterial dataset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6,828 (1.17%)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68,246 (23.93%)</w:t>
            </w:r>
          </w:p>
        </w:tc>
      </w:tr>
      <w:tr>
        <w:trPr/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L. pneumophila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Bacterial dataset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222 (0.12%)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157 (1.37%)</w:t>
            </w:r>
          </w:p>
        </w:tc>
      </w:tr>
      <w:tr>
        <w:trPr/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L. monocytogenes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Bacterial dataset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68 (0.03%)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53 (0.71%)</w:t>
            </w:r>
          </w:p>
        </w:tc>
      </w:tr>
      <w:tr>
        <w:trPr/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N. gonorrhoeae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Bacterial dataset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0 (0%)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 (0.03%)</w:t>
            </w:r>
          </w:p>
        </w:tc>
      </w:tr>
      <w:tr>
        <w:trPr/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P. aeruginosa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Bacterial dataset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299 (0.09%)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276 (2.38%)</w:t>
            </w:r>
          </w:p>
        </w:tc>
      </w:tr>
      <w:tr>
        <w:trPr/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S. enterica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Bacterial dataset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813 (2.92%)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645 (19.11%)</w:t>
            </w:r>
          </w:p>
        </w:tc>
      </w:tr>
      <w:tr>
        <w:trPr/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S. aureus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Bacterial dataset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3,652 (2.14%)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2,082 (3.57%)</w:t>
            </w:r>
          </w:p>
        </w:tc>
      </w:tr>
      <w:tr>
        <w:trPr/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T. pallidum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Bacterial dataset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26 (4.47%)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252 (41.17%)</w:t>
            </w:r>
          </w:p>
        </w:tc>
      </w:tr>
      <w:tr>
        <w:trPr/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V. cholerae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Bacterial dataset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2,190 (0.55%)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220 (1.84%)</w:t>
            </w:r>
          </w:p>
        </w:tc>
      </w:tr>
      <w:tr>
        <w:trPr/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Kwazulu-Natal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MTB dataset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 (0%)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240 (9.22%)</w:t>
            </w:r>
          </w:p>
        </w:tc>
      </w:tr>
      <w:tr>
        <w:trPr/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Nigeria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MTB dataset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3 (0.32%)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170 (37.11%)</w:t>
            </w:r>
          </w:p>
        </w:tc>
      </w:tr>
      <w:tr>
        <w:trPr/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Belarus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MTB dataset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0 (0%)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71 (3.42%)</w:t>
            </w:r>
          </w:p>
        </w:tc>
      </w:tr>
      <w:tr>
        <w:trPr/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Mozambique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MTB dataset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39 (0.32%)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71,309 (92.65%) **</w:t>
            </w:r>
          </w:p>
        </w:tc>
      </w:tr>
      <w:tr>
        <w:trPr/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High-depth sequencing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MTB dataset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0 (0%)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161 (3.40%)</w:t>
            </w:r>
          </w:p>
        </w:tc>
      </w:tr>
      <w:tr>
        <w:trPr/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Sputum capture-sequencing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MTB dataset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124 (2.19%)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28,452 (95.11%)</w:t>
            </w:r>
          </w:p>
        </w:tc>
      </w:tr>
      <w:tr>
        <w:trPr/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Sputum direct-sequencing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MTB dataset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24 (0.49%)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3,686 (83.79%)</w:t>
            </w:r>
          </w:p>
        </w:tc>
      </w:tr>
      <w:tr>
        <w:trPr/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MGIT sequencing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MTB dataset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19 (0.11%)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517 (18%)</w:t>
            </w:r>
          </w:p>
        </w:tc>
      </w:tr>
    </w:tbl>
    <w:p>
      <w:pPr>
        <w:pStyle w:val="Normal1"/>
        <w:jc w:val="both"/>
        <w:rPr>
          <w:rFonts w:ascii="Times New Roman" w:hAnsi="Times New Roman" w:eastAsia="Times New Roman" w:cs="Times New Roman"/>
          <w:b/>
          <w:b/>
          <w:sz w:val="20"/>
          <w:szCs w:val="20"/>
        </w:rPr>
      </w:pPr>
      <w:r>
        <w:rPr>
          <w:rFonts w:eastAsia="Times New Roman" w:cs="Times New Roman" w:ascii="Times New Roman" w:hAnsi="Times New Roman"/>
          <w:b/>
          <w:sz w:val="20"/>
          <w:szCs w:val="20"/>
        </w:rPr>
      </w:r>
    </w:p>
    <w:p>
      <w:pPr>
        <w:pStyle w:val="Normal1"/>
        <w:jc w:val="both"/>
        <w:rPr>
          <w:rFonts w:ascii="Times New Roman" w:hAnsi="Times New Roman" w:eastAsia="Times New Roman" w:cs="Times New Roman"/>
          <w:b/>
          <w:b/>
          <w:sz w:val="20"/>
          <w:szCs w:val="20"/>
        </w:rPr>
      </w:pPr>
      <w:r>
        <w:rPr>
          <w:rFonts w:eastAsia="Times New Roman" w:cs="Times New Roman" w:ascii="Times New Roman" w:hAnsi="Times New Roman"/>
          <w:b/>
          <w:sz w:val="20"/>
          <w:szCs w:val="20"/>
        </w:rPr>
      </w:r>
    </w:p>
    <w:p>
      <w:pPr>
        <w:pStyle w:val="Normal1"/>
        <w:spacing w:lineRule="auto" w:line="360"/>
        <w:jc w:val="both"/>
        <w:rPr>
          <w:rFonts w:ascii="Times New Roman" w:hAnsi="Times New Roman" w:eastAsia="Times New Roman" w:cs="Times New Roman"/>
          <w:b/>
          <w:b/>
          <w:sz w:val="20"/>
          <w:szCs w:val="20"/>
        </w:rPr>
      </w:pPr>
      <w:r>
        <w:rPr>
          <w:rFonts w:eastAsia="Times New Roman" w:cs="Times New Roman" w:ascii="Times New Roman" w:hAnsi="Times New Roman"/>
          <w:b/>
          <w:sz w:val="20"/>
          <w:szCs w:val="20"/>
        </w:rPr>
      </w:r>
    </w:p>
    <w:p>
      <w:pPr>
        <w:pStyle w:val="Normal1"/>
        <w:spacing w:lineRule="auto" w:line="360"/>
        <w:jc w:val="both"/>
        <w:rPr>
          <w:rFonts w:ascii="Times New Roman" w:hAnsi="Times New Roman" w:eastAsia="Times New Roman" w:cs="Times New Roman"/>
          <w:i/>
          <w:i/>
          <w:sz w:val="20"/>
          <w:szCs w:val="20"/>
        </w:rPr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45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40" w:after="80"/>
    </w:pPr>
    <w:rPr>
      <w:i/>
      <w:color w:val="666666"/>
      <w:sz w:val="22"/>
      <w:szCs w:val="2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Normal1" w:default="1">
    <w:name w:val="LO-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LibreOffice/6.2.8.2$Linux_X86_64 LibreOffice_project/20$Build-2</Application>
  <Pages>1</Pages>
  <Words>244</Words>
  <Characters>1433</Characters>
  <CharactersWithSpaces>1588</CharactersWithSpaces>
  <Paragraphs>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2020-01-20T15:37:59Z</dcterms:modified>
  <cp:revision>5</cp:revision>
  <dc:subject/>
  <dc:title/>
</cp:coreProperties>
</file>