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7C25" w14:textId="2456B749" w:rsidR="0077351F" w:rsidRPr="004C3A1B" w:rsidRDefault="0077351F" w:rsidP="0077351F">
      <w:pPr>
        <w:spacing w:line="360" w:lineRule="auto"/>
        <w:jc w:val="both"/>
        <w:rPr>
          <w:b/>
          <w:bCs/>
        </w:rPr>
      </w:pPr>
      <w:r w:rsidRPr="004C3A1B">
        <w:rPr>
          <w:b/>
          <w:bCs/>
        </w:rPr>
        <w:t>Supplementary Figures</w:t>
      </w:r>
    </w:p>
    <w:p w14:paraId="1E93E773" w14:textId="5D322F64" w:rsidR="0077351F" w:rsidRPr="0077351F" w:rsidRDefault="0077351F" w:rsidP="0077351F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t xml:space="preserve">Figure </w:t>
      </w:r>
      <w:r>
        <w:rPr>
          <w:rFonts w:eastAsia="MS Gothic"/>
          <w:b/>
          <w:bCs/>
          <w:lang w:eastAsia="ja-JP"/>
        </w:rPr>
        <w:t>S1</w:t>
      </w:r>
    </w:p>
    <w:p w14:paraId="542463BF" w14:textId="62778771" w:rsidR="000869DE" w:rsidRDefault="00C875C1" w:rsidP="00212F74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rPr>
          <w:noProof/>
        </w:rPr>
        <w:drawing>
          <wp:inline distT="0" distB="0" distL="0" distR="0" wp14:anchorId="3A7837C8" wp14:editId="3769CC16">
            <wp:extent cx="4471572" cy="5874192"/>
            <wp:effectExtent l="0" t="0" r="571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0971" cy="588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7C6C" w14:textId="77777777" w:rsidR="004E7C4B" w:rsidRDefault="00212F74" w:rsidP="00C875C1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sectPr w:rsidR="004E7C4B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212F74">
        <w:rPr>
          <w:b/>
          <w:bCs/>
        </w:rPr>
        <w:t>Figure S1.</w:t>
      </w:r>
      <w:r w:rsidRPr="00212F74">
        <w:t xml:space="preserve"> </w:t>
      </w:r>
      <w:r w:rsidR="003A5276" w:rsidRPr="003A5276">
        <w:rPr>
          <w:b/>
          <w:bCs/>
        </w:rPr>
        <w:t xml:space="preserve">Analysis of the cell death suppression activities of 120 VdSCPs in </w:t>
      </w:r>
      <w:r w:rsidR="003A5276" w:rsidRPr="003A5276">
        <w:rPr>
          <w:b/>
          <w:bCs/>
          <w:i/>
          <w:iCs/>
        </w:rPr>
        <w:t>Nicotiana benthamiana</w:t>
      </w:r>
      <w:r w:rsidR="003A5276" w:rsidRPr="003A5276">
        <w:rPr>
          <w:b/>
          <w:bCs/>
        </w:rPr>
        <w:t xml:space="preserve"> leaves.</w:t>
      </w:r>
      <w:r w:rsidRPr="00212F74">
        <w:t xml:space="preserve"> The suppression activity of 120 VdSCPs that there was no cell death inducing activity was detected by co-infiltration with the PAMP VdEG1 from </w:t>
      </w:r>
      <w:r w:rsidRPr="00212F74">
        <w:rPr>
          <w:i/>
          <w:iCs/>
        </w:rPr>
        <w:t>V. dahliae</w:t>
      </w:r>
      <w:r w:rsidRPr="00212F74">
        <w:t>. The detection was performed on the 4-week-old</w:t>
      </w:r>
      <w:r w:rsidRPr="00212F74">
        <w:rPr>
          <w:i/>
          <w:iCs/>
        </w:rPr>
        <w:t xml:space="preserve"> N. benthamiana</w:t>
      </w:r>
      <w:r w:rsidRPr="00212F74">
        <w:t xml:space="preserve"> leaves and the symptom development was monitored at 3 days in a time-course experiment until 6 dpi. The co-expression VdEG1 and GFP was used as the control.</w:t>
      </w:r>
    </w:p>
    <w:p w14:paraId="7C861ACA" w14:textId="7B1662FC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S2</w:t>
      </w:r>
    </w:p>
    <w:p w14:paraId="2F477F11" w14:textId="22C862E1" w:rsidR="00FF7277" w:rsidRDefault="00C875C1" w:rsidP="00FF7277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rPr>
          <w:noProof/>
        </w:rPr>
        <w:drawing>
          <wp:inline distT="0" distB="0" distL="0" distR="0" wp14:anchorId="2347F4BE" wp14:editId="652BCD77">
            <wp:extent cx="4723148" cy="4831135"/>
            <wp:effectExtent l="0" t="0" r="127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5955" cy="483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54235" w14:textId="14BD7615" w:rsidR="004E7C4B" w:rsidRDefault="00FF7277" w:rsidP="0005261E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  <w:sectPr w:rsidR="004E7C4B" w:rsidSect="0005261E">
          <w:pgSz w:w="12240" w:h="15840" w:code="1"/>
          <w:pgMar w:top="1440" w:right="1800" w:bottom="1440" w:left="1800" w:header="709" w:footer="709" w:gutter="0"/>
          <w:lnNumType w:countBy="1" w:restart="continuous"/>
          <w:cols w:space="708"/>
          <w:docGrid w:linePitch="360"/>
        </w:sectPr>
      </w:pPr>
      <w:r w:rsidRPr="005863EF">
        <w:rPr>
          <w:b/>
          <w:color w:val="000000"/>
        </w:rPr>
        <w:t>Figure S2</w:t>
      </w:r>
      <w:r>
        <w:rPr>
          <w:b/>
          <w:color w:val="000000"/>
        </w:rPr>
        <w:t>.</w:t>
      </w:r>
      <w:r w:rsidRPr="005863EF">
        <w:rPr>
          <w:b/>
          <w:color w:val="000000"/>
        </w:rPr>
        <w:t xml:space="preserve"> </w:t>
      </w:r>
      <w:r w:rsidR="00BD7408" w:rsidRPr="00BD7408">
        <w:rPr>
          <w:b/>
          <w:color w:val="000000"/>
        </w:rPr>
        <w:t xml:space="preserve">Analysis of the broad-spectrum cell death suppression activities of CFEM-containing VdSCPs in </w:t>
      </w:r>
      <w:r w:rsidR="00BD7408" w:rsidRPr="00BD7408">
        <w:rPr>
          <w:b/>
          <w:i/>
          <w:iCs/>
          <w:color w:val="000000"/>
        </w:rPr>
        <w:t>Nicotiana benthamiana</w:t>
      </w:r>
      <w:r w:rsidR="00BD7408" w:rsidRPr="00BD7408">
        <w:rPr>
          <w:b/>
          <w:color w:val="000000"/>
        </w:rPr>
        <w:t xml:space="preserve"> leaves. </w:t>
      </w:r>
      <w:r w:rsidRPr="00447FF7">
        <w:rPr>
          <w:bCs/>
          <w:color w:val="000000"/>
        </w:rPr>
        <w:t>T</w:t>
      </w:r>
      <w:r>
        <w:rPr>
          <w:bCs/>
          <w:color w:val="000000"/>
        </w:rPr>
        <w:t xml:space="preserve">he suppression activities of CFEM-containing VdSCPs against other identified </w:t>
      </w:r>
      <w:r w:rsidRPr="00A46CE7">
        <w:rPr>
          <w:bCs/>
          <w:i/>
          <w:iCs/>
          <w:color w:val="000000"/>
        </w:rPr>
        <w:t>V. dahliae</w:t>
      </w:r>
      <w:r w:rsidRPr="00B53C24">
        <w:rPr>
          <w:bCs/>
          <w:color w:val="000000"/>
        </w:rPr>
        <w:t xml:space="preserve"> cell death-inducing proteins VdSCP27, VdSCP113, VdSCP126, VdNLP1, VdNLP2, VdEG1 and VdEG3</w:t>
      </w:r>
      <w:r>
        <w:rPr>
          <w:bCs/>
          <w:color w:val="000000"/>
        </w:rPr>
        <w:t xml:space="preserve"> were conducted in </w:t>
      </w:r>
      <w:r w:rsidRPr="00A46CE7">
        <w:rPr>
          <w:bCs/>
          <w:i/>
          <w:iCs/>
          <w:color w:val="000000"/>
        </w:rPr>
        <w:t xml:space="preserve">N. benthamiana </w:t>
      </w:r>
      <w:r w:rsidRPr="00B53C24">
        <w:rPr>
          <w:bCs/>
          <w:color w:val="000000"/>
        </w:rPr>
        <w:t>leaves</w:t>
      </w:r>
      <w:r>
        <w:rPr>
          <w:bCs/>
          <w:color w:val="000000"/>
        </w:rPr>
        <w:t>.</w:t>
      </w:r>
      <w:r w:rsidRPr="00B90E2A">
        <w:rPr>
          <w:bCs/>
          <w:color w:val="000000"/>
        </w:rPr>
        <w:t xml:space="preserve"> </w:t>
      </w:r>
      <w:r w:rsidRPr="00B53C24">
        <w:rPr>
          <w:bCs/>
          <w:color w:val="000000"/>
        </w:rPr>
        <w:t xml:space="preserve">The co-expression of CFEM-containing </w:t>
      </w:r>
      <w:r>
        <w:rPr>
          <w:bCs/>
          <w:color w:val="000000"/>
        </w:rPr>
        <w:t>Vd</w:t>
      </w:r>
      <w:r w:rsidRPr="00B53C24">
        <w:rPr>
          <w:bCs/>
          <w:color w:val="000000"/>
        </w:rPr>
        <w:t>SCPs with Bcl-2-associated X protein (BAX) was used as control.</w:t>
      </w:r>
      <w:r>
        <w:rPr>
          <w:bCs/>
          <w:color w:val="000000"/>
        </w:rPr>
        <w:t xml:space="preserve"> </w:t>
      </w:r>
      <w:r w:rsidRPr="005863EF">
        <w:rPr>
          <w:bCs/>
          <w:color w:val="000000"/>
        </w:rPr>
        <w:t xml:space="preserve">The observation time was shown in </w:t>
      </w:r>
      <w:r w:rsidRPr="005863EF">
        <w:rPr>
          <w:bCs/>
          <w:color w:val="000000"/>
          <w:u w:val="single"/>
        </w:rPr>
        <w:t>Figure S1</w:t>
      </w:r>
      <w:r w:rsidR="008A69B3">
        <w:rPr>
          <w:bCs/>
          <w:color w:val="000000"/>
          <w:u w:val="single"/>
        </w:rPr>
        <w:t>.</w:t>
      </w:r>
    </w:p>
    <w:p w14:paraId="0A258FAD" w14:textId="583FCB61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S3</w:t>
      </w:r>
    </w:p>
    <w:p w14:paraId="5841B95F" w14:textId="30DC2FE1" w:rsidR="00C50620" w:rsidRDefault="00C875C1" w:rsidP="00FF7277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025800BE" wp14:editId="1CBF66A6">
            <wp:extent cx="4702849" cy="4070012"/>
            <wp:effectExtent l="0" t="0" r="2540" b="698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9690" cy="4075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0B859" w14:textId="7EA28DB6" w:rsidR="00424197" w:rsidRDefault="00FF7277" w:rsidP="00424197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color w:val="000000"/>
          <w:lang w:val="en-GB"/>
        </w:rPr>
      </w:pPr>
      <w:r w:rsidRPr="005863EF">
        <w:rPr>
          <w:b/>
          <w:color w:val="000000"/>
        </w:rPr>
        <w:t>Figure S3</w:t>
      </w:r>
      <w:r>
        <w:rPr>
          <w:b/>
          <w:color w:val="000000"/>
        </w:rPr>
        <w:t>.</w:t>
      </w:r>
      <w:r w:rsidRPr="001E5680">
        <w:rPr>
          <w:bCs/>
          <w:color w:val="000000"/>
        </w:rPr>
        <w:t xml:space="preserve"> </w:t>
      </w:r>
      <w:r w:rsidR="002B52E9" w:rsidRPr="002B52E9">
        <w:rPr>
          <w:b/>
          <w:color w:val="000000"/>
        </w:rPr>
        <w:t>Analysis of signal peptide function and subcellular localization of VdSCP76 and VdSCP77.</w:t>
      </w:r>
      <w:r w:rsidRPr="00447FF7">
        <w:rPr>
          <w:bCs/>
          <w:color w:val="000000"/>
        </w:rPr>
        <w:t xml:space="preserve"> </w:t>
      </w:r>
      <w:r>
        <w:rPr>
          <w:bCs/>
          <w:color w:val="000000"/>
        </w:rPr>
        <w:t>(</w:t>
      </w:r>
      <w:r w:rsidR="00C875C1">
        <w:rPr>
          <w:b/>
          <w:color w:val="000000"/>
        </w:rPr>
        <w:t>A</w:t>
      </w:r>
      <w:r>
        <w:rPr>
          <w:bCs/>
          <w:color w:val="000000"/>
        </w:rPr>
        <w:t>) T</w:t>
      </w:r>
      <w:r w:rsidRPr="0001416A">
        <w:rPr>
          <w:bCs/>
          <w:color w:val="000000"/>
        </w:rPr>
        <w:t xml:space="preserve">ransient expression of </w:t>
      </w:r>
      <w:r>
        <w:rPr>
          <w:bCs/>
          <w:color w:val="000000"/>
        </w:rPr>
        <w:t xml:space="preserve">VdEG1 in different co-expression treatments </w:t>
      </w:r>
      <w:r w:rsidRPr="0001416A">
        <w:rPr>
          <w:bCs/>
          <w:color w:val="000000"/>
        </w:rPr>
        <w:t xml:space="preserve">was validated by immunoblotting analysis. Ponceau S-stained </w:t>
      </w:r>
      <w:r>
        <w:rPr>
          <w:bCs/>
          <w:color w:val="000000"/>
        </w:rPr>
        <w:t>R</w:t>
      </w:r>
      <w:r w:rsidRPr="0001416A">
        <w:rPr>
          <w:bCs/>
          <w:color w:val="000000"/>
        </w:rPr>
        <w:t>ubisco protein is shown as a total protein loading control</w:t>
      </w:r>
      <w:r>
        <w:rPr>
          <w:bCs/>
          <w:color w:val="000000"/>
        </w:rPr>
        <w:t>. (</w:t>
      </w:r>
      <w:r w:rsidR="00C875C1">
        <w:rPr>
          <w:b/>
          <w:color w:val="000000"/>
        </w:rPr>
        <w:t>B</w:t>
      </w:r>
      <w:r>
        <w:rPr>
          <w:bCs/>
          <w:color w:val="000000"/>
        </w:rPr>
        <w:t xml:space="preserve">) Subcellular location of VdSCP76 or VdSCP77 fused with mCherry was analyzed by being expressed transiently in </w:t>
      </w:r>
      <w:r w:rsidRPr="005863EF">
        <w:rPr>
          <w:i/>
          <w:color w:val="000000"/>
        </w:rPr>
        <w:t>N. benthamiana</w:t>
      </w:r>
      <w:r w:rsidRPr="005863EF">
        <w:rPr>
          <w:iCs/>
          <w:color w:val="000000"/>
        </w:rPr>
        <w:t xml:space="preserve"> leaves</w:t>
      </w:r>
      <w:r>
        <w:rPr>
          <w:iCs/>
          <w:color w:val="000000"/>
        </w:rPr>
        <w:t xml:space="preserve"> and the </w:t>
      </w:r>
      <w:r w:rsidRPr="005863EF">
        <w:rPr>
          <w:iCs/>
          <w:color w:val="000000"/>
        </w:rPr>
        <w:t xml:space="preserve">fluorescence was scanned by </w:t>
      </w:r>
      <w:r w:rsidRPr="005863EF">
        <w:rPr>
          <w:color w:val="000000"/>
          <w:lang w:val="en-GB"/>
        </w:rPr>
        <w:t>a Leica TCS SP8 confocal microscopy system with an excitation wavelength of 580 nm and emission of 610 nm</w:t>
      </w:r>
      <w:r w:rsidRPr="00C45D18">
        <w:rPr>
          <w:color w:val="000000"/>
          <w:lang w:val="en-GB"/>
        </w:rPr>
        <w:t>.</w:t>
      </w:r>
      <w:r w:rsidRPr="00C45D18">
        <w:rPr>
          <w:b/>
          <w:color w:val="000000"/>
          <w:lang w:val="en-GB"/>
        </w:rPr>
        <w:t xml:space="preserve"> </w:t>
      </w:r>
      <w:r w:rsidRPr="00A46CE7">
        <w:rPr>
          <w:color w:val="000000"/>
          <w:lang w:val="en-GB"/>
        </w:rPr>
        <w:t>Bars = 10 μm</w:t>
      </w:r>
      <w:r w:rsidRPr="00C45D18">
        <w:rPr>
          <w:color w:val="000000"/>
          <w:lang w:val="en-GB"/>
        </w:rPr>
        <w:t>.</w:t>
      </w:r>
      <w:r>
        <w:rPr>
          <w:color w:val="000000"/>
          <w:lang w:val="en-GB"/>
        </w:rPr>
        <w:t xml:space="preserve"> (</w:t>
      </w:r>
      <w:r w:rsidR="00C875C1">
        <w:rPr>
          <w:b/>
          <w:bCs/>
          <w:color w:val="000000"/>
          <w:lang w:val="en-GB"/>
        </w:rPr>
        <w:t>C</w:t>
      </w:r>
      <w:r>
        <w:rPr>
          <w:color w:val="000000"/>
          <w:lang w:val="en-GB"/>
        </w:rPr>
        <w:t>) The secretion and localization of VdSCP76 or VdSCP77 were analysed by co-incubation of conidial suspension of EC::</w:t>
      </w:r>
      <w:r w:rsidRPr="00A46CE7">
        <w:rPr>
          <w:i/>
          <w:iCs/>
          <w:color w:val="000000"/>
          <w:lang w:val="en-GB"/>
        </w:rPr>
        <w:t>VdSCP76</w:t>
      </w:r>
      <w:r w:rsidRPr="00A46CE7">
        <w:rPr>
          <w:color w:val="000000"/>
          <w:lang w:val="en-GB"/>
        </w:rPr>
        <w:t>-</w:t>
      </w:r>
      <w:r>
        <w:rPr>
          <w:i/>
          <w:iCs/>
          <w:color w:val="000000"/>
          <w:lang w:val="en-GB"/>
        </w:rPr>
        <w:t>GFP</w:t>
      </w:r>
      <w:r>
        <w:rPr>
          <w:color w:val="000000"/>
          <w:lang w:val="en-GB"/>
        </w:rPr>
        <w:t xml:space="preserve"> or EC::</w:t>
      </w:r>
      <w:r w:rsidRPr="00A46CE7">
        <w:rPr>
          <w:i/>
          <w:iCs/>
          <w:color w:val="000000"/>
          <w:lang w:val="en-GB"/>
        </w:rPr>
        <w:t>VdSCP77</w:t>
      </w:r>
      <w:r>
        <w:rPr>
          <w:color w:val="000000"/>
          <w:lang w:val="en-GB"/>
        </w:rPr>
        <w:t xml:space="preserve">-GFP with </w:t>
      </w:r>
      <w:r w:rsidRPr="005863EF">
        <w:rPr>
          <w:bCs/>
          <w:color w:val="000000"/>
        </w:rPr>
        <w:t>onion epidermal cells for 4 days</w:t>
      </w:r>
      <w:r>
        <w:rPr>
          <w:bCs/>
          <w:color w:val="000000"/>
        </w:rPr>
        <w:t xml:space="preserve">. </w:t>
      </w:r>
      <w:r w:rsidRPr="005863EF">
        <w:rPr>
          <w:bCs/>
          <w:color w:val="000000"/>
        </w:rPr>
        <w:t xml:space="preserve">Wild type Vd991-GFP was used as control. </w:t>
      </w:r>
      <w:r w:rsidRPr="005863EF">
        <w:rPr>
          <w:iCs/>
          <w:color w:val="000000"/>
        </w:rPr>
        <w:t xml:space="preserve">The fluorescence was scanned by </w:t>
      </w:r>
      <w:r w:rsidRPr="005863EF">
        <w:rPr>
          <w:color w:val="000000"/>
          <w:lang w:val="en-GB"/>
        </w:rPr>
        <w:t>a Leica TCS SP8 confocal microscopy system with an excitation wavelength of 488 nm and emission of 510 nm</w:t>
      </w:r>
      <w:r>
        <w:rPr>
          <w:color w:val="000000"/>
          <w:lang w:val="en-GB"/>
        </w:rPr>
        <w:t xml:space="preserve"> for GFP, and</w:t>
      </w:r>
      <w:r w:rsidRPr="005863EF">
        <w:rPr>
          <w:b/>
          <w:color w:val="000000"/>
          <w:lang w:val="en-GB"/>
        </w:rPr>
        <w:t xml:space="preserve"> </w:t>
      </w:r>
      <w:r w:rsidRPr="005863EF">
        <w:rPr>
          <w:color w:val="000000"/>
        </w:rPr>
        <w:t>excitation of 543 nm and emission at 562 nm for FM4-64</w:t>
      </w:r>
      <w:r>
        <w:rPr>
          <w:color w:val="000000"/>
        </w:rPr>
        <w:t xml:space="preserve"> dye</w:t>
      </w:r>
      <w:r w:rsidRPr="005863EF">
        <w:rPr>
          <w:color w:val="000000"/>
        </w:rPr>
        <w:t>, r</w:t>
      </w:r>
      <w:r>
        <w:rPr>
          <w:color w:val="000000"/>
        </w:rPr>
        <w:t>e</w:t>
      </w:r>
      <w:r w:rsidRPr="005863EF">
        <w:rPr>
          <w:color w:val="000000"/>
        </w:rPr>
        <w:t>spectivel</w:t>
      </w:r>
      <w:r w:rsidRPr="00C45D18">
        <w:rPr>
          <w:color w:val="000000"/>
        </w:rPr>
        <w:t>y</w:t>
      </w:r>
      <w:r w:rsidRPr="00C45D18">
        <w:rPr>
          <w:bCs/>
          <w:color w:val="000000"/>
          <w:sz w:val="28"/>
          <w:szCs w:val="28"/>
        </w:rPr>
        <w:t xml:space="preserve">. </w:t>
      </w:r>
      <w:r w:rsidRPr="00A46CE7">
        <w:rPr>
          <w:color w:val="000000"/>
          <w:lang w:val="en-GB"/>
        </w:rPr>
        <w:t>Bars = 30 μm</w:t>
      </w:r>
      <w:r w:rsidRPr="00C45D18">
        <w:rPr>
          <w:color w:val="000000"/>
          <w:lang w:val="en-GB"/>
        </w:rPr>
        <w:t>.</w:t>
      </w:r>
      <w:r w:rsidR="00424197">
        <w:rPr>
          <w:color w:val="000000"/>
          <w:lang w:val="en-GB"/>
        </w:rPr>
        <w:br w:type="page"/>
      </w:r>
    </w:p>
    <w:p w14:paraId="3E4EC646" w14:textId="5A220032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S4</w:t>
      </w:r>
    </w:p>
    <w:p w14:paraId="09E25F20" w14:textId="051E2A12" w:rsidR="00C50620" w:rsidRDefault="00FF7277" w:rsidP="00424197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rFonts w:hint="eastAsia"/>
          <w:bCs/>
          <w:noProof/>
          <w:color w:val="000000"/>
        </w:rPr>
        <w:drawing>
          <wp:inline distT="0" distB="0" distL="0" distR="0" wp14:anchorId="7D76D520" wp14:editId="5D7276FD">
            <wp:extent cx="5527876" cy="4546324"/>
            <wp:effectExtent l="0" t="0" r="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357" cy="454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FEEA3" w14:textId="77777777" w:rsidR="004E7C4B" w:rsidRDefault="00FF7277" w:rsidP="002B52E9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  <w:sectPr w:rsidR="004E7C4B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rFonts w:hint="eastAsia"/>
          <w:b/>
          <w:color w:val="000000"/>
        </w:rPr>
        <w:t>F</w:t>
      </w:r>
      <w:r>
        <w:rPr>
          <w:b/>
          <w:color w:val="000000"/>
        </w:rPr>
        <w:t xml:space="preserve">igure S4. </w:t>
      </w:r>
      <w:bookmarkStart w:id="0" w:name="_Hlk77151224"/>
      <w:r w:rsidR="002B52E9" w:rsidRPr="002B52E9">
        <w:rPr>
          <w:b/>
          <w:color w:val="000000"/>
        </w:rPr>
        <w:t xml:space="preserve">Polymerase chain reaction (PCR) analysis of gene deletion transformants of CFEM-containing VdSCPs from </w:t>
      </w:r>
      <w:r w:rsidR="002B52E9" w:rsidRPr="002B52E9">
        <w:rPr>
          <w:b/>
          <w:i/>
          <w:iCs/>
          <w:color w:val="000000"/>
        </w:rPr>
        <w:t>V. dahliae</w:t>
      </w:r>
      <w:r w:rsidR="002B52E9" w:rsidRPr="002B52E9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bookmarkEnd w:id="0"/>
      <w:r>
        <w:rPr>
          <w:rFonts w:hint="eastAsia"/>
          <w:bCs/>
          <w:color w:val="000000"/>
        </w:rPr>
        <w:t>Two</w:t>
      </w:r>
      <w:r>
        <w:rPr>
          <w:bCs/>
          <w:color w:val="000000"/>
        </w:rPr>
        <w:t xml:space="preserve"> transformants </w:t>
      </w:r>
      <w:r w:rsidRPr="00D10BA2">
        <w:rPr>
          <w:bCs/>
          <w:color w:val="000000"/>
        </w:rPr>
        <w:t>(#1 and #2) of each deletion mutant strain</w:t>
      </w:r>
      <w:r>
        <w:rPr>
          <w:bCs/>
          <w:color w:val="000000"/>
        </w:rPr>
        <w:t xml:space="preserve"> of CFEM-containing VdSCPs family members are shown. </w:t>
      </w:r>
      <w:r w:rsidRPr="00A46CE7">
        <w:rPr>
          <w:bCs/>
          <w:i/>
          <w:iCs/>
          <w:color w:val="000000"/>
        </w:rPr>
        <w:t>Hpt</w:t>
      </w:r>
      <w:r>
        <w:rPr>
          <w:bCs/>
          <w:color w:val="000000"/>
        </w:rPr>
        <w:t xml:space="preserve">: </w:t>
      </w:r>
      <w:r w:rsidRPr="00D10BA2">
        <w:rPr>
          <w:bCs/>
          <w:color w:val="000000"/>
        </w:rPr>
        <w:t>PCR amplification of the positive selection marker hygromycin phosphotransferase gene</w:t>
      </w:r>
      <w:r>
        <w:rPr>
          <w:bCs/>
          <w:color w:val="000000"/>
        </w:rPr>
        <w:t xml:space="preserve">. Test 1: </w:t>
      </w:r>
      <w:r w:rsidRPr="00D10BA2">
        <w:rPr>
          <w:bCs/>
          <w:color w:val="000000"/>
        </w:rPr>
        <w:t>PCR amplification of markers specific to the internal gene sequence</w:t>
      </w:r>
      <w:r>
        <w:rPr>
          <w:bCs/>
          <w:color w:val="000000"/>
        </w:rPr>
        <w:t xml:space="preserve">. Test 2: </w:t>
      </w:r>
      <w:r w:rsidRPr="00D10BA2">
        <w:rPr>
          <w:bCs/>
          <w:color w:val="000000"/>
        </w:rPr>
        <w:t>PCR amplification of combination for the outer sequence upstream of target gene and the inner sequence of hygromycin phosphotransferase gene</w:t>
      </w:r>
      <w:r>
        <w:rPr>
          <w:bCs/>
          <w:color w:val="000000"/>
        </w:rPr>
        <w:t xml:space="preserve">. </w:t>
      </w:r>
      <w:r w:rsidRPr="00D10BA2">
        <w:rPr>
          <w:bCs/>
          <w:color w:val="000000"/>
        </w:rPr>
        <w:t>WT: wild-type strain Vd991 was used as the control for hygromycin phosphotransferase gene and internal gene sequence marker, respectively. M=10,000 bp DNA ladder used as a size marker.</w:t>
      </w:r>
    </w:p>
    <w:p w14:paraId="258939EB" w14:textId="2D333CA8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S5</w:t>
      </w:r>
    </w:p>
    <w:p w14:paraId="4EEA822B" w14:textId="4BF8DED4" w:rsidR="00FF7277" w:rsidRDefault="000A67B2" w:rsidP="000A67B2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256C8E9D" wp14:editId="119EF3BD">
            <wp:extent cx="5267739" cy="2587158"/>
            <wp:effectExtent l="0" t="0" r="952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952" cy="258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4F442" w14:textId="77777777" w:rsidR="00424197" w:rsidRDefault="00FF7277" w:rsidP="008547CD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  <w:sectPr w:rsidR="00424197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bookmarkStart w:id="1" w:name="_Hlk77151254"/>
      <w:r w:rsidRPr="005863EF">
        <w:rPr>
          <w:b/>
          <w:color w:val="000000"/>
        </w:rPr>
        <w:t>Figure S5</w:t>
      </w:r>
      <w:r>
        <w:rPr>
          <w:rFonts w:hint="eastAsia"/>
          <w:b/>
          <w:color w:val="000000"/>
        </w:rPr>
        <w:t>.</w:t>
      </w:r>
      <w:r w:rsidRPr="005863EF">
        <w:rPr>
          <w:b/>
          <w:color w:val="000000"/>
        </w:rPr>
        <w:t xml:space="preserve"> </w:t>
      </w:r>
      <w:r w:rsidR="008547CD" w:rsidRPr="008547CD">
        <w:rPr>
          <w:b/>
          <w:color w:val="000000"/>
        </w:rPr>
        <w:t>Polymerase chain reaction (PCR) analysis of gene complementation transformants</w:t>
      </w:r>
      <w:r w:rsidRPr="005863EF">
        <w:rPr>
          <w:b/>
          <w:color w:val="000000"/>
        </w:rPr>
        <w:t xml:space="preserve">. </w:t>
      </w:r>
      <w:r>
        <w:rPr>
          <w:b/>
          <w:color w:val="000000"/>
        </w:rPr>
        <w:t>(</w:t>
      </w:r>
      <w:r w:rsidR="000A67B2">
        <w:rPr>
          <w:b/>
          <w:color w:val="000000"/>
        </w:rPr>
        <w:t>A</w:t>
      </w:r>
      <w:r>
        <w:rPr>
          <w:b/>
          <w:color w:val="000000"/>
        </w:rPr>
        <w:t>)-(</w:t>
      </w:r>
      <w:r w:rsidR="000A67B2">
        <w:rPr>
          <w:b/>
          <w:color w:val="000000"/>
        </w:rPr>
        <w:t>D</w:t>
      </w:r>
      <w:r>
        <w:rPr>
          <w:b/>
          <w:color w:val="000000"/>
        </w:rPr>
        <w:t>)</w:t>
      </w:r>
      <w:bookmarkEnd w:id="1"/>
      <w:r>
        <w:rPr>
          <w:b/>
          <w:color w:val="000000"/>
        </w:rPr>
        <w:t xml:space="preserve"> </w:t>
      </w:r>
      <w:r w:rsidRPr="00D10BA2">
        <w:rPr>
          <w:bCs/>
          <w:color w:val="000000"/>
        </w:rPr>
        <w:t>#1</w:t>
      </w:r>
      <w:r>
        <w:rPr>
          <w:bCs/>
          <w:color w:val="000000"/>
        </w:rPr>
        <w:t xml:space="preserve">, </w:t>
      </w:r>
      <w:r w:rsidRPr="00D10BA2">
        <w:rPr>
          <w:bCs/>
          <w:color w:val="000000"/>
        </w:rPr>
        <w:t>#</w:t>
      </w:r>
      <w:r>
        <w:rPr>
          <w:bCs/>
          <w:color w:val="000000"/>
        </w:rPr>
        <w:t xml:space="preserve">2 and </w:t>
      </w:r>
      <w:r w:rsidRPr="00D10BA2">
        <w:rPr>
          <w:bCs/>
          <w:color w:val="000000"/>
        </w:rPr>
        <w:t>#</w:t>
      </w:r>
      <w:r>
        <w:rPr>
          <w:bCs/>
          <w:color w:val="000000"/>
        </w:rPr>
        <w:t xml:space="preserve">3 </w:t>
      </w:r>
      <w:r w:rsidRPr="00C80103">
        <w:rPr>
          <w:bCs/>
          <w:color w:val="000000"/>
        </w:rPr>
        <w:t>represent</w:t>
      </w:r>
      <w:r>
        <w:rPr>
          <w:bCs/>
          <w:color w:val="000000"/>
        </w:rPr>
        <w:t xml:space="preserve"> i</w:t>
      </w:r>
      <w:r w:rsidRPr="00C80103">
        <w:rPr>
          <w:bCs/>
          <w:color w:val="000000"/>
        </w:rPr>
        <w:t>ndependent</w:t>
      </w:r>
      <w:r>
        <w:rPr>
          <w:bCs/>
          <w:color w:val="000000"/>
        </w:rPr>
        <w:t xml:space="preserve"> complementation </w:t>
      </w:r>
      <w:r w:rsidRPr="00C80103">
        <w:rPr>
          <w:bCs/>
          <w:color w:val="000000"/>
        </w:rPr>
        <w:t>transformants</w:t>
      </w:r>
      <w:r>
        <w:rPr>
          <w:bCs/>
          <w:color w:val="000000"/>
        </w:rPr>
        <w:t xml:space="preserve"> of each strain. </w:t>
      </w:r>
      <w:r w:rsidRPr="00A46CE7">
        <w:rPr>
          <w:bCs/>
          <w:i/>
          <w:iCs/>
          <w:color w:val="000000"/>
        </w:rPr>
        <w:t>N</w:t>
      </w:r>
      <w:r>
        <w:rPr>
          <w:bCs/>
          <w:i/>
          <w:iCs/>
          <w:color w:val="000000"/>
        </w:rPr>
        <w:t>pt</w:t>
      </w:r>
      <w:r w:rsidRPr="00A46CE7">
        <w:rPr>
          <w:bCs/>
          <w:i/>
          <w:iCs/>
          <w:color w:val="000000"/>
        </w:rPr>
        <w:t>II</w:t>
      </w:r>
      <w:r w:rsidRPr="00CB299B">
        <w:rPr>
          <w:bCs/>
          <w:color w:val="000000"/>
        </w:rPr>
        <w:t>:</w:t>
      </w:r>
      <w:r w:rsidRPr="00EB3C68">
        <w:rPr>
          <w:bCs/>
          <w:color w:val="000000"/>
        </w:rPr>
        <w:t xml:space="preserve"> </w:t>
      </w:r>
      <w:r w:rsidRPr="00D10BA2">
        <w:rPr>
          <w:bCs/>
          <w:color w:val="000000"/>
        </w:rPr>
        <w:t xml:space="preserve">PCR amplification of the positive selection marker </w:t>
      </w:r>
      <w:bookmarkStart w:id="2" w:name="OLE_LINK22"/>
      <w:r>
        <w:rPr>
          <w:bCs/>
          <w:color w:val="000000"/>
        </w:rPr>
        <w:t>geneticin</w:t>
      </w:r>
      <w:r w:rsidRPr="00EB3C68">
        <w:rPr>
          <w:bCs/>
          <w:color w:val="000000"/>
        </w:rPr>
        <w:t xml:space="preserve"> </w:t>
      </w:r>
      <w:bookmarkEnd w:id="2"/>
      <w:r w:rsidRPr="00C80103">
        <w:rPr>
          <w:bCs/>
          <w:color w:val="000000"/>
        </w:rPr>
        <w:t xml:space="preserve">phosphotransferase </w:t>
      </w:r>
      <w:r w:rsidRPr="00EB3C68">
        <w:rPr>
          <w:bCs/>
          <w:color w:val="000000"/>
        </w:rPr>
        <w:t>gene</w:t>
      </w:r>
      <w:r>
        <w:rPr>
          <w:bCs/>
          <w:color w:val="000000"/>
        </w:rPr>
        <w:t xml:space="preserve">. Test 1 and Test 2: </w:t>
      </w:r>
      <w:r w:rsidRPr="00D10BA2">
        <w:rPr>
          <w:bCs/>
          <w:color w:val="000000"/>
        </w:rPr>
        <w:t xml:space="preserve">PCR amplification of </w:t>
      </w:r>
      <w:r>
        <w:rPr>
          <w:bCs/>
          <w:color w:val="000000"/>
        </w:rPr>
        <w:t xml:space="preserve">the </w:t>
      </w:r>
      <w:r w:rsidRPr="00D10BA2">
        <w:rPr>
          <w:bCs/>
          <w:color w:val="000000"/>
        </w:rPr>
        <w:t>internal gene sequence</w:t>
      </w:r>
      <w:r>
        <w:rPr>
          <w:bCs/>
          <w:color w:val="000000"/>
        </w:rPr>
        <w:t xml:space="preserve"> of </w:t>
      </w:r>
      <w:r w:rsidRPr="00A46CE7">
        <w:rPr>
          <w:bCs/>
          <w:i/>
          <w:iCs/>
          <w:color w:val="000000"/>
        </w:rPr>
        <w:t>VdSCP76</w:t>
      </w:r>
      <w:r>
        <w:rPr>
          <w:bCs/>
          <w:color w:val="000000"/>
        </w:rPr>
        <w:t xml:space="preserve"> and </w:t>
      </w:r>
      <w:r w:rsidRPr="00A46CE7">
        <w:rPr>
          <w:bCs/>
          <w:i/>
          <w:iCs/>
          <w:color w:val="000000"/>
        </w:rPr>
        <w:t>VdSCP77</w:t>
      </w:r>
      <w:r>
        <w:rPr>
          <w:bCs/>
          <w:color w:val="000000"/>
        </w:rPr>
        <w:t xml:space="preserve"> </w:t>
      </w:r>
      <w:r w:rsidRPr="00D10BA2">
        <w:rPr>
          <w:bCs/>
          <w:color w:val="000000"/>
        </w:rPr>
        <w:t>speci</w:t>
      </w:r>
      <w:r>
        <w:rPr>
          <w:bCs/>
          <w:color w:val="000000"/>
        </w:rPr>
        <w:t xml:space="preserve">ally. Test 3: </w:t>
      </w:r>
      <w:r w:rsidRPr="00D10BA2">
        <w:rPr>
          <w:bCs/>
          <w:color w:val="000000"/>
        </w:rPr>
        <w:t xml:space="preserve">PCR amplification of the </w:t>
      </w:r>
      <w:r>
        <w:rPr>
          <w:bCs/>
          <w:color w:val="000000"/>
        </w:rPr>
        <w:t>internal gene sequence of</w:t>
      </w:r>
      <w:r w:rsidRPr="00A46CE7">
        <w:rPr>
          <w:bCs/>
          <w:i/>
          <w:iCs/>
          <w:color w:val="000000"/>
        </w:rPr>
        <w:t xml:space="preserve"> GFP</w:t>
      </w:r>
      <w:r>
        <w:rPr>
          <w:bCs/>
          <w:color w:val="000000"/>
        </w:rPr>
        <w:t>.</w:t>
      </w:r>
      <w:r w:rsidRPr="00432662">
        <w:rPr>
          <w:bCs/>
          <w:color w:val="000000"/>
        </w:rPr>
        <w:t xml:space="preserve"> </w:t>
      </w:r>
      <w:r w:rsidRPr="00D10BA2">
        <w:rPr>
          <w:bCs/>
          <w:color w:val="000000"/>
        </w:rPr>
        <w:t>WT</w:t>
      </w:r>
      <w:r>
        <w:rPr>
          <w:bCs/>
          <w:color w:val="000000"/>
        </w:rPr>
        <w:t xml:space="preserve"> represents wild-type Vd991</w:t>
      </w:r>
      <w:r w:rsidRPr="00D10BA2">
        <w:rPr>
          <w:bCs/>
          <w:color w:val="000000"/>
        </w:rPr>
        <w:t>. M=10,000 bp DNA ladder used as a size marker.</w:t>
      </w:r>
    </w:p>
    <w:p w14:paraId="055D45D9" w14:textId="34A24CBA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S6</w:t>
      </w:r>
    </w:p>
    <w:p w14:paraId="653DED92" w14:textId="1635573F" w:rsidR="00FF7277" w:rsidRDefault="000A67B2" w:rsidP="00FF7277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3AEC05EC" wp14:editId="78D6D6F1">
            <wp:extent cx="3836911" cy="451559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5855" cy="452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67FF5" w14:textId="0669B7E6" w:rsidR="0005261E" w:rsidRDefault="008B22AE" w:rsidP="0005261E">
      <w:pPr>
        <w:spacing w:line="360" w:lineRule="auto"/>
        <w:ind w:firstLineChars="200" w:firstLine="482"/>
        <w:jc w:val="both"/>
        <w:textAlignment w:val="center"/>
        <w:rPr>
          <w:bCs/>
          <w:color w:val="000000"/>
        </w:rPr>
      </w:pPr>
      <w:bookmarkStart w:id="3" w:name="_Hlk77151281"/>
      <w:r w:rsidRPr="002A186F">
        <w:rPr>
          <w:b/>
          <w:color w:val="000000"/>
        </w:rPr>
        <w:t>Figure S6</w:t>
      </w:r>
      <w:r>
        <w:rPr>
          <w:b/>
          <w:color w:val="000000"/>
        </w:rPr>
        <w:t>.</w:t>
      </w:r>
      <w:r w:rsidRPr="002A186F">
        <w:rPr>
          <w:b/>
          <w:color w:val="000000"/>
        </w:rPr>
        <w:t xml:space="preserve"> </w:t>
      </w:r>
      <w:bookmarkEnd w:id="3"/>
      <w:r w:rsidRPr="002A186F">
        <w:rPr>
          <w:b/>
          <w:color w:val="000000"/>
        </w:rPr>
        <w:t xml:space="preserve">Identification of the immunity suppression activity of VdSCP76 and VdSCP77 in </w:t>
      </w:r>
      <w:r w:rsidRPr="000D1244">
        <w:rPr>
          <w:b/>
          <w:i/>
          <w:iCs/>
          <w:color w:val="000000"/>
        </w:rPr>
        <w:t>Nicotiana be</w:t>
      </w:r>
      <w:r w:rsidRPr="002A186F">
        <w:rPr>
          <w:b/>
          <w:i/>
          <w:iCs/>
          <w:color w:val="000000"/>
        </w:rPr>
        <w:t>nthamiana</w:t>
      </w:r>
      <w:r w:rsidRPr="002A186F">
        <w:rPr>
          <w:b/>
          <w:color w:val="000000"/>
        </w:rPr>
        <w:t>.</w:t>
      </w:r>
      <w:r w:rsidR="00FF7277">
        <w:rPr>
          <w:rFonts w:hint="eastAsia"/>
          <w:b/>
          <w:color w:val="000000"/>
        </w:rPr>
        <w:t xml:space="preserve"> </w:t>
      </w:r>
      <w:r w:rsidR="00FF7277" w:rsidRPr="002A186F">
        <w:rPr>
          <w:bCs/>
          <w:color w:val="000000"/>
        </w:rPr>
        <w:t>(</w:t>
      </w:r>
      <w:r w:rsidR="000A67B2">
        <w:rPr>
          <w:b/>
          <w:color w:val="000000"/>
        </w:rPr>
        <w:t>A</w:t>
      </w:r>
      <w:r w:rsidR="00FF7277" w:rsidRPr="002A186F">
        <w:rPr>
          <w:bCs/>
          <w:color w:val="000000"/>
        </w:rPr>
        <w:t>)</w:t>
      </w:r>
      <w:r w:rsidR="00FF7277" w:rsidRPr="002A186F">
        <w:rPr>
          <w:b/>
          <w:color w:val="000000"/>
        </w:rPr>
        <w:t xml:space="preserve"> </w:t>
      </w:r>
      <w:r w:rsidR="00FF7277" w:rsidRPr="002A186F">
        <w:rPr>
          <w:bCs/>
          <w:color w:val="000000"/>
        </w:rPr>
        <w:t>ROS accumulation</w:t>
      </w:r>
      <w:r w:rsidR="00FF7277">
        <w:rPr>
          <w:bCs/>
          <w:color w:val="000000"/>
        </w:rPr>
        <w:t xml:space="preserve"> was detected using</w:t>
      </w:r>
      <w:r w:rsidR="00FF7277" w:rsidRPr="002A186F">
        <w:rPr>
          <w:bCs/>
          <w:color w:val="000000"/>
        </w:rPr>
        <w:t xml:space="preserve"> </w:t>
      </w:r>
      <w:r w:rsidR="00FF7277" w:rsidRPr="005863EF">
        <w:rPr>
          <w:color w:val="000000"/>
        </w:rPr>
        <w:t>3’3-diaminobenzidine (DAB) solutio</w:t>
      </w:r>
      <w:r w:rsidR="00FF7277">
        <w:rPr>
          <w:color w:val="000000"/>
        </w:rPr>
        <w:t>n</w:t>
      </w:r>
      <w:r w:rsidR="00FF7277">
        <w:rPr>
          <w:bCs/>
          <w:color w:val="000000"/>
        </w:rPr>
        <w:t xml:space="preserve"> staine</w:t>
      </w:r>
      <w:r w:rsidR="00FF7277" w:rsidRPr="007D5A2B">
        <w:rPr>
          <w:bCs/>
          <w:color w:val="000000"/>
        </w:rPr>
        <w:t>d and</w:t>
      </w:r>
      <w:r w:rsidR="00FF7277" w:rsidRPr="007D5A2B">
        <w:t xml:space="preserve"> the </w:t>
      </w:r>
      <w:r w:rsidR="00FF7277">
        <w:t xml:space="preserve">gray value was determined to indicate the level of ROS accumulation by </w:t>
      </w:r>
      <w:r w:rsidR="00FF7277" w:rsidRPr="007D5A2B">
        <w:rPr>
          <w:bCs/>
          <w:color w:val="000000"/>
        </w:rPr>
        <w:t>ImageJ</w:t>
      </w:r>
      <w:r w:rsidR="00FF7277">
        <w:rPr>
          <w:bCs/>
          <w:color w:val="000000"/>
        </w:rPr>
        <w:t>. (</w:t>
      </w:r>
      <w:r w:rsidR="000A67B2">
        <w:rPr>
          <w:b/>
          <w:color w:val="000000"/>
        </w:rPr>
        <w:t>B</w:t>
      </w:r>
      <w:r w:rsidR="00FF7277">
        <w:rPr>
          <w:bCs/>
          <w:color w:val="000000"/>
        </w:rPr>
        <w:t xml:space="preserve">) Callose deposition </w:t>
      </w:r>
      <w:r w:rsidR="00FF7277" w:rsidRPr="005863EF">
        <w:rPr>
          <w:color w:val="000000"/>
        </w:rPr>
        <w:t>was determined</w:t>
      </w:r>
      <w:r w:rsidR="00FF7277">
        <w:rPr>
          <w:color w:val="000000"/>
        </w:rPr>
        <w:t xml:space="preserve"> using </w:t>
      </w:r>
      <w:r w:rsidR="00FF7277" w:rsidRPr="005863EF">
        <w:rPr>
          <w:color w:val="000000"/>
        </w:rPr>
        <w:t>a fluorescence microscope using a UV filter</w:t>
      </w:r>
      <w:r w:rsidR="00FF7277">
        <w:rPr>
          <w:color w:val="000000"/>
        </w:rPr>
        <w:t xml:space="preserve"> after stained with aniline blue, and the spotlights were counted by ImageJ. (</w:t>
      </w:r>
      <w:r w:rsidR="000A67B2">
        <w:rPr>
          <w:b/>
          <w:bCs/>
          <w:color w:val="000000"/>
        </w:rPr>
        <w:t>C</w:t>
      </w:r>
      <w:r w:rsidR="00FF7277">
        <w:rPr>
          <w:color w:val="000000"/>
        </w:rPr>
        <w:t xml:space="preserve">) </w:t>
      </w:r>
      <w:r w:rsidR="00FF7277" w:rsidRPr="00920D53">
        <w:rPr>
          <w:color w:val="000000"/>
        </w:rPr>
        <w:t xml:space="preserve">Electrolyte leakage was assessed </w:t>
      </w:r>
      <w:r w:rsidR="00FF7277">
        <w:rPr>
          <w:color w:val="000000"/>
        </w:rPr>
        <w:t xml:space="preserve">by </w:t>
      </w:r>
      <w:r w:rsidR="00FF7277" w:rsidRPr="00920D53">
        <w:rPr>
          <w:color w:val="000000"/>
        </w:rPr>
        <w:t>conductivity meter</w:t>
      </w:r>
      <w:r w:rsidR="00FF7277">
        <w:rPr>
          <w:color w:val="000000"/>
        </w:rPr>
        <w:t xml:space="preserve">. All above treatments were performed in </w:t>
      </w:r>
      <w:r w:rsidR="00FF7277" w:rsidRPr="00920D53">
        <w:rPr>
          <w:i/>
          <w:iCs/>
          <w:color w:val="000000"/>
        </w:rPr>
        <w:t>N. benthamiana</w:t>
      </w:r>
      <w:r w:rsidR="00FF7277" w:rsidRPr="00920D53">
        <w:rPr>
          <w:color w:val="000000"/>
        </w:rPr>
        <w:t xml:space="preserve"> leaves from 4-week-old plants 48 h after co-infiltration of VdEG1 with</w:t>
      </w:r>
      <w:r w:rsidR="00FF7277">
        <w:rPr>
          <w:color w:val="000000"/>
        </w:rPr>
        <w:t xml:space="preserve"> VdSCP76 or VdSCP77. VdEG1 and GFP were used as the controls. </w:t>
      </w:r>
      <w:r w:rsidR="00FF7277" w:rsidRPr="005B5ADB">
        <w:rPr>
          <w:bCs/>
          <w:color w:val="000000"/>
        </w:rPr>
        <w:t xml:space="preserve">Error bars represent standard errors. </w:t>
      </w:r>
      <w:r w:rsidR="0005261E" w:rsidRPr="005B5ADB">
        <w:rPr>
          <w:bCs/>
          <w:color w:val="000000"/>
        </w:rPr>
        <w:t>*** represent statistical significance at</w:t>
      </w:r>
      <w:r w:rsidR="0005261E">
        <w:rPr>
          <w:bCs/>
          <w:color w:val="000000"/>
        </w:rPr>
        <w:t xml:space="preserve"> </w:t>
      </w:r>
      <w:r w:rsidR="0005261E" w:rsidRPr="005B5ADB">
        <w:rPr>
          <w:bCs/>
          <w:i/>
          <w:iCs/>
          <w:color w:val="000000"/>
        </w:rPr>
        <w:t>P</w:t>
      </w:r>
      <w:r w:rsidR="0005261E" w:rsidRPr="005863EF">
        <w:rPr>
          <w:bCs/>
          <w:color w:val="000000"/>
        </w:rPr>
        <w:t> &lt; 0.0</w:t>
      </w:r>
      <w:r w:rsidR="0005261E">
        <w:rPr>
          <w:bCs/>
          <w:color w:val="000000"/>
        </w:rPr>
        <w:t>01 according to</w:t>
      </w:r>
      <w:r w:rsidR="0005261E">
        <w:rPr>
          <w:rFonts w:hint="eastAsia"/>
          <w:bCs/>
          <w:color w:val="000000"/>
          <w:lang w:eastAsia="zh-CN"/>
        </w:rPr>
        <w:t xml:space="preserve"> </w:t>
      </w:r>
      <w:r w:rsidR="0005261E">
        <w:rPr>
          <w:bCs/>
          <w:color w:val="000000"/>
        </w:rPr>
        <w:t>o</w:t>
      </w:r>
      <w:r w:rsidR="0005261E" w:rsidRPr="0005261E">
        <w:rPr>
          <w:bCs/>
          <w:color w:val="000000"/>
        </w:rPr>
        <w:t xml:space="preserve">ne-way analysis of variance (ANOVA) between </w:t>
      </w:r>
      <w:r w:rsidR="0005261E">
        <w:rPr>
          <w:bCs/>
          <w:color w:val="000000"/>
        </w:rPr>
        <w:t xml:space="preserve">VdEG1 </w:t>
      </w:r>
      <w:r w:rsidR="0005261E" w:rsidRPr="0005261E">
        <w:rPr>
          <w:bCs/>
          <w:color w:val="000000"/>
        </w:rPr>
        <w:t xml:space="preserve">and </w:t>
      </w:r>
      <w:r w:rsidR="0005261E">
        <w:rPr>
          <w:bCs/>
          <w:color w:val="000000"/>
        </w:rPr>
        <w:t>other treatments</w:t>
      </w:r>
      <w:r w:rsidR="0005261E" w:rsidRPr="0005261E">
        <w:rPr>
          <w:bCs/>
          <w:color w:val="000000"/>
        </w:rPr>
        <w:t>.</w:t>
      </w:r>
    </w:p>
    <w:p w14:paraId="676CDA44" w14:textId="6E2F28B0" w:rsidR="00FF727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S7</w:t>
      </w:r>
    </w:p>
    <w:p w14:paraId="3E06456E" w14:textId="274C411A" w:rsidR="00FF7277" w:rsidRDefault="000A67B2" w:rsidP="00FF7277">
      <w:pPr>
        <w:spacing w:line="360" w:lineRule="auto"/>
        <w:jc w:val="center"/>
        <w:textAlignment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336A43EF" wp14:editId="3BA33F21">
            <wp:extent cx="4620768" cy="1914144"/>
            <wp:effectExtent l="0" t="0" r="889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0768" cy="191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4BED" w14:textId="2D2EC66F" w:rsidR="004E7C4B" w:rsidRDefault="009A1463" w:rsidP="00FF7277">
      <w:pPr>
        <w:spacing w:line="360" w:lineRule="auto"/>
        <w:ind w:firstLineChars="200" w:firstLine="482"/>
        <w:jc w:val="both"/>
        <w:textAlignment w:val="center"/>
        <w:rPr>
          <w:bCs/>
          <w:color w:val="000000"/>
        </w:rPr>
      </w:pPr>
      <w:r w:rsidRPr="005863EF">
        <w:rPr>
          <w:b/>
          <w:color w:val="000000"/>
        </w:rPr>
        <w:t xml:space="preserve">Figure S7 Immunoblotting analysis of proteins in </w:t>
      </w:r>
      <w:r w:rsidRPr="000D1244">
        <w:rPr>
          <w:b/>
          <w:i/>
          <w:iCs/>
          <w:color w:val="000000"/>
        </w:rPr>
        <w:t>Nicotiana</w:t>
      </w:r>
      <w:r w:rsidRPr="005863EF">
        <w:rPr>
          <w:b/>
          <w:i/>
          <w:iCs/>
          <w:color w:val="000000"/>
        </w:rPr>
        <w:t xml:space="preserve"> benthamiana</w:t>
      </w:r>
      <w:r w:rsidRPr="005863EF">
        <w:rPr>
          <w:b/>
          <w:color w:val="000000"/>
        </w:rPr>
        <w:t xml:space="preserve"> leaves transiently expressing VdEG1 in the suppression experiment. </w:t>
      </w:r>
      <w:r w:rsidRPr="005863EF">
        <w:rPr>
          <w:bCs/>
          <w:color w:val="000000"/>
        </w:rPr>
        <w:t>(</w:t>
      </w:r>
      <w:r w:rsidR="000A67B2">
        <w:rPr>
          <w:b/>
          <w:color w:val="000000"/>
        </w:rPr>
        <w:t>A</w:t>
      </w:r>
      <w:r w:rsidRPr="005863EF">
        <w:rPr>
          <w:bCs/>
          <w:color w:val="000000"/>
        </w:rPr>
        <w:t>) and (</w:t>
      </w:r>
      <w:r w:rsidR="000A67B2">
        <w:rPr>
          <w:b/>
          <w:color w:val="000000"/>
        </w:rPr>
        <w:t>B</w:t>
      </w:r>
      <w:r w:rsidRPr="005863EF">
        <w:rPr>
          <w:bCs/>
          <w:color w:val="000000"/>
        </w:rPr>
        <w:t>)</w:t>
      </w:r>
      <w:r>
        <w:rPr>
          <w:bCs/>
          <w:color w:val="000000"/>
        </w:rPr>
        <w:t xml:space="preserve"> </w:t>
      </w:r>
      <w:r w:rsidRPr="005863EF">
        <w:rPr>
          <w:bCs/>
          <w:color w:val="000000"/>
        </w:rPr>
        <w:t>The suppression experiments included transiently co-expression of truncated proteins or cysteine residue site mutated protein of VdSCP76 and VdSCP77 with VdEG1. Ponceau S-stained Rubisco protein is shown as a total protein loading contro</w:t>
      </w:r>
      <w:r>
        <w:rPr>
          <w:bCs/>
          <w:color w:val="000000"/>
        </w:rPr>
        <w:t>l</w:t>
      </w:r>
      <w:r w:rsidR="00FF7277" w:rsidRPr="005863EF">
        <w:rPr>
          <w:bCs/>
          <w:color w:val="000000"/>
        </w:rPr>
        <w:t>.</w:t>
      </w:r>
    </w:p>
    <w:p w14:paraId="55FE137E" w14:textId="20B278F9" w:rsidR="00C50620" w:rsidRDefault="00C50620" w:rsidP="00FF7277">
      <w:pPr>
        <w:spacing w:line="360" w:lineRule="auto"/>
        <w:ind w:firstLineChars="200" w:firstLine="480"/>
        <w:jc w:val="both"/>
        <w:textAlignment w:val="center"/>
        <w:rPr>
          <w:bCs/>
          <w:color w:val="000000"/>
        </w:rPr>
        <w:sectPr w:rsidR="00C50620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D915617" w14:textId="433CA836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S8</w:t>
      </w:r>
    </w:p>
    <w:p w14:paraId="715222EA" w14:textId="62B9D0EF" w:rsidR="00FF7277" w:rsidRDefault="000A67B2" w:rsidP="003A5276">
      <w:pPr>
        <w:spacing w:line="360" w:lineRule="auto"/>
        <w:jc w:val="center"/>
        <w:textAlignment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28F8AE9B" wp14:editId="0295D891">
            <wp:extent cx="5426765" cy="206634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27288" cy="206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F3127" w14:textId="023A3959" w:rsidR="0005261E" w:rsidRPr="009A55FD" w:rsidRDefault="009A1463" w:rsidP="009A55FD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</w:pPr>
      <w:bookmarkStart w:id="4" w:name="_Hlk77151605"/>
      <w:r w:rsidRPr="005863EF">
        <w:rPr>
          <w:b/>
          <w:color w:val="000000"/>
        </w:rPr>
        <w:t>Figure S</w:t>
      </w:r>
      <w:r>
        <w:rPr>
          <w:b/>
          <w:color w:val="000000"/>
        </w:rPr>
        <w:t>8.</w:t>
      </w:r>
      <w:r w:rsidRPr="005863EF">
        <w:rPr>
          <w:b/>
          <w:color w:val="000000"/>
        </w:rPr>
        <w:t xml:space="preserve"> </w:t>
      </w:r>
      <w:r w:rsidR="009F5ACD" w:rsidRPr="009F5ACD">
        <w:rPr>
          <w:b/>
          <w:color w:val="000000"/>
        </w:rPr>
        <w:t xml:space="preserve">Virulence assay of double gene deletion of </w:t>
      </w:r>
      <w:r w:rsidR="009F5ACD" w:rsidRPr="009F5ACD">
        <w:rPr>
          <w:b/>
          <w:i/>
          <w:iCs/>
          <w:color w:val="000000"/>
        </w:rPr>
        <w:t>VdSCP76</w:t>
      </w:r>
      <w:r w:rsidR="009F5ACD" w:rsidRPr="009F5ACD">
        <w:rPr>
          <w:b/>
          <w:color w:val="000000"/>
        </w:rPr>
        <w:t xml:space="preserve"> and </w:t>
      </w:r>
      <w:r w:rsidR="009F5ACD" w:rsidRPr="009F5ACD">
        <w:rPr>
          <w:b/>
          <w:i/>
          <w:iCs/>
          <w:color w:val="000000"/>
        </w:rPr>
        <w:t>VdSCP77</w:t>
      </w:r>
      <w:r w:rsidR="009F5ACD" w:rsidRPr="009F5ACD">
        <w:rPr>
          <w:b/>
          <w:color w:val="000000"/>
        </w:rPr>
        <w:t xml:space="preserve"> strains on cotton</w:t>
      </w:r>
      <w:r w:rsidRPr="005863EF">
        <w:rPr>
          <w:b/>
          <w:color w:val="000000"/>
        </w:rPr>
        <w:t>.</w:t>
      </w:r>
      <w:bookmarkEnd w:id="4"/>
      <w:r w:rsidRPr="005863EF">
        <w:rPr>
          <w:b/>
          <w:color w:val="000000"/>
        </w:rPr>
        <w:t xml:space="preserve"> </w:t>
      </w:r>
      <w:r w:rsidRPr="005863EF">
        <w:rPr>
          <w:bCs/>
          <w:color w:val="000000"/>
        </w:rPr>
        <w:t>(</w:t>
      </w:r>
      <w:r w:rsidR="000A67B2">
        <w:rPr>
          <w:b/>
          <w:color w:val="000000"/>
        </w:rPr>
        <w:t>A</w:t>
      </w:r>
      <w:r w:rsidRPr="005863EF">
        <w:rPr>
          <w:bCs/>
          <w:color w:val="000000"/>
        </w:rPr>
        <w:t xml:space="preserve">) </w:t>
      </w:r>
      <w:r w:rsidRPr="005863EF">
        <w:rPr>
          <w:color w:val="000000"/>
        </w:rPr>
        <w:t xml:space="preserve">Phenotypes of cotton seedlings inoculated with </w:t>
      </w:r>
      <w:r w:rsidRPr="005863EF">
        <w:rPr>
          <w:i/>
          <w:iCs/>
          <w:color w:val="000000"/>
        </w:rPr>
        <w:t>VdSCP76</w:t>
      </w:r>
      <w:r w:rsidRPr="005863EF">
        <w:rPr>
          <w:color w:val="000000"/>
        </w:rPr>
        <w:t xml:space="preserve"> and</w:t>
      </w:r>
      <w:r w:rsidRPr="005863EF">
        <w:rPr>
          <w:i/>
          <w:iCs/>
          <w:color w:val="000000"/>
        </w:rPr>
        <w:t xml:space="preserve"> VdSCP77 </w:t>
      </w:r>
      <w:r w:rsidRPr="005863EF">
        <w:rPr>
          <w:color w:val="000000"/>
        </w:rPr>
        <w:t xml:space="preserve">double genes deletion mutants and complementary transformants </w:t>
      </w:r>
      <w:r>
        <w:rPr>
          <w:color w:val="000000"/>
        </w:rPr>
        <w:t xml:space="preserve">were showed on the top and the stem </w:t>
      </w:r>
      <w:r w:rsidRPr="005863EF">
        <w:rPr>
          <w:bCs/>
          <w:color w:val="000000"/>
        </w:rPr>
        <w:t>longitudinal sections of cotton plants</w:t>
      </w:r>
      <w:r>
        <w:rPr>
          <w:bCs/>
          <w:color w:val="000000"/>
        </w:rPr>
        <w:t xml:space="preserve"> were showed on the bottom which </w:t>
      </w:r>
      <w:r w:rsidRPr="005863EF">
        <w:rPr>
          <w:color w:val="000000"/>
        </w:rPr>
        <w:t>were collected at 3</w:t>
      </w:r>
      <w:r>
        <w:rPr>
          <w:color w:val="000000"/>
        </w:rPr>
        <w:t xml:space="preserve"> weeks post inoculation</w:t>
      </w:r>
      <w:r w:rsidRPr="005863EF">
        <w:rPr>
          <w:color w:val="000000"/>
        </w:rPr>
        <w:t xml:space="preserve"> </w:t>
      </w:r>
      <w:r>
        <w:rPr>
          <w:color w:val="000000"/>
        </w:rPr>
        <w:t>(</w:t>
      </w:r>
      <w:r w:rsidRPr="005863EF">
        <w:rPr>
          <w:color w:val="000000"/>
        </w:rPr>
        <w:t>wpi</w:t>
      </w:r>
      <w:r>
        <w:rPr>
          <w:color w:val="000000"/>
        </w:rPr>
        <w:t>)</w:t>
      </w:r>
      <w:r>
        <w:rPr>
          <w:bCs/>
          <w:color w:val="000000"/>
        </w:rPr>
        <w:t>.</w:t>
      </w:r>
      <w:r w:rsidRPr="005863EF">
        <w:rPr>
          <w:color w:val="000000"/>
        </w:rPr>
        <w:t xml:space="preserve"> (</w:t>
      </w:r>
      <w:r w:rsidR="000A67B2">
        <w:rPr>
          <w:b/>
          <w:bCs/>
          <w:color w:val="000000"/>
        </w:rPr>
        <w:t>B</w:t>
      </w:r>
      <w:r w:rsidRPr="005863EF">
        <w:rPr>
          <w:color w:val="000000"/>
        </w:rPr>
        <w:t>) Fungal biomass of double genes deletion and complementary transformants on cotton seedlings was determined by qPCR.</w:t>
      </w:r>
      <w:r w:rsidRPr="005863EF">
        <w:rPr>
          <w:bCs/>
          <w:color w:val="000000"/>
        </w:rPr>
        <w:t xml:space="preserve"> Error bars represent standard error. **</w:t>
      </w:r>
      <w:r w:rsidR="009A55FD" w:rsidRPr="008976AF">
        <w:rPr>
          <w:iCs/>
          <w:color w:val="000000"/>
        </w:rPr>
        <w:t xml:space="preserve"> statistical significance at</w:t>
      </w:r>
      <w:r w:rsidRPr="005863EF">
        <w:rPr>
          <w:bCs/>
          <w:color w:val="000000"/>
        </w:rPr>
        <w:t xml:space="preserve"> </w:t>
      </w:r>
      <w:r w:rsidRPr="005863EF">
        <w:rPr>
          <w:bCs/>
          <w:i/>
          <w:iCs/>
          <w:color w:val="000000"/>
        </w:rPr>
        <w:t>P</w:t>
      </w:r>
      <w:r w:rsidRPr="005863EF">
        <w:rPr>
          <w:bCs/>
          <w:color w:val="000000"/>
        </w:rPr>
        <w:t> &lt; 0.01</w:t>
      </w:r>
      <w:r w:rsidR="009A55FD">
        <w:rPr>
          <w:bCs/>
          <w:color w:val="000000"/>
        </w:rPr>
        <w:t xml:space="preserve"> in wild-type and </w:t>
      </w:r>
      <w:r w:rsidR="009A55FD" w:rsidRPr="00B61B03">
        <w:rPr>
          <w:iCs/>
          <w:color w:val="000000"/>
        </w:rPr>
        <w:t>each knockout mutant or complementary transformant</w:t>
      </w:r>
      <w:r w:rsidR="009A55FD">
        <w:rPr>
          <w:rFonts w:hint="eastAsia"/>
          <w:bCs/>
          <w:color w:val="000000"/>
          <w:lang w:eastAsia="zh-CN"/>
        </w:rPr>
        <w:t xml:space="preserve"> </w:t>
      </w:r>
      <w:r w:rsidR="0005261E" w:rsidRPr="00B61B03">
        <w:rPr>
          <w:iCs/>
          <w:color w:val="000000"/>
        </w:rPr>
        <w:t>according to one-way analysis of variance (ANOVA).</w:t>
      </w:r>
    </w:p>
    <w:p w14:paraId="579B05DD" w14:textId="2FD6831F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S9</w:t>
      </w:r>
    </w:p>
    <w:p w14:paraId="30A07548" w14:textId="690DAC50" w:rsidR="003A5276" w:rsidRDefault="000A67B2" w:rsidP="000A67B2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1A7CD137" wp14:editId="1E520502">
            <wp:extent cx="4817194" cy="5568594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9788" cy="557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7373B" w14:textId="718829E9" w:rsidR="003A5276" w:rsidRPr="000D3A80" w:rsidRDefault="004E7C4B" w:rsidP="000D3A80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</w:pPr>
      <w:bookmarkStart w:id="5" w:name="_Hlk77151620"/>
      <w:r w:rsidRPr="005863EF">
        <w:rPr>
          <w:b/>
          <w:color w:val="000000"/>
        </w:rPr>
        <w:t>Figure S</w:t>
      </w:r>
      <w:r>
        <w:rPr>
          <w:b/>
          <w:color w:val="000000"/>
        </w:rPr>
        <w:t>9.</w:t>
      </w:r>
      <w:r w:rsidRPr="005863EF">
        <w:rPr>
          <w:b/>
          <w:color w:val="000000"/>
        </w:rPr>
        <w:t xml:space="preserve"> Functional diversification analysis of CFEM-containing </w:t>
      </w:r>
      <w:r>
        <w:rPr>
          <w:b/>
          <w:color w:val="000000"/>
        </w:rPr>
        <w:t>Vd</w:t>
      </w:r>
      <w:r w:rsidRPr="005863EF">
        <w:rPr>
          <w:b/>
          <w:color w:val="000000"/>
        </w:rPr>
        <w:t>SCPs.</w:t>
      </w:r>
      <w:bookmarkEnd w:id="5"/>
      <w:r w:rsidRPr="005863EF">
        <w:rPr>
          <w:bCs/>
          <w:color w:val="000000"/>
        </w:rPr>
        <w:t xml:space="preserve"> (</w:t>
      </w:r>
      <w:r w:rsidR="000A67B2">
        <w:rPr>
          <w:b/>
          <w:color w:val="000000"/>
        </w:rPr>
        <w:t>A</w:t>
      </w:r>
      <w:r w:rsidRPr="005863EF">
        <w:rPr>
          <w:bCs/>
          <w:color w:val="000000"/>
        </w:rPr>
        <w:t>) Phenotypes of stem longitudinal sections of cotton seedlings inoculated with</w:t>
      </w:r>
      <w:r w:rsidRPr="005863EF">
        <w:rPr>
          <w:color w:val="000000"/>
        </w:rPr>
        <w:t xml:space="preserve"> gene deletion mutants of CFEM-containing </w:t>
      </w:r>
      <w:r>
        <w:rPr>
          <w:color w:val="000000"/>
        </w:rPr>
        <w:t>Vd</w:t>
      </w:r>
      <w:r w:rsidRPr="005863EF">
        <w:rPr>
          <w:color w:val="000000"/>
        </w:rPr>
        <w:t xml:space="preserve">SCPs family members </w:t>
      </w:r>
      <w:r w:rsidRPr="005863EF">
        <w:rPr>
          <w:bCs/>
          <w:color w:val="000000"/>
        </w:rPr>
        <w:t>at 3 wpi. (</w:t>
      </w:r>
      <w:r w:rsidR="000A67B2">
        <w:rPr>
          <w:b/>
          <w:color w:val="000000"/>
        </w:rPr>
        <w:t>B</w:t>
      </w:r>
      <w:r w:rsidRPr="005863EF">
        <w:rPr>
          <w:bCs/>
          <w:color w:val="000000"/>
        </w:rPr>
        <w:t xml:space="preserve">) </w:t>
      </w:r>
      <w:r w:rsidRPr="005863EF">
        <w:rPr>
          <w:color w:val="000000"/>
        </w:rPr>
        <w:t xml:space="preserve">Fungal biomass of gene deletion mutants of CFEM-containing </w:t>
      </w:r>
      <w:r>
        <w:rPr>
          <w:color w:val="000000"/>
        </w:rPr>
        <w:t>V</w:t>
      </w:r>
      <w:r>
        <w:rPr>
          <w:rFonts w:hint="eastAsia"/>
          <w:color w:val="000000"/>
        </w:rPr>
        <w:t>d</w:t>
      </w:r>
      <w:r w:rsidRPr="005863EF">
        <w:rPr>
          <w:color w:val="000000"/>
        </w:rPr>
        <w:t>SCPs family members was examined by qPCR</w:t>
      </w:r>
      <w:r w:rsidRPr="005863EF">
        <w:rPr>
          <w:bCs/>
          <w:color w:val="000000"/>
        </w:rPr>
        <w:t>. (</w:t>
      </w:r>
      <w:r w:rsidR="000A67B2">
        <w:rPr>
          <w:b/>
          <w:color w:val="000000"/>
        </w:rPr>
        <w:t>C</w:t>
      </w:r>
      <w:r w:rsidRPr="005863EF">
        <w:rPr>
          <w:bCs/>
          <w:color w:val="000000"/>
        </w:rPr>
        <w:t xml:space="preserve">) Fungal biomass of </w:t>
      </w:r>
      <w:r w:rsidRPr="005863EF">
        <w:rPr>
          <w:bCs/>
          <w:i/>
          <w:iCs/>
          <w:color w:val="000000"/>
        </w:rPr>
        <w:t>Botrytis cinerea</w:t>
      </w:r>
      <w:r w:rsidRPr="005863EF">
        <w:rPr>
          <w:bCs/>
          <w:color w:val="000000"/>
        </w:rPr>
        <w:t xml:space="preserve"> on </w:t>
      </w:r>
      <w:r w:rsidRPr="005863EF">
        <w:rPr>
          <w:bCs/>
          <w:i/>
          <w:iCs/>
          <w:color w:val="000000"/>
        </w:rPr>
        <w:t>N. benthamiana</w:t>
      </w:r>
      <w:r w:rsidRPr="005863EF">
        <w:rPr>
          <w:bCs/>
          <w:color w:val="000000"/>
        </w:rPr>
        <w:t xml:space="preserve"> was evaluated by qPCR. Error bars represent standard error. </w:t>
      </w:r>
      <w:r w:rsidR="00F60337">
        <w:rPr>
          <w:bCs/>
          <w:color w:val="000000"/>
        </w:rPr>
        <w:t xml:space="preserve">* and </w:t>
      </w:r>
      <w:r w:rsidR="00F60337" w:rsidRPr="005863EF">
        <w:rPr>
          <w:bCs/>
          <w:color w:val="000000"/>
        </w:rPr>
        <w:t>**</w:t>
      </w:r>
      <w:r w:rsidR="00F60337" w:rsidRPr="008976AF">
        <w:rPr>
          <w:iCs/>
          <w:color w:val="000000"/>
        </w:rPr>
        <w:t xml:space="preserve"> </w:t>
      </w:r>
      <w:r w:rsidR="00F60337" w:rsidRPr="005863EF">
        <w:rPr>
          <w:bCs/>
          <w:color w:val="000000"/>
        </w:rPr>
        <w:t>represent</w:t>
      </w:r>
      <w:r w:rsidR="00F60337" w:rsidRPr="008976AF">
        <w:rPr>
          <w:iCs/>
          <w:color w:val="000000"/>
        </w:rPr>
        <w:t xml:space="preserve"> statistical significance at</w:t>
      </w:r>
      <w:r w:rsidR="00F60337" w:rsidRPr="005863EF">
        <w:rPr>
          <w:bCs/>
          <w:color w:val="000000"/>
        </w:rPr>
        <w:t xml:space="preserve"> </w:t>
      </w:r>
      <w:r w:rsidR="00F60337" w:rsidRPr="005863EF">
        <w:rPr>
          <w:bCs/>
          <w:i/>
          <w:iCs/>
          <w:color w:val="000000"/>
        </w:rPr>
        <w:t>P</w:t>
      </w:r>
      <w:r w:rsidR="00F60337" w:rsidRPr="005863EF">
        <w:rPr>
          <w:bCs/>
          <w:color w:val="000000"/>
        </w:rPr>
        <w:t> &lt; 0.0</w:t>
      </w:r>
      <w:r w:rsidR="00F60337">
        <w:rPr>
          <w:bCs/>
          <w:color w:val="000000"/>
        </w:rPr>
        <w:t xml:space="preserve">5 and </w:t>
      </w:r>
      <w:r w:rsidR="00F60337" w:rsidRPr="005863EF">
        <w:rPr>
          <w:bCs/>
          <w:i/>
          <w:iCs/>
          <w:color w:val="000000"/>
        </w:rPr>
        <w:t>P</w:t>
      </w:r>
      <w:r w:rsidR="00F60337" w:rsidRPr="005863EF">
        <w:rPr>
          <w:bCs/>
          <w:color w:val="000000"/>
        </w:rPr>
        <w:t> &lt; 0.0</w:t>
      </w:r>
      <w:r w:rsidR="00F60337">
        <w:rPr>
          <w:bCs/>
          <w:color w:val="000000"/>
        </w:rPr>
        <w:t xml:space="preserve">1, respectively, in control and different treatments (between wild-type and </w:t>
      </w:r>
      <w:r w:rsidR="00F60337" w:rsidRPr="00B61B03">
        <w:rPr>
          <w:iCs/>
          <w:color w:val="000000"/>
        </w:rPr>
        <w:t>each knockout mutant</w:t>
      </w:r>
      <w:r w:rsidR="00F60337">
        <w:rPr>
          <w:iCs/>
          <w:color w:val="000000"/>
        </w:rPr>
        <w:t xml:space="preserve">, </w:t>
      </w:r>
      <w:r w:rsidR="00F60337" w:rsidRPr="00B61B03">
        <w:rPr>
          <w:iCs/>
          <w:color w:val="000000"/>
        </w:rPr>
        <w:t>or</w:t>
      </w:r>
      <w:r w:rsidR="00F60337">
        <w:rPr>
          <w:iCs/>
          <w:color w:val="000000"/>
        </w:rPr>
        <w:t xml:space="preserve"> GFP and CFEM family members)</w:t>
      </w:r>
      <w:r w:rsidR="00F60337">
        <w:rPr>
          <w:rFonts w:hint="eastAsia"/>
          <w:bCs/>
          <w:color w:val="000000"/>
          <w:lang w:eastAsia="zh-CN"/>
        </w:rPr>
        <w:t xml:space="preserve"> </w:t>
      </w:r>
      <w:r w:rsidR="00F60337" w:rsidRPr="00B61B03">
        <w:rPr>
          <w:iCs/>
          <w:color w:val="000000"/>
        </w:rPr>
        <w:t>according to one-way analysis of variance (ANOVA).</w:t>
      </w:r>
    </w:p>
    <w:p w14:paraId="3F6D0483" w14:textId="560E60A5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S10</w:t>
      </w:r>
    </w:p>
    <w:p w14:paraId="60830ABE" w14:textId="6A68540A" w:rsidR="003A5276" w:rsidRDefault="003A5276" w:rsidP="009429C5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163EF883" wp14:editId="7E8BF087">
            <wp:extent cx="5562600" cy="2966126"/>
            <wp:effectExtent l="0" t="0" r="0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67198" cy="296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EE5D" w14:textId="26AF2AB6" w:rsidR="00C50620" w:rsidRDefault="004E7C4B" w:rsidP="009230F8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  <w:sectPr w:rsidR="00C50620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bookmarkStart w:id="6" w:name="_Hlk77151566"/>
      <w:r>
        <w:rPr>
          <w:b/>
          <w:color w:val="000000"/>
        </w:rPr>
        <w:t>Figure S10.</w:t>
      </w:r>
      <w:bookmarkEnd w:id="6"/>
      <w:r>
        <w:rPr>
          <w:bCs/>
          <w:color w:val="000000"/>
        </w:rPr>
        <w:t xml:space="preserve"> </w:t>
      </w:r>
      <w:r w:rsidRPr="00777AAA">
        <w:rPr>
          <w:b/>
          <w:color w:val="000000"/>
        </w:rPr>
        <w:t xml:space="preserve">Gene </w:t>
      </w:r>
      <w:r w:rsidRPr="00777AAA">
        <w:rPr>
          <w:b/>
          <w:iCs/>
          <w:color w:val="000000"/>
        </w:rPr>
        <w:t xml:space="preserve">expression of CFEM-containing VdSCPs during infection of cotton roots. </w:t>
      </w:r>
      <w:r w:rsidRPr="005863EF">
        <w:rPr>
          <w:iCs/>
          <w:color w:val="000000"/>
        </w:rPr>
        <w:t xml:space="preserve">Three-week-old cotton plants (cv. Junmian 1) were inoculated with wild-type </w:t>
      </w:r>
      <w:r w:rsidRPr="005863EF">
        <w:rPr>
          <w:i/>
          <w:color w:val="000000"/>
        </w:rPr>
        <w:t>V. dahliae</w:t>
      </w:r>
      <w:r w:rsidRPr="005863EF">
        <w:rPr>
          <w:iCs/>
          <w:color w:val="000000"/>
        </w:rPr>
        <w:t xml:space="preserve"> Vd991 and harvested at </w:t>
      </w:r>
      <w:r>
        <w:rPr>
          <w:iCs/>
          <w:color w:val="000000"/>
        </w:rPr>
        <w:t>5, 7, 9 days</w:t>
      </w:r>
      <w:r w:rsidRPr="005863EF">
        <w:rPr>
          <w:iCs/>
          <w:color w:val="000000"/>
        </w:rPr>
        <w:t xml:space="preserve"> after inoculation</w:t>
      </w:r>
      <w:r>
        <w:rPr>
          <w:iCs/>
          <w:color w:val="000000"/>
        </w:rPr>
        <w:t xml:space="preserve"> (dpi), respectively</w:t>
      </w:r>
      <w:r w:rsidRPr="005863EF">
        <w:rPr>
          <w:iCs/>
          <w:color w:val="000000"/>
        </w:rPr>
        <w:t>. RT-qPCR was performed to determine the</w:t>
      </w:r>
      <w:r>
        <w:rPr>
          <w:iCs/>
          <w:color w:val="000000"/>
        </w:rPr>
        <w:t xml:space="preserve"> gene</w:t>
      </w:r>
      <w:r w:rsidRPr="005863EF">
        <w:rPr>
          <w:iCs/>
          <w:color w:val="000000"/>
        </w:rPr>
        <w:t xml:space="preserve"> expression levels of</w:t>
      </w:r>
      <w:r w:rsidRPr="005863EF">
        <w:rPr>
          <w:i/>
          <w:color w:val="000000"/>
        </w:rPr>
        <w:t xml:space="preserve"> </w:t>
      </w:r>
      <w:r w:rsidRPr="00777AAA">
        <w:rPr>
          <w:iCs/>
          <w:color w:val="000000"/>
        </w:rPr>
        <w:t xml:space="preserve">CFEM-containing VdSCPs family members </w:t>
      </w:r>
      <w:r w:rsidRPr="005863EF">
        <w:rPr>
          <w:iCs/>
          <w:color w:val="000000"/>
        </w:rPr>
        <w:t xml:space="preserve">relative to </w:t>
      </w:r>
      <w:r w:rsidRPr="005863EF">
        <w:rPr>
          <w:i/>
          <w:color w:val="000000"/>
        </w:rPr>
        <w:t>V. dahliae</w:t>
      </w:r>
      <w:r w:rsidRPr="005863EF">
        <w:rPr>
          <w:iCs/>
          <w:color w:val="000000"/>
        </w:rPr>
        <w:t xml:space="preserve"> </w:t>
      </w:r>
      <w:r w:rsidRPr="005863EF">
        <w:rPr>
          <w:i/>
          <w:color w:val="000000"/>
        </w:rPr>
        <w:t>EF-1α</w:t>
      </w:r>
      <w:r w:rsidRPr="005863EF">
        <w:rPr>
          <w:iCs/>
          <w:color w:val="000000"/>
        </w:rPr>
        <w:t>.</w:t>
      </w:r>
      <w:r>
        <w:rPr>
          <w:iCs/>
          <w:color w:val="000000"/>
        </w:rPr>
        <w:t xml:space="preserve"> </w:t>
      </w:r>
      <w:r w:rsidRPr="005B5ADB">
        <w:rPr>
          <w:bCs/>
          <w:color w:val="000000"/>
        </w:rPr>
        <w:t xml:space="preserve">Error bars represent standard errors. </w:t>
      </w:r>
      <w:r>
        <w:rPr>
          <w:bCs/>
          <w:color w:val="000000"/>
        </w:rPr>
        <w:t xml:space="preserve">*, </w:t>
      </w:r>
      <w:r w:rsidRPr="005B5ADB">
        <w:rPr>
          <w:bCs/>
          <w:color w:val="000000"/>
        </w:rPr>
        <w:t xml:space="preserve">** and *** represent statistical significance at </w:t>
      </w:r>
      <w:r w:rsidRPr="005B5ADB">
        <w:rPr>
          <w:bCs/>
          <w:i/>
          <w:iCs/>
          <w:color w:val="000000"/>
        </w:rPr>
        <w:t>P</w:t>
      </w:r>
      <w:r w:rsidRPr="005863EF">
        <w:rPr>
          <w:bCs/>
          <w:color w:val="000000"/>
        </w:rPr>
        <w:t> &lt; 0.0</w:t>
      </w:r>
      <w:r>
        <w:rPr>
          <w:bCs/>
          <w:color w:val="000000"/>
        </w:rPr>
        <w:t xml:space="preserve">5, </w:t>
      </w:r>
      <w:r w:rsidRPr="005B5ADB">
        <w:rPr>
          <w:bCs/>
          <w:i/>
          <w:iCs/>
          <w:color w:val="000000"/>
        </w:rPr>
        <w:t>P</w:t>
      </w:r>
      <w:r w:rsidRPr="005863EF">
        <w:rPr>
          <w:bCs/>
          <w:color w:val="000000"/>
        </w:rPr>
        <w:t> &lt; 0.0</w:t>
      </w:r>
      <w:r>
        <w:rPr>
          <w:bCs/>
          <w:color w:val="000000"/>
        </w:rPr>
        <w:t xml:space="preserve">1 and </w:t>
      </w:r>
      <w:r w:rsidRPr="005B5ADB">
        <w:rPr>
          <w:bCs/>
          <w:i/>
          <w:iCs/>
          <w:color w:val="000000"/>
        </w:rPr>
        <w:t>P</w:t>
      </w:r>
      <w:r w:rsidRPr="005863EF">
        <w:rPr>
          <w:bCs/>
          <w:color w:val="000000"/>
        </w:rPr>
        <w:t> &lt; 0.0</w:t>
      </w:r>
      <w:r>
        <w:rPr>
          <w:bCs/>
          <w:color w:val="000000"/>
        </w:rPr>
        <w:t xml:space="preserve">01, respectively, </w:t>
      </w:r>
      <w:r w:rsidR="009230F8">
        <w:rPr>
          <w:bCs/>
          <w:color w:val="000000"/>
        </w:rPr>
        <w:t xml:space="preserve">between </w:t>
      </w:r>
      <w:r w:rsidR="009230F8" w:rsidRPr="009230F8">
        <w:rPr>
          <w:bCs/>
          <w:color w:val="000000"/>
        </w:rPr>
        <w:t>0 dpi and each time point of infection</w:t>
      </w:r>
      <w:r w:rsidR="009230F8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according to </w:t>
      </w:r>
      <w:r w:rsidR="009230F8" w:rsidRPr="00B61B03">
        <w:rPr>
          <w:iCs/>
          <w:color w:val="000000"/>
        </w:rPr>
        <w:t>one-way analysis of variance (ANOVA)</w:t>
      </w:r>
      <w:r w:rsidR="009230F8">
        <w:rPr>
          <w:bCs/>
          <w:color w:val="000000"/>
        </w:rPr>
        <w:t xml:space="preserve"> .</w:t>
      </w:r>
    </w:p>
    <w:p w14:paraId="035264C2" w14:textId="446D612E" w:rsidR="00424197" w:rsidRPr="00424197" w:rsidRDefault="00424197" w:rsidP="00424197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S11</w:t>
      </w:r>
    </w:p>
    <w:p w14:paraId="734775DD" w14:textId="1C1F998D" w:rsidR="003A5276" w:rsidRDefault="003A5276" w:rsidP="008A69B3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rFonts w:hint="eastAsia"/>
          <w:bCs/>
          <w:noProof/>
          <w:color w:val="000000"/>
        </w:rPr>
        <w:drawing>
          <wp:inline distT="0" distB="0" distL="0" distR="0" wp14:anchorId="3D7D0106" wp14:editId="0ADBECE3">
            <wp:extent cx="5458570" cy="204404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60688" cy="204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70169" w14:textId="21B63F81" w:rsidR="00096E72" w:rsidRDefault="004E7C4B" w:rsidP="00570041">
      <w:pPr>
        <w:widowControl w:val="0"/>
        <w:autoSpaceDE w:val="0"/>
        <w:autoSpaceDN w:val="0"/>
        <w:adjustRightInd w:val="0"/>
        <w:spacing w:line="360" w:lineRule="auto"/>
        <w:ind w:firstLineChars="200" w:firstLine="482"/>
        <w:jc w:val="both"/>
        <w:rPr>
          <w:bCs/>
          <w:color w:val="000000"/>
        </w:rPr>
      </w:pPr>
      <w:bookmarkStart w:id="7" w:name="_Hlk77151646"/>
      <w:r w:rsidRPr="005863EF">
        <w:rPr>
          <w:b/>
          <w:color w:val="000000"/>
        </w:rPr>
        <w:t>Figure S1</w:t>
      </w:r>
      <w:r>
        <w:rPr>
          <w:b/>
          <w:color w:val="000000"/>
        </w:rPr>
        <w:t>1.</w:t>
      </w:r>
      <w:r w:rsidRPr="005863EF">
        <w:rPr>
          <w:b/>
          <w:color w:val="000000"/>
        </w:rPr>
        <w:t xml:space="preserve"> </w:t>
      </w:r>
      <w:r>
        <w:rPr>
          <w:b/>
          <w:color w:val="000000"/>
        </w:rPr>
        <w:t>Analysis</w:t>
      </w:r>
      <w:r w:rsidRPr="00917266">
        <w:rPr>
          <w:b/>
          <w:color w:val="000000"/>
        </w:rPr>
        <w:t xml:space="preserve"> of </w:t>
      </w:r>
      <w:r>
        <w:rPr>
          <w:b/>
          <w:color w:val="000000"/>
        </w:rPr>
        <w:t>defense related-</w:t>
      </w:r>
      <w:r w:rsidRPr="00917266">
        <w:rPr>
          <w:b/>
          <w:color w:val="000000"/>
        </w:rPr>
        <w:t>gene expression</w:t>
      </w:r>
      <w:r>
        <w:rPr>
          <w:b/>
          <w:color w:val="000000"/>
        </w:rPr>
        <w:t xml:space="preserve"> level. </w:t>
      </w:r>
      <w:bookmarkEnd w:id="7"/>
      <w:r w:rsidRPr="000B1A29">
        <w:rPr>
          <w:bCs/>
          <w:color w:val="000000"/>
        </w:rPr>
        <w:t>Co-expression of VdSCP76, VdSCP77 and corresponding</w:t>
      </w:r>
      <w:bookmarkStart w:id="8" w:name="OLE_LINK1"/>
      <w:r w:rsidRPr="000B1A29">
        <w:rPr>
          <w:bCs/>
          <w:color w:val="000000"/>
        </w:rPr>
        <w:t xml:space="preserve"> </w:t>
      </w:r>
      <w:r w:rsidRPr="005863EF">
        <w:t xml:space="preserve">site-mutated </w:t>
      </w:r>
      <w:bookmarkEnd w:id="8"/>
      <w:r w:rsidRPr="005863EF">
        <w:t>proteins</w:t>
      </w:r>
      <w:r w:rsidRPr="000B1A29">
        <w:rPr>
          <w:bCs/>
          <w:color w:val="000000"/>
        </w:rPr>
        <w:t xml:space="preserve"> with VdEG1</w:t>
      </w:r>
      <w:r>
        <w:rPr>
          <w:bCs/>
          <w:color w:val="000000"/>
        </w:rPr>
        <w:t xml:space="preserve"> </w:t>
      </w:r>
      <w:r w:rsidRPr="000B1A29">
        <w:rPr>
          <w:bCs/>
          <w:color w:val="000000"/>
        </w:rPr>
        <w:t xml:space="preserve">transiently in </w:t>
      </w:r>
      <w:r w:rsidRPr="000B1A29">
        <w:rPr>
          <w:bCs/>
          <w:i/>
          <w:iCs/>
          <w:color w:val="000000"/>
        </w:rPr>
        <w:t>N. benthamiana</w:t>
      </w:r>
      <w:r w:rsidRPr="000B1A29">
        <w:rPr>
          <w:bCs/>
          <w:color w:val="000000"/>
        </w:rPr>
        <w:t xml:space="preserve"> leaves</w:t>
      </w:r>
      <w:r>
        <w:rPr>
          <w:bCs/>
          <w:color w:val="000000"/>
        </w:rPr>
        <w:t xml:space="preserve">, respectively, were conducted in </w:t>
      </w:r>
      <w:r w:rsidRPr="000B1A29">
        <w:rPr>
          <w:bCs/>
          <w:color w:val="000000"/>
        </w:rPr>
        <w:t xml:space="preserve">4-week-old </w:t>
      </w:r>
      <w:r w:rsidRPr="000B1A29">
        <w:rPr>
          <w:bCs/>
          <w:i/>
          <w:iCs/>
          <w:color w:val="000000"/>
        </w:rPr>
        <w:t>N. be</w:t>
      </w:r>
      <w:r w:rsidRPr="003858BA">
        <w:rPr>
          <w:bCs/>
          <w:i/>
          <w:iCs/>
          <w:color w:val="000000"/>
        </w:rPr>
        <w:t>nthamiana</w:t>
      </w:r>
      <w:r w:rsidRPr="003858BA">
        <w:rPr>
          <w:bCs/>
          <w:color w:val="000000"/>
        </w:rPr>
        <w:t xml:space="preserve"> leaves</w:t>
      </w:r>
      <w:r w:rsidRPr="000B1A29">
        <w:rPr>
          <w:bCs/>
          <w:color w:val="000000"/>
        </w:rPr>
        <w:t xml:space="preserve">. The transcripts were detected </w:t>
      </w:r>
      <w:r>
        <w:rPr>
          <w:bCs/>
          <w:color w:val="000000"/>
        </w:rPr>
        <w:t xml:space="preserve">by RT-qPCR </w:t>
      </w:r>
      <w:r w:rsidRPr="003858BA">
        <w:rPr>
          <w:bCs/>
          <w:color w:val="000000"/>
        </w:rPr>
        <w:t xml:space="preserve">at </w:t>
      </w:r>
      <w:r>
        <w:rPr>
          <w:bCs/>
          <w:color w:val="000000"/>
        </w:rPr>
        <w:t xml:space="preserve">2 days </w:t>
      </w:r>
      <w:r w:rsidRPr="003858BA">
        <w:rPr>
          <w:bCs/>
          <w:color w:val="000000"/>
        </w:rPr>
        <w:t>after agro-infiltration</w:t>
      </w:r>
      <w:r w:rsidRPr="005B5ADB">
        <w:rPr>
          <w:bCs/>
          <w:color w:val="000000"/>
        </w:rPr>
        <w:t xml:space="preserve">. </w:t>
      </w:r>
      <w:r w:rsidRPr="005863EF">
        <w:t xml:space="preserve">Single infiltration of </w:t>
      </w:r>
      <w:r>
        <w:t>Vd</w:t>
      </w:r>
      <w:r w:rsidRPr="005863EF">
        <w:t>EG1 and GFP served as control</w:t>
      </w:r>
      <w:r>
        <w:t>s</w:t>
      </w:r>
      <w:r w:rsidRPr="005863EF">
        <w:t xml:space="preserve"> respectively</w:t>
      </w:r>
      <w:r>
        <w:t>.</w:t>
      </w:r>
      <w:r w:rsidRPr="005B5ADB">
        <w:rPr>
          <w:bCs/>
          <w:color w:val="000000"/>
        </w:rPr>
        <w:t xml:space="preserve"> Error bars represent standard errors.</w:t>
      </w:r>
      <w:r w:rsidR="00096E72">
        <w:rPr>
          <w:rFonts w:hint="eastAsia"/>
          <w:bCs/>
          <w:color w:val="000000"/>
          <w:lang w:eastAsia="zh-CN"/>
        </w:rPr>
        <w:t xml:space="preserve"> </w:t>
      </w:r>
      <w:r w:rsidR="00096E72" w:rsidRPr="008976AF">
        <w:rPr>
          <w:bCs/>
          <w:color w:val="000000"/>
        </w:rPr>
        <w:t xml:space="preserve">** and *** represent significant </w:t>
      </w:r>
      <w:r w:rsidR="00096E72" w:rsidRPr="005B6655">
        <w:rPr>
          <w:bCs/>
          <w:color w:val="000000"/>
        </w:rPr>
        <w:t xml:space="preserve">differences </w:t>
      </w:r>
      <w:r w:rsidR="00096E72" w:rsidRPr="008976AF">
        <w:rPr>
          <w:bCs/>
          <w:color w:val="000000"/>
        </w:rPr>
        <w:t xml:space="preserve">at </w:t>
      </w:r>
      <w:r w:rsidR="00096E72" w:rsidRPr="008976AF">
        <w:rPr>
          <w:bCs/>
          <w:i/>
          <w:iCs/>
          <w:color w:val="000000"/>
        </w:rPr>
        <w:t>P</w:t>
      </w:r>
      <w:r w:rsidR="00096E72" w:rsidRPr="008976AF">
        <w:rPr>
          <w:bCs/>
          <w:color w:val="000000"/>
        </w:rPr>
        <w:t xml:space="preserve"> &lt; 0.01 and </w:t>
      </w:r>
      <w:r w:rsidR="00096E72" w:rsidRPr="008976AF">
        <w:rPr>
          <w:bCs/>
          <w:i/>
          <w:iCs/>
          <w:color w:val="000000"/>
        </w:rPr>
        <w:t>P</w:t>
      </w:r>
      <w:r w:rsidR="00096E72" w:rsidRPr="008976AF">
        <w:rPr>
          <w:bCs/>
          <w:color w:val="000000"/>
        </w:rPr>
        <w:t> &lt; 0.001, respectively,</w:t>
      </w:r>
      <w:r w:rsidR="00096E72">
        <w:rPr>
          <w:bCs/>
          <w:color w:val="000000"/>
        </w:rPr>
        <w:t xml:space="preserve"> between </w:t>
      </w:r>
      <w:r w:rsidR="00570041">
        <w:rPr>
          <w:bCs/>
          <w:color w:val="000000"/>
        </w:rPr>
        <w:t xml:space="preserve">the </w:t>
      </w:r>
      <w:r w:rsidR="00096E72">
        <w:rPr>
          <w:bCs/>
          <w:color w:val="000000"/>
        </w:rPr>
        <w:t xml:space="preserve">native VdSCP76 or VdSCP77 suppression activities and </w:t>
      </w:r>
      <w:r w:rsidR="00096E72" w:rsidRPr="00096E72">
        <w:rPr>
          <w:bCs/>
          <w:color w:val="000000"/>
        </w:rPr>
        <w:t>site-directed mutant proteins</w:t>
      </w:r>
      <w:r w:rsidR="00570041">
        <w:rPr>
          <w:rFonts w:hint="eastAsia"/>
          <w:bCs/>
          <w:color w:val="000000"/>
          <w:lang w:eastAsia="zh-CN"/>
        </w:rPr>
        <w:t xml:space="preserve"> </w:t>
      </w:r>
      <w:r w:rsidR="00096E72" w:rsidRPr="008976AF">
        <w:rPr>
          <w:bCs/>
          <w:color w:val="000000"/>
        </w:rPr>
        <w:t xml:space="preserve">according to </w:t>
      </w:r>
      <w:r w:rsidR="00096E72" w:rsidRPr="00B61B03">
        <w:rPr>
          <w:bCs/>
          <w:color w:val="000000"/>
        </w:rPr>
        <w:t>one-way analysis of variance (ANOVA)</w:t>
      </w:r>
      <w:r w:rsidR="00096E72">
        <w:rPr>
          <w:bCs/>
          <w:color w:val="000000"/>
        </w:rPr>
        <w:t xml:space="preserve">. </w:t>
      </w:r>
    </w:p>
    <w:p w14:paraId="1AC6B9C1" w14:textId="361A3264" w:rsidR="004770B1" w:rsidRPr="004770B1" w:rsidRDefault="004770B1" w:rsidP="004770B1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S12</w:t>
      </w:r>
    </w:p>
    <w:p w14:paraId="59F5A654" w14:textId="310E110D" w:rsidR="004770B1" w:rsidRDefault="004770B1" w:rsidP="004770B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000000"/>
        </w:rPr>
      </w:pPr>
      <w:bookmarkStart w:id="9" w:name="_Hlk77151660"/>
      <w:r>
        <w:rPr>
          <w:b/>
          <w:noProof/>
          <w:color w:val="000000"/>
        </w:rPr>
        <w:drawing>
          <wp:inline distT="0" distB="0" distL="0" distR="0" wp14:anchorId="03B0F1C6" wp14:editId="28E6F2D5">
            <wp:extent cx="3967701" cy="4221705"/>
            <wp:effectExtent l="0" t="0" r="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74786" cy="422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F6C1" w14:textId="5E66A826" w:rsidR="004E7C4B" w:rsidRPr="00460FB6" w:rsidRDefault="003A5276" w:rsidP="00460FB6">
      <w:pPr>
        <w:spacing w:line="360" w:lineRule="auto"/>
        <w:jc w:val="both"/>
        <w:rPr>
          <w:iCs/>
          <w:color w:val="000000"/>
        </w:rPr>
        <w:sectPr w:rsidR="004E7C4B" w:rsidRPr="00460FB6" w:rsidSect="00517DD6">
          <w:pgSz w:w="12240" w:h="15840" w:code="1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5863EF">
        <w:rPr>
          <w:b/>
          <w:color w:val="000000"/>
        </w:rPr>
        <w:t>Figure S1</w:t>
      </w:r>
      <w:r>
        <w:rPr>
          <w:b/>
          <w:color w:val="000000"/>
        </w:rPr>
        <w:t>2</w:t>
      </w:r>
      <w:r w:rsidRPr="00910A83">
        <w:rPr>
          <w:b/>
          <w:color w:val="000000"/>
        </w:rPr>
        <w:t xml:space="preserve">. </w:t>
      </w:r>
      <w:bookmarkEnd w:id="9"/>
      <w:r w:rsidR="00910A83" w:rsidRPr="00910A83">
        <w:rPr>
          <w:b/>
        </w:rPr>
        <w:t xml:space="preserve">The fungal biomass </w:t>
      </w:r>
      <w:r w:rsidR="00910A83" w:rsidRPr="00910A83">
        <w:rPr>
          <w:rFonts w:hint="eastAsia"/>
          <w:b/>
        </w:rPr>
        <w:t>a</w:t>
      </w:r>
      <w:r w:rsidR="00910A83" w:rsidRPr="00910A83">
        <w:rPr>
          <w:b/>
        </w:rPr>
        <w:t>nd disease index of indicated strains on cotton.</w:t>
      </w:r>
      <w:r w:rsidR="004802DE" w:rsidRPr="00910A83">
        <w:rPr>
          <w:b/>
          <w:color w:val="000000"/>
        </w:rPr>
        <w:t xml:space="preserve"> </w:t>
      </w:r>
      <w:r w:rsidR="0029562C" w:rsidRPr="005863EF">
        <w:rPr>
          <w:bCs/>
          <w:color w:val="000000"/>
        </w:rPr>
        <w:t>(</w:t>
      </w:r>
      <w:r w:rsidR="0029562C">
        <w:rPr>
          <w:b/>
          <w:color w:val="000000"/>
        </w:rPr>
        <w:t>A</w:t>
      </w:r>
      <w:r w:rsidR="0029562C" w:rsidRPr="005863EF">
        <w:rPr>
          <w:bCs/>
          <w:color w:val="000000"/>
        </w:rPr>
        <w:t xml:space="preserve">) </w:t>
      </w:r>
      <w:r w:rsidRPr="005863EF">
        <w:rPr>
          <w:color w:val="000000"/>
        </w:rPr>
        <w:t xml:space="preserve">Three-week-old cotton </w:t>
      </w:r>
      <w:r w:rsidRPr="005863EF">
        <w:rPr>
          <w:iCs/>
          <w:color w:val="000000"/>
        </w:rPr>
        <w:t xml:space="preserve">(cv. Junmian 1) </w:t>
      </w:r>
      <w:r w:rsidRPr="005863EF">
        <w:rPr>
          <w:color w:val="000000"/>
        </w:rPr>
        <w:t>seedlings</w:t>
      </w:r>
      <w:r>
        <w:rPr>
          <w:color w:val="000000"/>
        </w:rPr>
        <w:t xml:space="preserve"> were inoculated with </w:t>
      </w:r>
      <w:r w:rsidRPr="005863EF">
        <w:rPr>
          <w:i/>
          <w:iCs/>
          <w:color w:val="000000"/>
        </w:rPr>
        <w:t>VdSCP76</w:t>
      </w:r>
      <w:r w:rsidRPr="005863EF">
        <w:rPr>
          <w:color w:val="000000"/>
        </w:rPr>
        <w:t xml:space="preserve"> and </w:t>
      </w:r>
      <w:r w:rsidRPr="005863EF">
        <w:rPr>
          <w:i/>
          <w:iCs/>
          <w:color w:val="000000"/>
        </w:rPr>
        <w:t>VdSCP77</w:t>
      </w:r>
      <w:r w:rsidRPr="005863EF">
        <w:rPr>
          <w:color w:val="000000"/>
        </w:rPr>
        <w:t xml:space="preserve"> gene deletion</w:t>
      </w:r>
      <w:r>
        <w:rPr>
          <w:color w:val="000000"/>
        </w:rPr>
        <w:t xml:space="preserve">, </w:t>
      </w:r>
      <w:r w:rsidRPr="005863EF">
        <w:rPr>
          <w:color w:val="000000"/>
        </w:rPr>
        <w:t>complementary transformants</w:t>
      </w:r>
      <w:r>
        <w:rPr>
          <w:color w:val="000000"/>
        </w:rPr>
        <w:t xml:space="preserve"> of wild type and </w:t>
      </w:r>
      <w:r w:rsidRPr="005863EF">
        <w:t>site-mutated</w:t>
      </w:r>
      <w:r>
        <w:t xml:space="preserve"> genes of </w:t>
      </w:r>
      <w:r w:rsidRPr="00E82543">
        <w:rPr>
          <w:i/>
          <w:iCs/>
        </w:rPr>
        <w:t>VdSCP76</w:t>
      </w:r>
      <w:r>
        <w:t xml:space="preserve"> and </w:t>
      </w:r>
      <w:r w:rsidRPr="00E82543">
        <w:rPr>
          <w:i/>
          <w:iCs/>
        </w:rPr>
        <w:t>VdSCP77</w:t>
      </w:r>
      <w:r>
        <w:t xml:space="preserve">. The fungal biomass of </w:t>
      </w:r>
      <w:r w:rsidRPr="004F3F2F">
        <w:rPr>
          <w:i/>
          <w:iCs/>
        </w:rPr>
        <w:t>V. dahliae</w:t>
      </w:r>
      <w:r>
        <w:t xml:space="preserve"> on cotton was determined by qPCR at 3 weeks after inocula</w:t>
      </w:r>
      <w:r w:rsidRPr="004F3F2F">
        <w:t xml:space="preserve">tion. </w:t>
      </w:r>
      <w:r w:rsidRPr="004F3F2F">
        <w:rPr>
          <w:color w:val="000000"/>
        </w:rPr>
        <w:t>Error b</w:t>
      </w:r>
      <w:r w:rsidRPr="005863EF">
        <w:rPr>
          <w:iCs/>
          <w:color w:val="000000"/>
        </w:rPr>
        <w:t>ars represent standard errors.</w:t>
      </w:r>
      <w:r w:rsidR="00A91268" w:rsidRPr="00A91268">
        <w:rPr>
          <w:iCs/>
          <w:color w:val="000000"/>
        </w:rPr>
        <w:t xml:space="preserve"> </w:t>
      </w:r>
      <w:r w:rsidR="00A91268" w:rsidRPr="008976AF">
        <w:rPr>
          <w:iCs/>
          <w:color w:val="000000"/>
        </w:rPr>
        <w:t xml:space="preserve">** and *** indicate statistical significance at </w:t>
      </w:r>
      <w:r w:rsidR="00A91268" w:rsidRPr="008976AF">
        <w:rPr>
          <w:i/>
          <w:color w:val="000000"/>
        </w:rPr>
        <w:t>P</w:t>
      </w:r>
      <w:r w:rsidR="00A91268" w:rsidRPr="008976AF">
        <w:rPr>
          <w:iCs/>
          <w:color w:val="000000"/>
        </w:rPr>
        <w:t>＜</w:t>
      </w:r>
      <w:r w:rsidR="00A91268" w:rsidRPr="008976AF">
        <w:rPr>
          <w:iCs/>
          <w:color w:val="000000"/>
        </w:rPr>
        <w:t>0.01</w:t>
      </w:r>
      <w:r w:rsidR="00A91268">
        <w:rPr>
          <w:iCs/>
          <w:color w:val="000000"/>
        </w:rPr>
        <w:t xml:space="preserve"> </w:t>
      </w:r>
      <w:r w:rsidR="00A91268" w:rsidRPr="008976AF">
        <w:rPr>
          <w:iCs/>
          <w:color w:val="000000"/>
        </w:rPr>
        <w:t xml:space="preserve">and </w:t>
      </w:r>
      <w:r w:rsidR="00A91268" w:rsidRPr="008976AF">
        <w:rPr>
          <w:i/>
          <w:color w:val="000000"/>
        </w:rPr>
        <w:t>P</w:t>
      </w:r>
      <w:r w:rsidR="00A91268" w:rsidRPr="008976AF">
        <w:rPr>
          <w:iCs/>
          <w:color w:val="000000"/>
        </w:rPr>
        <w:t>＜</w:t>
      </w:r>
      <w:r w:rsidR="00A91268" w:rsidRPr="008976AF">
        <w:rPr>
          <w:iCs/>
          <w:color w:val="000000"/>
        </w:rPr>
        <w:t>0.001</w:t>
      </w:r>
      <w:r w:rsidR="00A91268">
        <w:rPr>
          <w:iCs/>
          <w:color w:val="000000"/>
        </w:rPr>
        <w:t xml:space="preserve">, </w:t>
      </w:r>
      <w:r w:rsidR="00A91268" w:rsidRPr="002B50F5">
        <w:rPr>
          <w:iCs/>
          <w:color w:val="000000"/>
        </w:rPr>
        <w:t>respectively</w:t>
      </w:r>
      <w:r w:rsidR="00A91268">
        <w:rPr>
          <w:iCs/>
          <w:color w:val="000000"/>
        </w:rPr>
        <w:t xml:space="preserve">, in </w:t>
      </w:r>
      <w:r w:rsidR="00A91268" w:rsidRPr="00B61B03">
        <w:rPr>
          <w:iCs/>
          <w:color w:val="000000"/>
        </w:rPr>
        <w:t>WT and each knockout mutant or complementary transformant</w:t>
      </w:r>
      <w:r w:rsidR="00A91268">
        <w:rPr>
          <w:rFonts w:hint="eastAsia"/>
          <w:iCs/>
          <w:color w:val="000000"/>
        </w:rPr>
        <w:t xml:space="preserve"> </w:t>
      </w:r>
      <w:r w:rsidR="00A91268" w:rsidRPr="00B61B03">
        <w:rPr>
          <w:iCs/>
          <w:color w:val="000000"/>
        </w:rPr>
        <w:t>according to one-way analysis of variance (ANOVA).</w:t>
      </w:r>
      <w:r w:rsidR="00460FB6">
        <w:rPr>
          <w:rFonts w:hint="eastAsia"/>
          <w:iCs/>
          <w:color w:val="000000"/>
          <w:lang w:eastAsia="zh-CN"/>
        </w:rPr>
        <w:t xml:space="preserve"> </w:t>
      </w:r>
      <w:r w:rsidR="0029562C" w:rsidRPr="005863EF">
        <w:rPr>
          <w:bCs/>
          <w:color w:val="000000"/>
        </w:rPr>
        <w:t>(</w:t>
      </w:r>
      <w:r w:rsidR="0029562C">
        <w:rPr>
          <w:b/>
          <w:color w:val="000000"/>
        </w:rPr>
        <w:t>B</w:t>
      </w:r>
      <w:r w:rsidR="0029562C" w:rsidRPr="005863EF">
        <w:rPr>
          <w:bCs/>
          <w:color w:val="000000"/>
        </w:rPr>
        <w:t>)</w:t>
      </w:r>
      <w:r w:rsidR="00742C06">
        <w:rPr>
          <w:bCs/>
          <w:color w:val="000000"/>
        </w:rPr>
        <w:t xml:space="preserve"> </w:t>
      </w:r>
      <w:r w:rsidR="00742C06" w:rsidRPr="00742C06">
        <w:rPr>
          <w:bCs/>
          <w:color w:val="000000"/>
        </w:rPr>
        <w:t>The disease was</w:t>
      </w:r>
      <w:r w:rsidR="00742C06">
        <w:rPr>
          <w:rFonts w:hint="eastAsia"/>
          <w:bCs/>
          <w:color w:val="000000"/>
          <w:lang w:eastAsia="zh-CN"/>
        </w:rPr>
        <w:t xml:space="preserve"> </w:t>
      </w:r>
      <w:r w:rsidR="00742C06">
        <w:rPr>
          <w:bCs/>
          <w:color w:val="000000"/>
        </w:rPr>
        <w:t>classified as</w:t>
      </w:r>
      <w:r w:rsidR="00742C06" w:rsidRPr="00742C06">
        <w:rPr>
          <w:bCs/>
          <w:color w:val="000000"/>
        </w:rPr>
        <w:t xml:space="preserve"> 0–3 scale in which, Grade 0 was 0%–25% leaves wilted, Grade 1 where 25%–50% leaves wilted, Grade 2 where 50%–75%</w:t>
      </w:r>
      <w:r w:rsidR="00742C06">
        <w:rPr>
          <w:rFonts w:hint="eastAsia"/>
          <w:bCs/>
          <w:color w:val="000000"/>
          <w:lang w:eastAsia="zh-CN"/>
        </w:rPr>
        <w:t xml:space="preserve"> </w:t>
      </w:r>
      <w:r w:rsidR="00742C06" w:rsidRPr="00742C06">
        <w:rPr>
          <w:bCs/>
          <w:color w:val="000000"/>
        </w:rPr>
        <w:t>leaves wilted and Grade 3 where 75%–100% leaves wilted. The data were generated from two replicate experiments with a total of 20 cotton</w:t>
      </w:r>
      <w:r w:rsidR="00742C06">
        <w:rPr>
          <w:rFonts w:hint="eastAsia"/>
          <w:bCs/>
          <w:color w:val="000000"/>
          <w:lang w:eastAsia="zh-CN"/>
        </w:rPr>
        <w:t xml:space="preserve"> </w:t>
      </w:r>
      <w:r w:rsidR="00742C06" w:rsidRPr="00742C06">
        <w:rPr>
          <w:bCs/>
          <w:color w:val="000000"/>
        </w:rPr>
        <w:t xml:space="preserve">seedlings for each </w:t>
      </w:r>
      <w:r w:rsidR="00742C06" w:rsidRPr="00742C06">
        <w:rPr>
          <w:bCs/>
          <w:i/>
          <w:iCs/>
          <w:color w:val="000000"/>
        </w:rPr>
        <w:t xml:space="preserve">V. dahliae </w:t>
      </w:r>
      <w:r w:rsidR="00742C06" w:rsidRPr="00742C06">
        <w:rPr>
          <w:bCs/>
          <w:color w:val="000000"/>
        </w:rPr>
        <w:t>strain inoculated. The bar chart represents the proportion of each disease grade, and the numbers on top of</w:t>
      </w:r>
      <w:r w:rsidR="00742C06">
        <w:rPr>
          <w:rFonts w:hint="eastAsia"/>
          <w:bCs/>
          <w:color w:val="000000"/>
          <w:lang w:eastAsia="zh-CN"/>
        </w:rPr>
        <w:t xml:space="preserve"> </w:t>
      </w:r>
      <w:r w:rsidR="00742C06" w:rsidRPr="00742C06">
        <w:rPr>
          <w:bCs/>
          <w:color w:val="000000"/>
        </w:rPr>
        <w:t xml:space="preserve">the column represent the </w:t>
      </w:r>
      <w:r w:rsidR="00742C06">
        <w:rPr>
          <w:bCs/>
          <w:color w:val="000000"/>
        </w:rPr>
        <w:t xml:space="preserve">disease </w:t>
      </w:r>
      <w:r w:rsidR="00742C06" w:rsidRPr="00742C06">
        <w:rPr>
          <w:bCs/>
          <w:color w:val="000000"/>
        </w:rPr>
        <w:t>indice</w:t>
      </w:r>
      <w:r w:rsidR="00742C06">
        <w:rPr>
          <w:bCs/>
          <w:color w:val="000000"/>
        </w:rPr>
        <w:t>s (</w:t>
      </w:r>
      <w:r w:rsidR="00742C06" w:rsidRPr="00742C06">
        <w:rPr>
          <w:bCs/>
          <w:color w:val="000000"/>
        </w:rPr>
        <w:t>DI</w:t>
      </w:r>
      <w:r w:rsidR="00742C06">
        <w:rPr>
          <w:bCs/>
          <w:color w:val="000000"/>
        </w:rPr>
        <w:t>)</w:t>
      </w:r>
      <w:r w:rsidR="00742C06" w:rsidRPr="00742C06">
        <w:rPr>
          <w:bCs/>
          <w:color w:val="000000"/>
        </w:rPr>
        <w:t xml:space="preserve"> calculated from the disease grades. The ratings were conducted with 20 cotton seedlings at 3 wpi with each of</w:t>
      </w:r>
      <w:r w:rsidR="00742C06">
        <w:rPr>
          <w:rFonts w:hint="eastAsia"/>
          <w:bCs/>
          <w:color w:val="000000"/>
          <w:lang w:eastAsia="zh-CN"/>
        </w:rPr>
        <w:t xml:space="preserve"> </w:t>
      </w:r>
      <w:r w:rsidR="00742C06" w:rsidRPr="00742C06">
        <w:rPr>
          <w:bCs/>
          <w:color w:val="000000"/>
        </w:rPr>
        <w:t xml:space="preserve">the respective </w:t>
      </w:r>
      <w:r w:rsidR="00742C06" w:rsidRPr="00742C06">
        <w:rPr>
          <w:bCs/>
          <w:i/>
          <w:iCs/>
          <w:color w:val="000000"/>
        </w:rPr>
        <w:t xml:space="preserve">V. dahliae </w:t>
      </w:r>
      <w:r w:rsidR="00742C06" w:rsidRPr="00742C06">
        <w:rPr>
          <w:bCs/>
          <w:color w:val="000000"/>
        </w:rPr>
        <w:t>strains</w:t>
      </w:r>
    </w:p>
    <w:p w14:paraId="06BB8505" w14:textId="5CE4662E" w:rsidR="004770B1" w:rsidRPr="004770B1" w:rsidRDefault="004770B1" w:rsidP="004770B1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S13</w:t>
      </w:r>
    </w:p>
    <w:p w14:paraId="56BC830A" w14:textId="4AFA7DDE" w:rsidR="00706B93" w:rsidRDefault="00706B93" w:rsidP="003A527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4B84D507" wp14:editId="0D849F74">
            <wp:extent cx="4900381" cy="4930223"/>
            <wp:effectExtent l="0" t="0" r="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03746" cy="493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58CCB" w14:textId="38322578" w:rsidR="004770B1" w:rsidRPr="008745A8" w:rsidRDefault="00832D4A" w:rsidP="008745A8">
      <w:pPr>
        <w:spacing w:line="360" w:lineRule="auto"/>
        <w:ind w:firstLineChars="200" w:firstLine="482"/>
        <w:jc w:val="both"/>
      </w:pPr>
      <w:r w:rsidRPr="00832D4A">
        <w:rPr>
          <w:rFonts w:hint="eastAsia"/>
          <w:b/>
          <w:bCs/>
        </w:rPr>
        <w:t>Figure</w:t>
      </w:r>
      <w:r w:rsidRPr="00832D4A">
        <w:rPr>
          <w:b/>
          <w:bCs/>
        </w:rPr>
        <w:t xml:space="preserve"> S13. Functional analyses of conserved asparagine residues in the CFEM domain-containing members from </w:t>
      </w:r>
      <w:r w:rsidRPr="00832D4A">
        <w:rPr>
          <w:b/>
          <w:bCs/>
          <w:i/>
          <w:iCs/>
        </w:rPr>
        <w:t>Verticillium dahliae</w:t>
      </w:r>
      <w:r w:rsidRPr="00832D4A">
        <w:rPr>
          <w:b/>
          <w:bCs/>
        </w:rPr>
        <w:t>.</w:t>
      </w:r>
      <w:r w:rsidRPr="009915D8">
        <w:t xml:space="preserve"> Cell death suppression activity of site-directed asparagine residue mutant proteins were detected by co-expressing transiently with </w:t>
      </w:r>
      <w:r>
        <w:t>cell death proteins</w:t>
      </w:r>
      <w:r w:rsidRPr="009915D8">
        <w:t xml:space="preserve"> in 4-week-old </w:t>
      </w:r>
      <w:r w:rsidRPr="00E82BED">
        <w:rPr>
          <w:i/>
          <w:iCs/>
        </w:rPr>
        <w:t>Nicotiana benthamiana</w:t>
      </w:r>
      <w:r w:rsidRPr="009915D8">
        <w:t xml:space="preserve"> leaves. GFP and </w:t>
      </w:r>
      <w:r>
        <w:t>cell death proteins co-</w:t>
      </w:r>
      <w:r w:rsidRPr="009915D8">
        <w:t>expressi</w:t>
      </w:r>
      <w:r>
        <w:t>on,</w:t>
      </w:r>
      <w:r w:rsidRPr="009915D8">
        <w:t xml:space="preserve"> </w:t>
      </w:r>
      <w:r>
        <w:t>respectively,</w:t>
      </w:r>
      <w:r w:rsidRPr="009915D8">
        <w:t xml:space="preserve"> were used as controls.</w:t>
      </w:r>
      <w:r w:rsidR="00A06B83">
        <w:t xml:space="preserve"> </w:t>
      </w:r>
      <w:r w:rsidR="008745A8">
        <w:t>The pink</w:t>
      </w:r>
      <w:r w:rsidR="004E4198">
        <w:t xml:space="preserve"> and blue </w:t>
      </w:r>
      <w:r w:rsidR="008745A8" w:rsidRPr="008745A8">
        <w:t>asterisk</w:t>
      </w:r>
      <w:r w:rsidR="008745A8">
        <w:t>s repres</w:t>
      </w:r>
      <w:r w:rsidR="008745A8" w:rsidRPr="008745A8">
        <w:t>ent the</w:t>
      </w:r>
      <w:r w:rsidR="008745A8">
        <w:t xml:space="preserve"> increased</w:t>
      </w:r>
      <w:r w:rsidR="004E4198">
        <w:t xml:space="preserve">- or decreased </w:t>
      </w:r>
      <w:r w:rsidR="008745A8">
        <w:t>suppression activity</w:t>
      </w:r>
      <w:r w:rsidR="004E4198">
        <w:t xml:space="preserve"> </w:t>
      </w:r>
      <w:r w:rsidR="00182140">
        <w:rPr>
          <w:rFonts w:hint="eastAsia"/>
          <w:lang w:eastAsia="zh-CN"/>
        </w:rPr>
        <w:t>after</w:t>
      </w:r>
      <w:r w:rsidR="00182140">
        <w:t xml:space="preserve"> </w:t>
      </w:r>
      <w:r w:rsidR="008745A8">
        <w:t>the site-mutated (</w:t>
      </w:r>
      <w:r w:rsidR="008745A8" w:rsidRPr="008745A8">
        <w:t>D</w:t>
      </w:r>
      <w:r w:rsidR="008745A8">
        <w:rPr>
          <w:rFonts w:hint="eastAsia"/>
          <w:lang w:eastAsia="zh-CN"/>
        </w:rPr>
        <w:t>&gt;</w:t>
      </w:r>
      <w:r w:rsidR="008745A8">
        <w:rPr>
          <w:lang w:eastAsia="zh-CN"/>
        </w:rPr>
        <w:t>&gt;</w:t>
      </w:r>
      <w:r w:rsidR="008745A8" w:rsidRPr="008745A8">
        <w:rPr>
          <w:lang w:eastAsia="zh-CN"/>
        </w:rPr>
        <w:t>N</w:t>
      </w:r>
      <w:r w:rsidR="008745A8">
        <w:rPr>
          <w:lang w:eastAsia="zh-CN"/>
        </w:rPr>
        <w:t>) members</w:t>
      </w:r>
      <w:r w:rsidR="004E4198">
        <w:rPr>
          <w:lang w:eastAsia="zh-CN"/>
        </w:rPr>
        <w:t xml:space="preserve"> respectively.</w:t>
      </w:r>
    </w:p>
    <w:p w14:paraId="2E9DA104" w14:textId="28C8A819" w:rsidR="004770B1" w:rsidRPr="004770B1" w:rsidRDefault="004770B1" w:rsidP="004770B1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S14</w:t>
      </w:r>
    </w:p>
    <w:p w14:paraId="3E965A1E" w14:textId="5375B7B5" w:rsidR="003A5276" w:rsidRDefault="003A5276" w:rsidP="003A5276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  <w:r>
        <w:rPr>
          <w:rFonts w:hint="eastAsia"/>
          <w:bCs/>
          <w:noProof/>
          <w:color w:val="000000"/>
        </w:rPr>
        <w:drawing>
          <wp:inline distT="0" distB="0" distL="0" distR="0" wp14:anchorId="5DA480CF" wp14:editId="61B9EF6B">
            <wp:extent cx="3870960" cy="3383280"/>
            <wp:effectExtent l="0" t="0" r="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79E7B" w14:textId="45C4E1E7" w:rsidR="004770B1" w:rsidRDefault="003A5276" w:rsidP="004770B1">
      <w:pPr>
        <w:spacing w:line="360" w:lineRule="auto"/>
        <w:ind w:firstLineChars="200" w:firstLine="482"/>
        <w:jc w:val="both"/>
        <w:textAlignment w:val="center"/>
      </w:pPr>
      <w:bookmarkStart w:id="10" w:name="_Hlk77151673"/>
      <w:r>
        <w:rPr>
          <w:rFonts w:hint="eastAsia"/>
          <w:b/>
          <w:color w:val="000000"/>
        </w:rPr>
        <w:t>F</w:t>
      </w:r>
      <w:r>
        <w:rPr>
          <w:b/>
          <w:color w:val="000000"/>
        </w:rPr>
        <w:t>igure S1</w:t>
      </w:r>
      <w:r w:rsidR="00706B93">
        <w:rPr>
          <w:b/>
          <w:color w:val="000000"/>
        </w:rPr>
        <w:t>4</w:t>
      </w:r>
      <w:r>
        <w:rPr>
          <w:b/>
          <w:color w:val="000000"/>
        </w:rPr>
        <w:t xml:space="preserve">. </w:t>
      </w:r>
      <w:r w:rsidR="00CA4B5B" w:rsidRPr="00CA4B5B">
        <w:rPr>
          <w:b/>
          <w:color w:val="000000"/>
        </w:rPr>
        <w:t>Gene expression level of CFEM-containing VdSCPs under iron starvation and ferric ion conditions</w:t>
      </w:r>
      <w:r>
        <w:rPr>
          <w:b/>
          <w:color w:val="000000"/>
        </w:rPr>
        <w:t>.</w:t>
      </w:r>
      <w:r w:rsidRPr="001B064E">
        <w:t xml:space="preserve"> </w:t>
      </w:r>
      <w:bookmarkEnd w:id="10"/>
      <w:r w:rsidRPr="001B064E">
        <w:rPr>
          <w:bCs/>
          <w:color w:val="000000"/>
        </w:rPr>
        <w:t>Exogenous add</w:t>
      </w:r>
      <w:r>
        <w:rPr>
          <w:bCs/>
          <w:color w:val="000000"/>
        </w:rPr>
        <w:t>ing</w:t>
      </w:r>
      <w:r w:rsidRPr="001B064E">
        <w:rPr>
          <w:bCs/>
          <w:color w:val="000000"/>
        </w:rPr>
        <w:t xml:space="preserve"> 150</w:t>
      </w:r>
      <w:r w:rsidRPr="005863EF">
        <w:rPr>
          <w:color w:val="000000"/>
        </w:rPr>
        <w:t xml:space="preserve"> μM </w:t>
      </w:r>
      <w:r>
        <w:rPr>
          <w:color w:val="000000"/>
        </w:rPr>
        <w:t>b</w:t>
      </w:r>
      <w:r w:rsidRPr="005863EF">
        <w:rPr>
          <w:color w:val="000000"/>
        </w:rPr>
        <w:t>athophenanthrolinedisulfonic acid disodium salt</w:t>
      </w:r>
      <w:r>
        <w:rPr>
          <w:color w:val="000000"/>
        </w:rPr>
        <w:t xml:space="preserve"> (</w:t>
      </w:r>
      <w:r w:rsidRPr="005863EF">
        <w:rPr>
          <w:color w:val="000000"/>
        </w:rPr>
        <w:t>BPS</w:t>
      </w:r>
      <w:r>
        <w:rPr>
          <w:color w:val="000000"/>
        </w:rPr>
        <w:t xml:space="preserve">) </w:t>
      </w:r>
      <w:r w:rsidRPr="005863EF">
        <w:rPr>
          <w:color w:val="000000"/>
        </w:rPr>
        <w:t>50 μM FeCl</w:t>
      </w:r>
      <w:r w:rsidRPr="005863EF">
        <w:rPr>
          <w:color w:val="000000"/>
          <w:vertAlign w:val="subscript"/>
        </w:rPr>
        <w:t>3</w:t>
      </w:r>
      <w:r w:rsidRPr="001B064E">
        <w:rPr>
          <w:color w:val="000000"/>
        </w:rPr>
        <w:t xml:space="preserve"> </w:t>
      </w:r>
      <w:r>
        <w:rPr>
          <w:color w:val="000000"/>
        </w:rPr>
        <w:t xml:space="preserve">in Czaepk-Dox plates, respectively, were used to create an iron starvation and ferric ion conditions. The </w:t>
      </w:r>
      <w:r w:rsidRPr="005863EF">
        <w:rPr>
          <w:i/>
        </w:rPr>
        <w:t xml:space="preserve">V. </w:t>
      </w:r>
      <w:r w:rsidRPr="005863EF">
        <w:rPr>
          <w:i/>
          <w:color w:val="000000"/>
        </w:rPr>
        <w:t>dahliae</w:t>
      </w:r>
      <w:r w:rsidRPr="005863EF">
        <w:rPr>
          <w:iCs/>
          <w:color w:val="000000"/>
        </w:rPr>
        <w:t xml:space="preserve"> strain was cultured collected after 3 days of induction.</w:t>
      </w:r>
      <w:r>
        <w:rPr>
          <w:iCs/>
          <w:color w:val="000000"/>
        </w:rPr>
        <w:t xml:space="preserve"> Gene expression level of CFEM-containing VdSCPs family members was detected by RT-qPCR.</w:t>
      </w:r>
      <w:r w:rsidRPr="00F373BF">
        <w:rPr>
          <w:color w:val="000000"/>
        </w:rPr>
        <w:t xml:space="preserve"> </w:t>
      </w:r>
      <w:r w:rsidRPr="005863EF">
        <w:rPr>
          <w:color w:val="000000"/>
        </w:rPr>
        <w:t xml:space="preserve">The </w:t>
      </w:r>
      <w:r w:rsidRPr="005863EF">
        <w:rPr>
          <w:i/>
        </w:rPr>
        <w:t xml:space="preserve">V. </w:t>
      </w:r>
      <w:r w:rsidRPr="005863EF">
        <w:rPr>
          <w:i/>
          <w:color w:val="000000"/>
        </w:rPr>
        <w:t>dahliae</w:t>
      </w:r>
      <w:r w:rsidRPr="005863EF">
        <w:t xml:space="preserve"> </w:t>
      </w:r>
      <w:r w:rsidRPr="005863EF">
        <w:rPr>
          <w:i/>
        </w:rPr>
        <w:t>EF-1α</w:t>
      </w:r>
      <w:r>
        <w:rPr>
          <w:iCs/>
        </w:rPr>
        <w:t xml:space="preserve"> </w:t>
      </w:r>
      <w:r w:rsidRPr="005863EF">
        <w:t>was used as endogenous reference.</w:t>
      </w:r>
      <w:r w:rsidR="004770B1">
        <w:br w:type="page"/>
      </w:r>
    </w:p>
    <w:p w14:paraId="2D1B3B21" w14:textId="3FD0EF8C" w:rsidR="004770B1" w:rsidRPr="004770B1" w:rsidRDefault="004770B1" w:rsidP="004770B1">
      <w:pPr>
        <w:keepNext/>
        <w:keepLines/>
        <w:spacing w:line="360" w:lineRule="auto"/>
        <w:outlineLvl w:val="1"/>
        <w:rPr>
          <w:rFonts w:eastAsia="MS Gothic"/>
          <w:b/>
          <w:bCs/>
          <w:lang w:eastAsia="ja-JP"/>
        </w:rPr>
      </w:pPr>
      <w:r w:rsidRPr="0043705B">
        <w:rPr>
          <w:rFonts w:eastAsia="MS Gothic"/>
          <w:b/>
          <w:bCs/>
          <w:lang w:eastAsia="ja-JP"/>
        </w:rPr>
        <w:lastRenderedPageBreak/>
        <w:t xml:space="preserve">Figure </w:t>
      </w:r>
      <w:r>
        <w:rPr>
          <w:rFonts w:eastAsia="MS Gothic"/>
          <w:b/>
          <w:bCs/>
          <w:lang w:eastAsia="ja-JP"/>
        </w:rPr>
        <w:t>S15</w:t>
      </w:r>
    </w:p>
    <w:p w14:paraId="2D0473DC" w14:textId="44DA6E55" w:rsidR="00706B93" w:rsidRDefault="00706B93" w:rsidP="00706B93">
      <w:pPr>
        <w:spacing w:line="360" w:lineRule="auto"/>
        <w:jc w:val="center"/>
        <w:textAlignment w:val="center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14640596" wp14:editId="1ADBC717">
            <wp:extent cx="4406900" cy="3332620"/>
            <wp:effectExtent l="0" t="0" r="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09462" cy="333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6466" w14:textId="115261A9" w:rsidR="00706B93" w:rsidRPr="000B5016" w:rsidRDefault="000B5016" w:rsidP="000B5016">
      <w:pPr>
        <w:spacing w:line="360" w:lineRule="auto"/>
        <w:ind w:firstLineChars="200" w:firstLine="482"/>
        <w:jc w:val="both"/>
        <w:rPr>
          <w:b/>
          <w:bCs/>
        </w:rPr>
      </w:pPr>
      <w:r w:rsidRPr="00D82278">
        <w:rPr>
          <w:rFonts w:hint="eastAsia"/>
          <w:b/>
          <w:bCs/>
        </w:rPr>
        <w:t>F</w:t>
      </w:r>
      <w:r w:rsidRPr="00D82278">
        <w:rPr>
          <w:b/>
          <w:bCs/>
        </w:rPr>
        <w:t>igure S1</w:t>
      </w:r>
      <w:r>
        <w:rPr>
          <w:b/>
          <w:bCs/>
        </w:rPr>
        <w:t>5</w:t>
      </w:r>
      <w:r w:rsidRPr="00D82278">
        <w:rPr>
          <w:b/>
          <w:bCs/>
        </w:rPr>
        <w:t>.</w:t>
      </w:r>
      <w:r w:rsidRPr="000B5016">
        <w:rPr>
          <w:b/>
          <w:bCs/>
        </w:rPr>
        <w:t xml:space="preserve"> Functional dissection Asp-type and Asn-type CFEM-containing secretory proteins from </w:t>
      </w:r>
      <w:r w:rsidRPr="000B5016">
        <w:rPr>
          <w:b/>
          <w:bCs/>
          <w:i/>
          <w:iCs/>
        </w:rPr>
        <w:t>Fusarium oxysporum</w:t>
      </w:r>
      <w:r w:rsidRPr="000B5016">
        <w:rPr>
          <w:b/>
          <w:bCs/>
        </w:rPr>
        <w:t xml:space="preserve"> and </w:t>
      </w:r>
      <w:r w:rsidRPr="000B5016">
        <w:rPr>
          <w:b/>
          <w:bCs/>
          <w:i/>
          <w:iCs/>
        </w:rPr>
        <w:t>Magnaporthe oryzae</w:t>
      </w:r>
      <w:r w:rsidRPr="000B5016">
        <w:rPr>
          <w:b/>
          <w:bCs/>
        </w:rPr>
        <w:t>.</w:t>
      </w:r>
    </w:p>
    <w:sectPr w:rsidR="00706B93" w:rsidRPr="000B5016" w:rsidSect="00517DD6">
      <w:pgSz w:w="12240" w:h="15840" w:code="1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753BB" w14:textId="77777777" w:rsidR="00A859D1" w:rsidRDefault="00A859D1">
      <w:r>
        <w:separator/>
      </w:r>
    </w:p>
  </w:endnote>
  <w:endnote w:type="continuationSeparator" w:id="0">
    <w:p w14:paraId="37ED4F77" w14:textId="77777777" w:rsidR="00A859D1" w:rsidRDefault="00A8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8D2BC" w14:textId="77777777" w:rsidR="00A859D1" w:rsidRDefault="00A859D1">
      <w:r>
        <w:separator/>
      </w:r>
    </w:p>
  </w:footnote>
  <w:footnote w:type="continuationSeparator" w:id="0">
    <w:p w14:paraId="2A3A7BDE" w14:textId="77777777" w:rsidR="00A859D1" w:rsidRDefault="00A85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B53E6"/>
    <w:multiLevelType w:val="hybridMultilevel"/>
    <w:tmpl w:val="EF007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B542C"/>
    <w:multiLevelType w:val="hybridMultilevel"/>
    <w:tmpl w:val="DB9ED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23CA4"/>
    <w:multiLevelType w:val="hybridMultilevel"/>
    <w:tmpl w:val="AF9A1AB8"/>
    <w:lvl w:ilvl="0" w:tplc="9D067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D5AE1"/>
    <w:multiLevelType w:val="hybridMultilevel"/>
    <w:tmpl w:val="EDF8C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5826F1"/>
    <w:multiLevelType w:val="hybridMultilevel"/>
    <w:tmpl w:val="4AC03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C1C8A"/>
    <w:multiLevelType w:val="hybridMultilevel"/>
    <w:tmpl w:val="116C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6D7B"/>
    <w:multiLevelType w:val="hybridMultilevel"/>
    <w:tmpl w:val="EA4E78EE"/>
    <w:lvl w:ilvl="0" w:tplc="C8E45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en-GB" w:vendorID="64" w:dllVersion="4096" w:nlCheck="1" w:checkStyle="0"/>
  <w:activeWritingStyle w:appName="MSWord" w:lang="zh-CN" w:vendorID="64" w:dllVersion="0" w:nlCheck="1" w:checkStyle="1"/>
  <w:attachedTemplate r:id="rId1"/>
  <w:defaultTabStop w:val="720"/>
  <w:characterSpacingControl w:val="doNotCompress"/>
  <w:hdrShapeDefaults>
    <o:shapedefaults v:ext="edit" spidmax="2050" fill="f" fillcolor="white">
      <v:fill color="white" on="f"/>
      <v:stroke weight="1.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91"/>
    <w:rsid w:val="000060C8"/>
    <w:rsid w:val="000208D1"/>
    <w:rsid w:val="00030635"/>
    <w:rsid w:val="000424C4"/>
    <w:rsid w:val="00047F8F"/>
    <w:rsid w:val="0005261E"/>
    <w:rsid w:val="000869DE"/>
    <w:rsid w:val="0009054C"/>
    <w:rsid w:val="00096E72"/>
    <w:rsid w:val="000A11F9"/>
    <w:rsid w:val="000A67B2"/>
    <w:rsid w:val="000B0F7F"/>
    <w:rsid w:val="000B5016"/>
    <w:rsid w:val="000D3A80"/>
    <w:rsid w:val="000E4DE6"/>
    <w:rsid w:val="000F77CC"/>
    <w:rsid w:val="00100C65"/>
    <w:rsid w:val="0013089F"/>
    <w:rsid w:val="001341BC"/>
    <w:rsid w:val="00147752"/>
    <w:rsid w:val="00182140"/>
    <w:rsid w:val="00197D8A"/>
    <w:rsid w:val="001E48FA"/>
    <w:rsid w:val="001F4107"/>
    <w:rsid w:val="001F745E"/>
    <w:rsid w:val="002021F9"/>
    <w:rsid w:val="00212F74"/>
    <w:rsid w:val="00214B2F"/>
    <w:rsid w:val="002169A4"/>
    <w:rsid w:val="00227DA2"/>
    <w:rsid w:val="00230C01"/>
    <w:rsid w:val="00231562"/>
    <w:rsid w:val="0029562C"/>
    <w:rsid w:val="002A7986"/>
    <w:rsid w:val="002B52E9"/>
    <w:rsid w:val="002E57B7"/>
    <w:rsid w:val="002F5957"/>
    <w:rsid w:val="00306337"/>
    <w:rsid w:val="003313F5"/>
    <w:rsid w:val="00337E6D"/>
    <w:rsid w:val="00370ED9"/>
    <w:rsid w:val="003968C5"/>
    <w:rsid w:val="003A5276"/>
    <w:rsid w:val="003A6AF3"/>
    <w:rsid w:val="003A7613"/>
    <w:rsid w:val="003B16FF"/>
    <w:rsid w:val="003D3510"/>
    <w:rsid w:val="003E54DD"/>
    <w:rsid w:val="003E6C41"/>
    <w:rsid w:val="00424197"/>
    <w:rsid w:val="00425E7A"/>
    <w:rsid w:val="00433FCF"/>
    <w:rsid w:val="0045025D"/>
    <w:rsid w:val="00451D3C"/>
    <w:rsid w:val="00457241"/>
    <w:rsid w:val="00460FB6"/>
    <w:rsid w:val="00461196"/>
    <w:rsid w:val="00464116"/>
    <w:rsid w:val="0047578E"/>
    <w:rsid w:val="004770B1"/>
    <w:rsid w:val="004802DE"/>
    <w:rsid w:val="004B60D9"/>
    <w:rsid w:val="004C3A1B"/>
    <w:rsid w:val="004D2545"/>
    <w:rsid w:val="004E4198"/>
    <w:rsid w:val="004E6A7C"/>
    <w:rsid w:val="004E7C4B"/>
    <w:rsid w:val="00517DD6"/>
    <w:rsid w:val="00570041"/>
    <w:rsid w:val="00572C00"/>
    <w:rsid w:val="0057432C"/>
    <w:rsid w:val="00582A31"/>
    <w:rsid w:val="00584C9A"/>
    <w:rsid w:val="00595A78"/>
    <w:rsid w:val="005C5DC0"/>
    <w:rsid w:val="0062378A"/>
    <w:rsid w:val="00630724"/>
    <w:rsid w:val="00637659"/>
    <w:rsid w:val="00647929"/>
    <w:rsid w:val="006532D9"/>
    <w:rsid w:val="0066500A"/>
    <w:rsid w:val="006D295E"/>
    <w:rsid w:val="00706B93"/>
    <w:rsid w:val="00717AF3"/>
    <w:rsid w:val="007272E4"/>
    <w:rsid w:val="00732C79"/>
    <w:rsid w:val="00742C06"/>
    <w:rsid w:val="007461D4"/>
    <w:rsid w:val="00746372"/>
    <w:rsid w:val="00747EBB"/>
    <w:rsid w:val="00750E63"/>
    <w:rsid w:val="007546FB"/>
    <w:rsid w:val="007561C6"/>
    <w:rsid w:val="00765B72"/>
    <w:rsid w:val="0077351F"/>
    <w:rsid w:val="007815E5"/>
    <w:rsid w:val="007E43B9"/>
    <w:rsid w:val="007E518D"/>
    <w:rsid w:val="00801BAE"/>
    <w:rsid w:val="00805944"/>
    <w:rsid w:val="00811555"/>
    <w:rsid w:val="008220DE"/>
    <w:rsid w:val="00832D4A"/>
    <w:rsid w:val="008547CD"/>
    <w:rsid w:val="008564D4"/>
    <w:rsid w:val="008572D3"/>
    <w:rsid w:val="00866EA3"/>
    <w:rsid w:val="008745A8"/>
    <w:rsid w:val="0089627D"/>
    <w:rsid w:val="008A0253"/>
    <w:rsid w:val="008A4751"/>
    <w:rsid w:val="008A69B3"/>
    <w:rsid w:val="008B0091"/>
    <w:rsid w:val="008B22AE"/>
    <w:rsid w:val="008D6B38"/>
    <w:rsid w:val="008D7221"/>
    <w:rsid w:val="008F1325"/>
    <w:rsid w:val="008F6F2A"/>
    <w:rsid w:val="00901AE2"/>
    <w:rsid w:val="00910A83"/>
    <w:rsid w:val="009230F8"/>
    <w:rsid w:val="009307AF"/>
    <w:rsid w:val="009429C5"/>
    <w:rsid w:val="00986CF6"/>
    <w:rsid w:val="009A1463"/>
    <w:rsid w:val="009A55FD"/>
    <w:rsid w:val="009E3F0E"/>
    <w:rsid w:val="009E4DEA"/>
    <w:rsid w:val="009E640E"/>
    <w:rsid w:val="009F5ACD"/>
    <w:rsid w:val="009F7E8D"/>
    <w:rsid w:val="00A06B83"/>
    <w:rsid w:val="00A20427"/>
    <w:rsid w:val="00A2635D"/>
    <w:rsid w:val="00A27B40"/>
    <w:rsid w:val="00A35AC5"/>
    <w:rsid w:val="00A3628C"/>
    <w:rsid w:val="00A5110D"/>
    <w:rsid w:val="00A51AD0"/>
    <w:rsid w:val="00A533E6"/>
    <w:rsid w:val="00A6164C"/>
    <w:rsid w:val="00A63C9C"/>
    <w:rsid w:val="00A70EB6"/>
    <w:rsid w:val="00A859D1"/>
    <w:rsid w:val="00A91268"/>
    <w:rsid w:val="00A94381"/>
    <w:rsid w:val="00B004A6"/>
    <w:rsid w:val="00B0574D"/>
    <w:rsid w:val="00B14AF0"/>
    <w:rsid w:val="00B20457"/>
    <w:rsid w:val="00B24C49"/>
    <w:rsid w:val="00B536AF"/>
    <w:rsid w:val="00B7688E"/>
    <w:rsid w:val="00B86320"/>
    <w:rsid w:val="00B8743E"/>
    <w:rsid w:val="00B903EB"/>
    <w:rsid w:val="00BA084A"/>
    <w:rsid w:val="00BD7408"/>
    <w:rsid w:val="00BE2389"/>
    <w:rsid w:val="00BE735D"/>
    <w:rsid w:val="00C125E0"/>
    <w:rsid w:val="00C32A00"/>
    <w:rsid w:val="00C40DCC"/>
    <w:rsid w:val="00C50620"/>
    <w:rsid w:val="00C6379E"/>
    <w:rsid w:val="00C71E84"/>
    <w:rsid w:val="00C72DAE"/>
    <w:rsid w:val="00C74C0F"/>
    <w:rsid w:val="00C875C1"/>
    <w:rsid w:val="00C927F9"/>
    <w:rsid w:val="00C94047"/>
    <w:rsid w:val="00CA4B5B"/>
    <w:rsid w:val="00CB75E8"/>
    <w:rsid w:val="00CC2503"/>
    <w:rsid w:val="00CC66D1"/>
    <w:rsid w:val="00CE086E"/>
    <w:rsid w:val="00CF1985"/>
    <w:rsid w:val="00D36CE6"/>
    <w:rsid w:val="00D37D52"/>
    <w:rsid w:val="00D450F0"/>
    <w:rsid w:val="00D538A0"/>
    <w:rsid w:val="00DD57D9"/>
    <w:rsid w:val="00DF348B"/>
    <w:rsid w:val="00DF4D35"/>
    <w:rsid w:val="00E37CE4"/>
    <w:rsid w:val="00E419C7"/>
    <w:rsid w:val="00E73312"/>
    <w:rsid w:val="00E75024"/>
    <w:rsid w:val="00E91313"/>
    <w:rsid w:val="00E93207"/>
    <w:rsid w:val="00E952CA"/>
    <w:rsid w:val="00EB0D5E"/>
    <w:rsid w:val="00EB11FA"/>
    <w:rsid w:val="00EB354F"/>
    <w:rsid w:val="00EC1069"/>
    <w:rsid w:val="00ED1947"/>
    <w:rsid w:val="00EE0C7F"/>
    <w:rsid w:val="00EE23A3"/>
    <w:rsid w:val="00EE260F"/>
    <w:rsid w:val="00EE4CCA"/>
    <w:rsid w:val="00F550E9"/>
    <w:rsid w:val="00F60337"/>
    <w:rsid w:val="00F65787"/>
    <w:rsid w:val="00F80DFC"/>
    <w:rsid w:val="00F9436C"/>
    <w:rsid w:val="00F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>
      <v:fill color="white" on="f"/>
      <v:stroke weight="1.5pt"/>
    </o:shapedefaults>
    <o:shapelayout v:ext="edit">
      <o:idmap v:ext="edit" data="2"/>
    </o:shapelayout>
  </w:shapeDefaults>
  <w:decimalSymbol w:val="."/>
  <w:listSeparator w:val=","/>
  <w14:docId w14:val="3283CFB6"/>
  <w15:docId w15:val="{B911CB33-587D-4CB2-93FE-237A22EE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DAE"/>
    <w:rPr>
      <w:sz w:val="24"/>
      <w:szCs w:val="24"/>
      <w:lang w:val="en-CA" w:eastAsia="en-US"/>
    </w:rPr>
  </w:style>
  <w:style w:type="paragraph" w:styleId="1">
    <w:name w:val="heading 1"/>
    <w:basedOn w:val="a"/>
    <w:next w:val="a"/>
    <w:qFormat/>
    <w:rsid w:val="00C72DAE"/>
    <w:pPr>
      <w:keepNext/>
      <w:outlineLvl w:val="0"/>
    </w:pPr>
    <w:rPr>
      <w:i/>
      <w:iCs/>
    </w:rPr>
  </w:style>
  <w:style w:type="paragraph" w:styleId="2">
    <w:name w:val="heading 2"/>
    <w:basedOn w:val="a"/>
    <w:next w:val="a"/>
    <w:qFormat/>
    <w:rsid w:val="00C72DAE"/>
    <w:pPr>
      <w:keepNext/>
      <w:outlineLvl w:val="1"/>
    </w:pPr>
    <w:rPr>
      <w:b/>
      <w:bCs/>
      <w:lang w:val="en-US"/>
    </w:rPr>
  </w:style>
  <w:style w:type="paragraph" w:styleId="3">
    <w:name w:val="heading 3"/>
    <w:basedOn w:val="a"/>
    <w:next w:val="a"/>
    <w:qFormat/>
    <w:rsid w:val="00C72DAE"/>
    <w:pPr>
      <w:keepNext/>
      <w:outlineLvl w:val="2"/>
    </w:pPr>
    <w:rPr>
      <w:u w:val="single"/>
      <w:lang w:val="en-US"/>
    </w:rPr>
  </w:style>
  <w:style w:type="paragraph" w:styleId="4">
    <w:name w:val="heading 4"/>
    <w:basedOn w:val="a"/>
    <w:next w:val="a"/>
    <w:qFormat/>
    <w:rsid w:val="00C72DAE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6">
    <w:name w:val="heading 6"/>
    <w:basedOn w:val="a"/>
    <w:next w:val="a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7">
    <w:name w:val="heading 7"/>
    <w:basedOn w:val="a"/>
    <w:next w:val="a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8">
    <w:name w:val="heading 8"/>
    <w:basedOn w:val="a"/>
    <w:next w:val="a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9">
    <w:name w:val="heading 9"/>
    <w:basedOn w:val="a"/>
    <w:next w:val="a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C72DAE"/>
    <w:rPr>
      <w:color w:val="0000FF"/>
      <w:u w:val="single"/>
    </w:rPr>
  </w:style>
  <w:style w:type="character" w:styleId="a4">
    <w:name w:val="annotation reference"/>
    <w:semiHidden/>
    <w:rsid w:val="00C72DAE"/>
    <w:rPr>
      <w:sz w:val="16"/>
      <w:szCs w:val="16"/>
    </w:rPr>
  </w:style>
  <w:style w:type="paragraph" w:styleId="a5">
    <w:name w:val="annotation text"/>
    <w:basedOn w:val="a"/>
    <w:link w:val="a6"/>
    <w:semiHidden/>
    <w:rsid w:val="00C72DAE"/>
    <w:rPr>
      <w:sz w:val="20"/>
      <w:szCs w:val="20"/>
    </w:rPr>
  </w:style>
  <w:style w:type="paragraph" w:styleId="a7">
    <w:name w:val="Body Text Indent"/>
    <w:basedOn w:val="a"/>
    <w:semiHidden/>
    <w:rsid w:val="00C72DAE"/>
    <w:pPr>
      <w:ind w:firstLine="720"/>
    </w:pPr>
    <w:rPr>
      <w:szCs w:val="20"/>
      <w:lang w:val="en-US"/>
    </w:rPr>
  </w:style>
  <w:style w:type="paragraph" w:styleId="a8">
    <w:name w:val="Normal (Web)"/>
    <w:basedOn w:val="a"/>
    <w:semiHidden/>
    <w:rsid w:val="00C72DAE"/>
    <w:pPr>
      <w:spacing w:before="100" w:beforeAutospacing="1" w:after="100" w:afterAutospacing="1"/>
    </w:pPr>
  </w:style>
  <w:style w:type="paragraph" w:styleId="a9">
    <w:name w:val="Body Text"/>
    <w:basedOn w:val="a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aa">
    <w:name w:val="FollowedHyperlink"/>
    <w:semiHidden/>
    <w:rsid w:val="00C72DAE"/>
    <w:rPr>
      <w:color w:val="800080"/>
      <w:u w:val="single"/>
    </w:rPr>
  </w:style>
  <w:style w:type="character" w:styleId="ab">
    <w:name w:val="Strong"/>
    <w:uiPriority w:val="22"/>
    <w:qFormat/>
    <w:rsid w:val="00C72DAE"/>
    <w:rPr>
      <w:b/>
      <w:bCs/>
    </w:rPr>
  </w:style>
  <w:style w:type="paragraph" w:styleId="ac">
    <w:name w:val="footer"/>
    <w:basedOn w:val="a"/>
    <w:semiHidden/>
    <w:rsid w:val="00C72DAE"/>
    <w:pPr>
      <w:tabs>
        <w:tab w:val="center" w:pos="4320"/>
        <w:tab w:val="right" w:pos="8640"/>
      </w:tabs>
    </w:pPr>
  </w:style>
  <w:style w:type="character" w:styleId="ad">
    <w:name w:val="page number"/>
    <w:basedOn w:val="a0"/>
    <w:semiHidden/>
    <w:rsid w:val="00C72DAE"/>
  </w:style>
  <w:style w:type="character" w:styleId="ae">
    <w:name w:val="line number"/>
    <w:semiHidden/>
    <w:rsid w:val="00C72DAE"/>
    <w:rPr>
      <w:color w:val="999999"/>
      <w:sz w:val="20"/>
    </w:rPr>
  </w:style>
  <w:style w:type="paragraph" w:styleId="af">
    <w:name w:val="footnote text"/>
    <w:basedOn w:val="a"/>
    <w:semiHidden/>
    <w:rsid w:val="00C72DAE"/>
    <w:rPr>
      <w:sz w:val="20"/>
      <w:szCs w:val="20"/>
    </w:rPr>
  </w:style>
  <w:style w:type="character" w:styleId="af0">
    <w:name w:val="footnote reference"/>
    <w:semiHidden/>
    <w:rsid w:val="00C72DAE"/>
    <w:rPr>
      <w:vertAlign w:val="superscript"/>
    </w:rPr>
  </w:style>
  <w:style w:type="paragraph" w:styleId="20">
    <w:name w:val="Body Text 2"/>
    <w:basedOn w:val="a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30">
    <w:name w:val="Body Text 3"/>
    <w:basedOn w:val="a"/>
    <w:semiHidden/>
    <w:rsid w:val="00C72DAE"/>
    <w:pPr>
      <w:jc w:val="center"/>
    </w:pPr>
  </w:style>
  <w:style w:type="paragraph" w:styleId="af1">
    <w:name w:val="header"/>
    <w:basedOn w:val="a"/>
    <w:semiHidden/>
    <w:rsid w:val="00C72DAE"/>
    <w:pPr>
      <w:tabs>
        <w:tab w:val="center" w:pos="4320"/>
        <w:tab w:val="right" w:pos="8640"/>
      </w:tabs>
    </w:pPr>
  </w:style>
  <w:style w:type="paragraph" w:styleId="TOC6">
    <w:name w:val="toc 6"/>
    <w:basedOn w:val="a"/>
    <w:next w:val="a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af2">
    <w:name w:val="Placeholder Text"/>
    <w:basedOn w:val="a0"/>
    <w:uiPriority w:val="99"/>
    <w:semiHidden/>
    <w:rsid w:val="00BE2389"/>
    <w:rPr>
      <w:color w:val="808080"/>
    </w:rPr>
  </w:style>
  <w:style w:type="paragraph" w:styleId="af3">
    <w:name w:val="Balloon Text"/>
    <w:basedOn w:val="a"/>
    <w:link w:val="af4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af4">
    <w:name w:val="批注框文本 字符"/>
    <w:basedOn w:val="a0"/>
    <w:link w:val="af3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af5">
    <w:name w:val="List Paragraph"/>
    <w:basedOn w:val="a"/>
    <w:uiPriority w:val="34"/>
    <w:qFormat/>
    <w:rsid w:val="00986CF6"/>
    <w:pPr>
      <w:ind w:left="720"/>
      <w:contextualSpacing/>
    </w:pPr>
  </w:style>
  <w:style w:type="paragraph" w:styleId="af6">
    <w:name w:val="annotation subject"/>
    <w:basedOn w:val="a5"/>
    <w:next w:val="a5"/>
    <w:link w:val="af7"/>
    <w:uiPriority w:val="99"/>
    <w:semiHidden/>
    <w:unhideWhenUsed/>
    <w:rsid w:val="00A20427"/>
    <w:rPr>
      <w:b/>
      <w:bCs/>
    </w:rPr>
  </w:style>
  <w:style w:type="character" w:customStyle="1" w:styleId="a6">
    <w:name w:val="批注文字 字符"/>
    <w:basedOn w:val="a0"/>
    <w:link w:val="a5"/>
    <w:semiHidden/>
    <w:rsid w:val="00A20427"/>
    <w:rPr>
      <w:lang w:val="en-CA" w:eastAsia="en-US"/>
    </w:rPr>
  </w:style>
  <w:style w:type="character" w:customStyle="1" w:styleId="af7">
    <w:name w:val="批注主题 字符"/>
    <w:basedOn w:val="a6"/>
    <w:link w:val="af6"/>
    <w:uiPriority w:val="99"/>
    <w:semiHidden/>
    <w:rsid w:val="00A20427"/>
    <w:rPr>
      <w:b/>
      <w:bCs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ons\Downloads\New_Phytologist_SI_template_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0A725-BB85-4845-8BCB-6B6195EDC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New_Phytologist_SI_template_2014</Template>
  <TotalTime>284</TotalTime>
  <Pages>15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Phytologist SI template</vt:lpstr>
    </vt:vector>
  </TitlesOfParts>
  <Company>Ohio State University</Company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Phytologist SI template</dc:title>
  <dc:subject/>
  <dc:creator>Lennon, Sarah</dc:creator>
  <cp:keywords/>
  <dc:description/>
  <cp:lastModifiedBy>wang dan</cp:lastModifiedBy>
  <cp:revision>72</cp:revision>
  <cp:lastPrinted>2006-09-15T11:41:00Z</cp:lastPrinted>
  <dcterms:created xsi:type="dcterms:W3CDTF">2018-10-23T08:44:00Z</dcterms:created>
  <dcterms:modified xsi:type="dcterms:W3CDTF">2022-01-29T09:51:00Z</dcterms:modified>
</cp:coreProperties>
</file>