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E5E" w:rsidRPr="00B26191" w:rsidRDefault="00107E5E" w:rsidP="00107E5E">
      <w:pPr>
        <w:spacing w:afterLines="50" w:after="156"/>
        <w:rPr>
          <w:rFonts w:ascii="Times New Roman" w:hAnsi="Times New Roman" w:cs="Times New Roman"/>
          <w:b/>
          <w:sz w:val="24"/>
          <w:szCs w:val="24"/>
        </w:rPr>
      </w:pPr>
      <w:r w:rsidRPr="00B26191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990600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Pr="00B26191">
        <w:rPr>
          <w:rFonts w:ascii="Times New Roman" w:hAnsi="Times New Roman" w:cs="Times New Roman"/>
          <w:b/>
          <w:sz w:val="24"/>
          <w:szCs w:val="24"/>
        </w:rPr>
        <w:t>1. Primers used in this study.</w:t>
      </w:r>
    </w:p>
    <w:tbl>
      <w:tblPr>
        <w:tblStyle w:val="a5"/>
        <w:tblW w:w="907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3367"/>
        <w:gridCol w:w="3167"/>
      </w:tblGrid>
      <w:tr w:rsidR="00107E5E" w:rsidRPr="00B26191" w:rsidTr="001C5109">
        <w:tc>
          <w:tcPr>
            <w:tcW w:w="2539" w:type="dxa"/>
            <w:tcBorders>
              <w:top w:val="single" w:sz="12" w:space="0" w:color="2E74B5" w:themeColor="accent1" w:themeShade="BF"/>
            </w:tcBorders>
            <w:shd w:val="clear" w:color="auto" w:fill="DEEAF6" w:themeFill="accent1" w:themeFillTint="33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sz w:val="18"/>
                <w:szCs w:val="18"/>
              </w:rPr>
              <w:t>The primers for genes cloning</w:t>
            </w:r>
          </w:p>
        </w:tc>
        <w:tc>
          <w:tcPr>
            <w:tcW w:w="3367" w:type="dxa"/>
            <w:tcBorders>
              <w:top w:val="single" w:sz="12" w:space="0" w:color="2E74B5" w:themeColor="accent1" w:themeShade="BF"/>
            </w:tcBorders>
            <w:shd w:val="clear" w:color="auto" w:fill="DEEAF6" w:themeFill="accent1" w:themeFillTint="33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sz w:val="18"/>
                <w:szCs w:val="18"/>
              </w:rPr>
              <w:t>Upper primer (5’-3’)</w:t>
            </w:r>
          </w:p>
        </w:tc>
        <w:tc>
          <w:tcPr>
            <w:tcW w:w="3167" w:type="dxa"/>
            <w:tcBorders>
              <w:top w:val="single" w:sz="12" w:space="0" w:color="2E74B5" w:themeColor="accent1" w:themeShade="BF"/>
            </w:tcBorders>
            <w:shd w:val="clear" w:color="auto" w:fill="DEEAF6" w:themeFill="accent1" w:themeFillTint="33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sz w:val="18"/>
                <w:szCs w:val="18"/>
              </w:rPr>
              <w:t>Lower primer (5’-3’)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BdTPH-ORF-complete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ATGATGGCCGAACGTCAGACGTC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CTACACCTTCAACTTCTCCACGGC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BdTRH-</w:t>
            </w:r>
            <w:r w:rsidRPr="00B26191">
              <w:t xml:space="preserve"> 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ORF-complete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AATGAGCGCTTCTGGTAAAAGTTTG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TTCCAAGGTCCAGCAGTTTCG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BdDuox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GTCGTTTATTCATGGGCGGC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GCGAGGACATACCCAGTAGC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 w:hint="eastAsia"/>
                <w:sz w:val="18"/>
                <w:szCs w:val="18"/>
              </w:rPr>
              <w:t>Aa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TPH-ORF-complete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TGTTACTAAGGAGGTGTTTGTTGTGG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TTCAATCGTTTGGCACAGTCTTA</w:t>
            </w:r>
          </w:p>
        </w:tc>
      </w:tr>
      <w:tr w:rsidR="00107E5E" w:rsidRPr="00B26191" w:rsidTr="001C5109">
        <w:tc>
          <w:tcPr>
            <w:tcW w:w="2539" w:type="dxa"/>
            <w:shd w:val="clear" w:color="auto" w:fill="DEEAF6" w:themeFill="accent1" w:themeFillTint="33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sz w:val="18"/>
                <w:szCs w:val="18"/>
              </w:rPr>
              <w:t>The primers for Real-time PCR</w:t>
            </w:r>
          </w:p>
        </w:tc>
        <w:tc>
          <w:tcPr>
            <w:tcW w:w="3367" w:type="dxa"/>
            <w:shd w:val="clear" w:color="auto" w:fill="DEEAF6" w:themeFill="accent1" w:themeFillTint="33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sz w:val="18"/>
                <w:szCs w:val="18"/>
              </w:rPr>
              <w:t>Upper primer (5’-3’)</w:t>
            </w:r>
          </w:p>
        </w:tc>
        <w:tc>
          <w:tcPr>
            <w:tcW w:w="3167" w:type="dxa"/>
            <w:shd w:val="clear" w:color="auto" w:fill="DEEAF6" w:themeFill="accent1" w:themeFillTint="33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sz w:val="18"/>
                <w:szCs w:val="18"/>
              </w:rPr>
              <w:t>Lower primer (5’-3’)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BdTPH-qPCR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GCAAGCCGATGTATACACCG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CCAGAAGATAGTCGCCAGCT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BdTRH-qPCR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GTATACGGCGCTGGACTACT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AGGGGCGTTGTATGCTATCA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BdD</w:t>
            </w:r>
            <w:r w:rsidRPr="00B26191">
              <w:rPr>
                <w:rFonts w:ascii="Times New Roman" w:hAnsi="Times New Roman" w:cs="Times New Roman" w:hint="eastAsia"/>
                <w:sz w:val="18"/>
                <w:szCs w:val="18"/>
              </w:rPr>
              <w:t>uox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GACCACCACGTTTCTGGATG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TAACATCGGAAGCAGCAGA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BdNox-qPCR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ACCTGTCCGCGTTGTCATTT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AATGAGCGCTGATCACGGTT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BdIMD-qPCR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GAACCCATTTCGCCTAGTGG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ACATGTTTCCAACCTTCGCC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BdRelish-qPCR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TTGCAACATGATCACCGAGC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TAGCTAAGTCGCCGGCATTA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BdDiptericin-qPCR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CCCAAAGACAGCCTCAGTTCA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TTGCGAATACTGTCCGGTGG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</w:t>
            </w:r>
            <w:r w:rsidRPr="00B26191">
              <w:t>C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ecropin1-qPCR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CATCTTCTTGGCTGTGGTGT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GACATTGGCGGCCTGTTG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</w:t>
            </w:r>
            <w:r w:rsidRPr="00B26191">
              <w:t>C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ecropin2-qPCR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ATCTTCTTGGCCGTGGTGAT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CACGCTCCTGTCGAAAAGTA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BdCecropin3-qPCR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ACGACAAAACTAGTAAATCCCACCC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CTAATTTAGGCAGTGGCGGTTTGA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Bd-α-Tubulin-qPCR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CGCATTCATGGTTGATAACG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GGGCACCAAGTTAGTCTGGA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Bd-RpL32-qPCR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CCCGTCATATGCTGCCAACT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GCGCGCTCAACAATTTCCTT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Bd-β-actin-qPCR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TCGATCATGAAGTGCGATGT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ATCAGCAATACCGGGGTACA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B26191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TPH-qPCR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AAATCGGATTGGCTTCGCTC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GGTACTTTTGTTCGCCCGTT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AaDuox-qPCR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ATGCTGAGCCCAGAGAGATT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TTTCCTCATCAGTCCAATCG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AaS7-qPCR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GGGACAAATCGGCCAGGCTATC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TCGTGGACGCTTCTGCTTGTTG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AaActin-qPCR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GAACACCCAGTCCTGCTGACA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TGCGTCATCTTCTCACGGTTAG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i/>
                <w:sz w:val="18"/>
                <w:szCs w:val="18"/>
              </w:rPr>
              <w:t>S. marcescens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26191">
              <w:rPr>
                <w:rFonts w:ascii="Times New Roman" w:hAnsi="Times New Roman" w:cs="Times New Roman" w:hint="eastAsia"/>
                <w:sz w:val="18"/>
                <w:szCs w:val="18"/>
              </w:rPr>
              <w:t>specific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TGCCTGGAAAGCGGCGATGG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CGCCAGCTCGTCGTTGTGGT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i/>
                <w:sz w:val="18"/>
                <w:szCs w:val="18"/>
              </w:rPr>
              <w:t>P. alcalifaciens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-specific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TCTGCACGGTGTGGGTGTT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ACCGTCACGGCGGATTACT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Bacteria Universal 16s rDNA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ACTCCTACGGGAGGCAGCAG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ATTACCGCGGCTGCTGG</w:t>
            </w:r>
          </w:p>
        </w:tc>
      </w:tr>
      <w:tr w:rsidR="00107E5E" w:rsidRPr="00B26191" w:rsidTr="001C5109">
        <w:tc>
          <w:tcPr>
            <w:tcW w:w="2539" w:type="dxa"/>
            <w:shd w:val="clear" w:color="auto" w:fill="DEEAF6" w:themeFill="accent1" w:themeFillTint="33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sz w:val="18"/>
                <w:szCs w:val="18"/>
              </w:rPr>
              <w:t>The primers for double-strand RNA synthesis</w:t>
            </w:r>
          </w:p>
        </w:tc>
        <w:tc>
          <w:tcPr>
            <w:tcW w:w="3367" w:type="dxa"/>
            <w:shd w:val="clear" w:color="auto" w:fill="DEEAF6" w:themeFill="accent1" w:themeFillTint="33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sz w:val="18"/>
                <w:szCs w:val="18"/>
              </w:rPr>
              <w:t>Upper primer (5’-3’)</w:t>
            </w:r>
          </w:p>
        </w:tc>
        <w:tc>
          <w:tcPr>
            <w:tcW w:w="3167" w:type="dxa"/>
            <w:shd w:val="clear" w:color="auto" w:fill="DEEAF6" w:themeFill="accent1" w:themeFillTint="33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sz w:val="18"/>
                <w:szCs w:val="18"/>
              </w:rPr>
              <w:t>Lower primer (5’-3’)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BdTPH-RNAi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TAATACGACTCACTATAGGG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ATGATG</w:t>
            </w:r>
          </w:p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GCCGAACGTCAGAC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TAATACGACTCACTATAGGG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CCATG</w:t>
            </w:r>
          </w:p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TTTATAGTTGTAAGC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BdTRH-RNAi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TAATACGACTCACTATAGGG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ATGAGC</w:t>
            </w:r>
          </w:p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GCTTCTGGTAAAAG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TAATACGACTCACTATAGGG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TATTT</w:t>
            </w:r>
          </w:p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TGCGTGGAAACCAGA</w:t>
            </w:r>
          </w:p>
        </w:tc>
      </w:tr>
      <w:tr w:rsidR="00107E5E" w:rsidRPr="00B26191" w:rsidTr="001C5109">
        <w:tc>
          <w:tcPr>
            <w:tcW w:w="2539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BdDuox-RNAi</w:t>
            </w:r>
          </w:p>
        </w:tc>
        <w:tc>
          <w:tcPr>
            <w:tcW w:w="33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TAATACGACTCACTATAGGG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ATCGTC</w:t>
            </w:r>
          </w:p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CGTCTACTCGTCGC</w:t>
            </w:r>
          </w:p>
        </w:tc>
        <w:tc>
          <w:tcPr>
            <w:tcW w:w="3167" w:type="dxa"/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TAATACGACTCACTATAGGG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TAAGC</w:t>
            </w:r>
          </w:p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ATCTTCATCACATTC</w:t>
            </w:r>
          </w:p>
        </w:tc>
      </w:tr>
      <w:tr w:rsidR="00107E5E" w:rsidRPr="00B26191" w:rsidTr="001C5109">
        <w:tc>
          <w:tcPr>
            <w:tcW w:w="2539" w:type="dxa"/>
            <w:tcBorders>
              <w:bottom w:val="single" w:sz="12" w:space="0" w:color="2E74B5" w:themeColor="accent1" w:themeShade="BF"/>
            </w:tcBorders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AaTPH-</w:t>
            </w:r>
            <w:r w:rsidRPr="00B26191">
              <w:t xml:space="preserve"> 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RNAi</w:t>
            </w:r>
          </w:p>
        </w:tc>
        <w:tc>
          <w:tcPr>
            <w:tcW w:w="3367" w:type="dxa"/>
            <w:tcBorders>
              <w:bottom w:val="single" w:sz="12" w:space="0" w:color="2E74B5" w:themeColor="accent1" w:themeShade="BF"/>
            </w:tcBorders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TAATACGACTCACTATAGGG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CGAATC</w:t>
            </w:r>
          </w:p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TGCCGAAGCGAAGA</w:t>
            </w:r>
          </w:p>
        </w:tc>
        <w:tc>
          <w:tcPr>
            <w:tcW w:w="3167" w:type="dxa"/>
            <w:tcBorders>
              <w:bottom w:val="single" w:sz="12" w:space="0" w:color="2E74B5" w:themeColor="accent1" w:themeShade="BF"/>
            </w:tcBorders>
          </w:tcPr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TAATACGACTCACTATAGGG</w:t>
            </w: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CAGGT</w:t>
            </w:r>
          </w:p>
          <w:p w:rsidR="00107E5E" w:rsidRPr="00B26191" w:rsidRDefault="00107E5E" w:rsidP="001C51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191">
              <w:rPr>
                <w:rFonts w:ascii="Times New Roman" w:hAnsi="Times New Roman" w:cs="Times New Roman"/>
                <w:sz w:val="18"/>
                <w:szCs w:val="18"/>
              </w:rPr>
              <w:t>TCTGGAAGACCACCC</w:t>
            </w:r>
          </w:p>
        </w:tc>
      </w:tr>
    </w:tbl>
    <w:p w:rsidR="00107E5E" w:rsidRPr="00B26191" w:rsidRDefault="00107E5E" w:rsidP="00107E5E">
      <w:pPr>
        <w:rPr>
          <w:rFonts w:ascii="Times New Roman" w:hAnsi="Times New Roman" w:cs="Times New Roman"/>
          <w:b/>
          <w:sz w:val="18"/>
          <w:szCs w:val="18"/>
        </w:rPr>
      </w:pPr>
    </w:p>
    <w:p w:rsidR="00785B14" w:rsidRDefault="00785B14"/>
    <w:sectPr w:rsidR="00785B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94F" w:rsidRDefault="00E6594F" w:rsidP="00107E5E">
      <w:r>
        <w:separator/>
      </w:r>
    </w:p>
  </w:endnote>
  <w:endnote w:type="continuationSeparator" w:id="0">
    <w:p w:rsidR="00E6594F" w:rsidRDefault="00E6594F" w:rsidP="0010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94F" w:rsidRDefault="00E6594F" w:rsidP="00107E5E">
      <w:r>
        <w:separator/>
      </w:r>
    </w:p>
  </w:footnote>
  <w:footnote w:type="continuationSeparator" w:id="0">
    <w:p w:rsidR="00E6594F" w:rsidRDefault="00E6594F" w:rsidP="00107E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44C"/>
    <w:rsid w:val="00107E5E"/>
    <w:rsid w:val="00785B14"/>
    <w:rsid w:val="00990600"/>
    <w:rsid w:val="00D8044C"/>
    <w:rsid w:val="00E6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2FF3DC9-CD90-443C-8270-8C105B24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E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7E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7E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7E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7E5E"/>
    <w:rPr>
      <w:sz w:val="18"/>
      <w:szCs w:val="18"/>
    </w:rPr>
  </w:style>
  <w:style w:type="table" w:styleId="a5">
    <w:name w:val="Table Grid"/>
    <w:basedOn w:val="a1"/>
    <w:uiPriority w:val="39"/>
    <w:rsid w:val="00107E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312</Words>
  <Characters>1785</Characters>
  <Application>Microsoft Office Word</Application>
  <DocSecurity>0</DocSecurity>
  <Lines>14</Lines>
  <Paragraphs>4</Paragraphs>
  <ScaleCrop>false</ScaleCrop>
  <Company>微软公司</Company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齐易香</dc:creator>
  <cp:keywords/>
  <dc:description/>
  <cp:lastModifiedBy>齐易香</cp:lastModifiedBy>
  <cp:revision>3</cp:revision>
  <dcterms:created xsi:type="dcterms:W3CDTF">2021-12-29T03:53:00Z</dcterms:created>
  <dcterms:modified xsi:type="dcterms:W3CDTF">2021-12-29T03:57:00Z</dcterms:modified>
</cp:coreProperties>
</file>