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BC824C" w14:textId="0FAC7CCB" w:rsidR="00DA27E9" w:rsidRPr="00CE3452" w:rsidRDefault="00DB4FE2" w:rsidP="00CE3452">
      <w:pPr>
        <w:jc w:val="center"/>
        <w:rPr>
          <w:rFonts w:ascii="Times New Roman" w:hAnsi="Times New Roman" w:cs="Times New Roman"/>
          <w:bCs/>
          <w:sz w:val="24"/>
          <w:szCs w:val="24"/>
        </w:rPr>
      </w:pPr>
      <w:r>
        <w:rPr>
          <w:noProof/>
        </w:rPr>
        <w:drawing>
          <wp:inline distT="0" distB="0" distL="0" distR="0" wp14:anchorId="1A79BB15" wp14:editId="148A9DC0">
            <wp:extent cx="4885157" cy="5614987"/>
            <wp:effectExtent l="0" t="0" r="0" b="508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l="2894" t="1955" r="11121" b="21712"/>
                    <a:stretch/>
                  </pic:blipFill>
                  <pic:spPr bwMode="auto">
                    <a:xfrm>
                      <a:off x="0" y="0"/>
                      <a:ext cx="4891202" cy="5621935"/>
                    </a:xfrm>
                    <a:prstGeom prst="rect">
                      <a:avLst/>
                    </a:prstGeom>
                    <a:noFill/>
                    <a:ln>
                      <a:noFill/>
                    </a:ln>
                    <a:extLst>
                      <a:ext uri="{53640926-AAD7-44D8-BBD7-CCE9431645EC}">
                        <a14:shadowObscured xmlns:a14="http://schemas.microsoft.com/office/drawing/2010/main"/>
                      </a:ext>
                    </a:extLst>
                  </pic:spPr>
                </pic:pic>
              </a:graphicData>
            </a:graphic>
          </wp:inline>
        </w:drawing>
      </w:r>
    </w:p>
    <w:p w14:paraId="12A76F3B" w14:textId="77777777" w:rsidR="00931D84" w:rsidRDefault="00931D84" w:rsidP="00931D84">
      <w:pPr>
        <w:rPr>
          <w:rFonts w:ascii="Times New Roman" w:eastAsia="等线" w:hAnsi="Times New Roman" w:cs="Times New Roman"/>
          <w:bCs/>
          <w:color w:val="000000" w:themeColor="text1"/>
          <w:szCs w:val="21"/>
        </w:rPr>
      </w:pPr>
      <w:bookmarkStart w:id="0" w:name="_Hlk108173771"/>
      <w:r w:rsidRPr="00931D84">
        <w:rPr>
          <w:rFonts w:ascii="Times New Roman" w:eastAsia="等线" w:hAnsi="Times New Roman" w:cs="Times New Roman"/>
          <w:b/>
          <w:color w:val="000000" w:themeColor="text1"/>
          <w:szCs w:val="21"/>
        </w:rPr>
        <w:t>Figure S1: The relationship between genome size and total repeat length and number in 38 Rosaceae mitogenomes</w:t>
      </w:r>
      <w:bookmarkEnd w:id="0"/>
      <w:r w:rsidRPr="00931D84">
        <w:rPr>
          <w:rFonts w:ascii="Times New Roman" w:eastAsia="等线" w:hAnsi="Times New Roman" w:cs="Times New Roman"/>
          <w:b/>
          <w:color w:val="000000" w:themeColor="text1"/>
          <w:szCs w:val="21"/>
        </w:rPr>
        <w:t xml:space="preserve">. </w:t>
      </w:r>
      <w:r w:rsidRPr="00931D84">
        <w:rPr>
          <w:rFonts w:ascii="Times New Roman" w:eastAsia="等线" w:hAnsi="Times New Roman" w:cs="Times New Roman"/>
          <w:bCs/>
          <w:color w:val="000000" w:themeColor="text1"/>
          <w:szCs w:val="21"/>
        </w:rPr>
        <w:t xml:space="preserve">The repeats were divided into four types: length &lt;100 bp (a, e); 100 bp ≤ repeat length ≤ 500 bp (b, f); 500 bp &lt; repeat length ≤ 1,000bp (c, g); and repeat length &gt;1,000 bp (d, h). The linear regression equation is displayed with adjusted R-square and </w:t>
      </w:r>
      <w:r w:rsidRPr="00931D84">
        <w:rPr>
          <w:rFonts w:ascii="Times New Roman" w:eastAsia="等线" w:hAnsi="Times New Roman" w:cs="Times New Roman"/>
          <w:bCs/>
          <w:i/>
          <w:iCs/>
          <w:color w:val="000000" w:themeColor="text1"/>
          <w:szCs w:val="21"/>
        </w:rPr>
        <w:t>P</w:t>
      </w:r>
      <w:r w:rsidRPr="00931D84">
        <w:rPr>
          <w:rFonts w:ascii="Times New Roman" w:eastAsia="等线" w:hAnsi="Times New Roman" w:cs="Times New Roman"/>
          <w:bCs/>
          <w:color w:val="000000" w:themeColor="text1"/>
          <w:szCs w:val="21"/>
        </w:rPr>
        <w:t>-values.</w:t>
      </w:r>
    </w:p>
    <w:p w14:paraId="11DAC134" w14:textId="36987AAF" w:rsidR="000879E4" w:rsidRPr="00CE3452" w:rsidRDefault="008006C5" w:rsidP="00437667">
      <w:pPr>
        <w:jc w:val="center"/>
        <w:rPr>
          <w:rFonts w:ascii="Times New Roman" w:hAnsi="Times New Roman" w:cs="Times New Roman"/>
          <w:bCs/>
          <w:sz w:val="24"/>
          <w:szCs w:val="24"/>
        </w:rPr>
      </w:pPr>
      <w:r>
        <w:rPr>
          <w:rFonts w:ascii="Times New Roman" w:hAnsi="Times New Roman" w:cs="Times New Roman"/>
          <w:bCs/>
          <w:noProof/>
          <w:sz w:val="24"/>
          <w:szCs w:val="24"/>
        </w:rPr>
        <w:lastRenderedPageBreak/>
        <w:drawing>
          <wp:inline distT="0" distB="0" distL="0" distR="0" wp14:anchorId="27002227" wp14:editId="623AF325">
            <wp:extent cx="4367212" cy="592455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
                      <a:extLst>
                        <a:ext uri="{28A0092B-C50C-407E-A947-70E740481C1C}">
                          <a14:useLocalDpi xmlns:a14="http://schemas.microsoft.com/office/drawing/2010/main" val="0"/>
                        </a:ext>
                      </a:extLst>
                    </a:blip>
                    <a:srcRect l="6238" t="5307" r="10850" b="7821"/>
                    <a:stretch/>
                  </pic:blipFill>
                  <pic:spPr bwMode="auto">
                    <a:xfrm>
                      <a:off x="0" y="0"/>
                      <a:ext cx="4367212" cy="5924550"/>
                    </a:xfrm>
                    <a:prstGeom prst="rect">
                      <a:avLst/>
                    </a:prstGeom>
                    <a:noFill/>
                    <a:ln>
                      <a:noFill/>
                    </a:ln>
                    <a:extLst>
                      <a:ext uri="{53640926-AAD7-44D8-BBD7-CCE9431645EC}">
                        <a14:shadowObscured xmlns:a14="http://schemas.microsoft.com/office/drawing/2010/main"/>
                      </a:ext>
                    </a:extLst>
                  </pic:spPr>
                </pic:pic>
              </a:graphicData>
            </a:graphic>
          </wp:inline>
        </w:drawing>
      </w:r>
    </w:p>
    <w:p w14:paraId="43A546C3" w14:textId="77777777" w:rsidR="00931D84" w:rsidRDefault="00931D84" w:rsidP="00931D84">
      <w:pPr>
        <w:rPr>
          <w:rFonts w:ascii="Times New Roman" w:hAnsi="Times New Roman" w:cs="Times New Roman"/>
          <w:b/>
          <w:noProof/>
          <w:sz w:val="24"/>
          <w:szCs w:val="24"/>
        </w:rPr>
      </w:pPr>
      <w:r w:rsidRPr="00931D84">
        <w:rPr>
          <w:rFonts w:ascii="Times New Roman" w:eastAsia="等线" w:hAnsi="Times New Roman" w:cs="Times New Roman"/>
          <w:b/>
          <w:color w:val="000000" w:themeColor="text1"/>
          <w:szCs w:val="21"/>
        </w:rPr>
        <w:t xml:space="preserve">Figure S2: The relationship between mitogenome size and total repeat length and count in 14 Fabaceae mitogenomes. </w:t>
      </w:r>
      <w:r w:rsidRPr="00931D84">
        <w:rPr>
          <w:rFonts w:ascii="Times New Roman" w:eastAsia="等线" w:hAnsi="Times New Roman" w:cs="Times New Roman"/>
          <w:bCs/>
          <w:color w:val="000000" w:themeColor="text1"/>
          <w:szCs w:val="21"/>
        </w:rPr>
        <w:t>The repeats were divided into six types: all repeats (a, g); repeat length &lt;100 bp (b, h); 100 bp ≤</w:t>
      </w:r>
      <w:r w:rsidRPr="00931D84">
        <w:rPr>
          <w:rFonts w:ascii="Times New Roman" w:eastAsia="等线" w:hAnsi="Times New Roman" w:cs="Times New Roman" w:hint="eastAsia"/>
          <w:bCs/>
          <w:color w:val="000000" w:themeColor="text1"/>
          <w:szCs w:val="21"/>
        </w:rPr>
        <w:t xml:space="preserve"> </w:t>
      </w:r>
      <w:r w:rsidRPr="00931D84">
        <w:rPr>
          <w:rFonts w:ascii="Times New Roman" w:eastAsia="等线" w:hAnsi="Times New Roman" w:cs="Times New Roman"/>
          <w:bCs/>
          <w:color w:val="000000" w:themeColor="text1"/>
          <w:szCs w:val="21"/>
        </w:rPr>
        <w:t xml:space="preserve">repeat length ≤ 500 bp (c, i); 500 &lt; repeat length ≤ 1,000 bp (d, j); length &gt;1,000 bp (e, k); and repeat length ≤500 bp (f, l). The linear regression equation is displayed with adjusted R-square and </w:t>
      </w:r>
      <w:r w:rsidRPr="00931D84">
        <w:rPr>
          <w:rFonts w:ascii="Times New Roman" w:eastAsia="等线" w:hAnsi="Times New Roman" w:cs="Times New Roman"/>
          <w:bCs/>
          <w:i/>
          <w:iCs/>
          <w:color w:val="000000" w:themeColor="text1"/>
          <w:szCs w:val="21"/>
        </w:rPr>
        <w:t>P</w:t>
      </w:r>
      <w:r w:rsidRPr="00931D84">
        <w:rPr>
          <w:rFonts w:ascii="Times New Roman" w:eastAsia="等线" w:hAnsi="Times New Roman" w:cs="Times New Roman"/>
          <w:bCs/>
          <w:color w:val="000000" w:themeColor="text1"/>
          <w:szCs w:val="21"/>
        </w:rPr>
        <w:t>-value.</w:t>
      </w:r>
    </w:p>
    <w:p w14:paraId="38B871AA" w14:textId="2B1444EF" w:rsidR="001B50ED" w:rsidRPr="00CE3452" w:rsidRDefault="008006C5" w:rsidP="00437667">
      <w:pPr>
        <w:jc w:val="center"/>
        <w:rPr>
          <w:rFonts w:ascii="Times New Roman" w:hAnsi="Times New Roman" w:cs="Times New Roman"/>
          <w:b/>
          <w:sz w:val="24"/>
          <w:szCs w:val="24"/>
        </w:rPr>
      </w:pPr>
      <w:r>
        <w:rPr>
          <w:rFonts w:ascii="Times New Roman" w:hAnsi="Times New Roman" w:cs="Times New Roman"/>
          <w:b/>
          <w:noProof/>
          <w:sz w:val="24"/>
          <w:szCs w:val="24"/>
        </w:rPr>
        <w:lastRenderedPageBreak/>
        <w:drawing>
          <wp:inline distT="0" distB="0" distL="0" distR="0" wp14:anchorId="43406D5D" wp14:editId="259043FD">
            <wp:extent cx="4395550" cy="5981382"/>
            <wp:effectExtent l="0" t="0" r="5080" b="63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
                      <a:extLst>
                        <a:ext uri="{28A0092B-C50C-407E-A947-70E740481C1C}">
                          <a14:useLocalDpi xmlns:a14="http://schemas.microsoft.com/office/drawing/2010/main" val="0"/>
                        </a:ext>
                      </a:extLst>
                    </a:blip>
                    <a:srcRect l="5515" t="4399" r="11030" b="7892"/>
                    <a:stretch/>
                  </pic:blipFill>
                  <pic:spPr bwMode="auto">
                    <a:xfrm>
                      <a:off x="0" y="0"/>
                      <a:ext cx="4395773" cy="5981685"/>
                    </a:xfrm>
                    <a:prstGeom prst="rect">
                      <a:avLst/>
                    </a:prstGeom>
                    <a:noFill/>
                    <a:ln>
                      <a:noFill/>
                    </a:ln>
                    <a:extLst>
                      <a:ext uri="{53640926-AAD7-44D8-BBD7-CCE9431645EC}">
                        <a14:shadowObscured xmlns:a14="http://schemas.microsoft.com/office/drawing/2010/main"/>
                      </a:ext>
                    </a:extLst>
                  </pic:spPr>
                </pic:pic>
              </a:graphicData>
            </a:graphic>
          </wp:inline>
        </w:drawing>
      </w:r>
    </w:p>
    <w:p w14:paraId="752EECE1" w14:textId="77777777" w:rsidR="00931D84" w:rsidRPr="00931D84" w:rsidRDefault="00931D84" w:rsidP="009C5424">
      <w:pPr>
        <w:rPr>
          <w:rFonts w:ascii="Times New Roman" w:eastAsia="等线" w:hAnsi="Times New Roman" w:cs="Times New Roman"/>
          <w:bCs/>
          <w:szCs w:val="21"/>
        </w:rPr>
      </w:pPr>
      <w:r w:rsidRPr="00931D84">
        <w:rPr>
          <w:rFonts w:ascii="Times New Roman" w:eastAsia="等线" w:hAnsi="Times New Roman" w:cs="Times New Roman"/>
          <w:b/>
          <w:bCs/>
          <w:color w:val="000000" w:themeColor="text1"/>
          <w:szCs w:val="21"/>
        </w:rPr>
        <w:t xml:space="preserve">Figure S3: The relationship between mitogenome size and total repeat length and count in 88 seed plants. </w:t>
      </w:r>
      <w:r w:rsidRPr="00931D84">
        <w:rPr>
          <w:rFonts w:ascii="Times New Roman" w:eastAsia="等线" w:hAnsi="Times New Roman" w:cs="Times New Roman"/>
          <w:bCs/>
          <w:color w:val="000000" w:themeColor="text1"/>
          <w:szCs w:val="21"/>
        </w:rPr>
        <w:t xml:space="preserve">The repeats were divided into six types: all repeats (a, g); repeat length &lt;100 bp (b, h); 100 bp ≤ repeat length ≤ 500 bp (c, i); 500 &lt; repeat length ≤ 1,000 bp (d, j); repeat length &gt;1,000 bp (e, k); and repeat length ≤500 bp (f, l). The linear regression equation is displayed with adjusted R-square and </w:t>
      </w:r>
      <w:r w:rsidRPr="00931D84">
        <w:rPr>
          <w:rFonts w:ascii="Times New Roman" w:eastAsia="等线" w:hAnsi="Times New Roman" w:cs="Times New Roman"/>
          <w:bCs/>
          <w:i/>
          <w:iCs/>
          <w:color w:val="000000" w:themeColor="text1"/>
          <w:szCs w:val="21"/>
        </w:rPr>
        <w:t>P</w:t>
      </w:r>
      <w:r w:rsidRPr="00931D84">
        <w:rPr>
          <w:rFonts w:ascii="Times New Roman" w:eastAsia="等线" w:hAnsi="Times New Roman" w:cs="Times New Roman"/>
          <w:bCs/>
          <w:color w:val="000000" w:themeColor="text1"/>
          <w:szCs w:val="21"/>
        </w:rPr>
        <w:t>-value.</w:t>
      </w:r>
      <w:r w:rsidR="009C5424" w:rsidRPr="00931D84">
        <w:rPr>
          <w:rFonts w:ascii="Times New Roman" w:eastAsia="等线" w:hAnsi="Times New Roman" w:cs="Times New Roman"/>
          <w:bCs/>
          <w:szCs w:val="21"/>
        </w:rPr>
        <w:t xml:space="preserve"> </w:t>
      </w:r>
    </w:p>
    <w:p w14:paraId="7635D1B6" w14:textId="6B59F593" w:rsidR="00F175DF" w:rsidRPr="00CE3452" w:rsidRDefault="00BD05C5" w:rsidP="009C5424">
      <w:pPr>
        <w:rPr>
          <w:rFonts w:ascii="Times New Roman" w:hAnsi="Times New Roman" w:cs="Times New Roman"/>
          <w:sz w:val="24"/>
          <w:szCs w:val="24"/>
        </w:rPr>
      </w:pPr>
      <w:r>
        <w:rPr>
          <w:noProof/>
        </w:rPr>
        <w:lastRenderedPageBreak/>
        <w:drawing>
          <wp:inline distT="0" distB="0" distL="0" distR="0" wp14:anchorId="20AD220D" wp14:editId="786AE54D">
            <wp:extent cx="4322037" cy="2922815"/>
            <wp:effectExtent l="0" t="0" r="254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389266" cy="2968279"/>
                    </a:xfrm>
                    <a:prstGeom prst="rect">
                      <a:avLst/>
                    </a:prstGeom>
                  </pic:spPr>
                </pic:pic>
              </a:graphicData>
            </a:graphic>
          </wp:inline>
        </w:drawing>
      </w:r>
    </w:p>
    <w:p w14:paraId="658153A4" w14:textId="4FC25D10" w:rsidR="00092AF8" w:rsidRDefault="00A068E9" w:rsidP="00CE3452">
      <w:pPr>
        <w:rPr>
          <w:rFonts w:ascii="Times New Roman" w:hAnsi="Times New Roman" w:cs="Times New Roman"/>
          <w:b/>
          <w:szCs w:val="21"/>
        </w:rPr>
      </w:pPr>
      <w:r w:rsidRPr="00A068E9">
        <w:rPr>
          <w:rFonts w:ascii="Times New Roman" w:hAnsi="Times New Roman" w:cs="Times New Roman"/>
          <w:b/>
          <w:szCs w:val="21"/>
        </w:rPr>
        <w:t>Figure S4: The distribution of repeat count (a) and total repeat length (b) of 50 seed plant mitogenomes with genome sizes ranging from 271.60 to 525.67 kb.</w:t>
      </w:r>
    </w:p>
    <w:p w14:paraId="6E790EA5" w14:textId="77777777" w:rsidR="00A068E9" w:rsidRPr="00F175DF" w:rsidRDefault="00A068E9" w:rsidP="00CE3452">
      <w:pPr>
        <w:rPr>
          <w:noProof/>
          <w:sz w:val="24"/>
          <w:szCs w:val="28"/>
        </w:rPr>
      </w:pPr>
    </w:p>
    <w:p w14:paraId="0D1DEA0B" w14:textId="600EEE02" w:rsidR="001D44E3" w:rsidRPr="00CE3452" w:rsidRDefault="00D2345E" w:rsidP="00CE3452">
      <w:pPr>
        <w:jc w:val="center"/>
        <w:rPr>
          <w:rFonts w:ascii="Times New Roman" w:hAnsi="Times New Roman" w:cs="Times New Roman"/>
          <w:bCs/>
          <w:sz w:val="24"/>
          <w:szCs w:val="24"/>
        </w:rPr>
      </w:pPr>
      <w:r>
        <w:rPr>
          <w:noProof/>
        </w:rPr>
        <w:drawing>
          <wp:inline distT="0" distB="0" distL="0" distR="0" wp14:anchorId="37CDB478" wp14:editId="129185D9">
            <wp:extent cx="4516967" cy="3573984"/>
            <wp:effectExtent l="0" t="0" r="0" b="762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519180" cy="3575735"/>
                    </a:xfrm>
                    <a:prstGeom prst="rect">
                      <a:avLst/>
                    </a:prstGeom>
                  </pic:spPr>
                </pic:pic>
              </a:graphicData>
            </a:graphic>
          </wp:inline>
        </w:drawing>
      </w:r>
    </w:p>
    <w:p w14:paraId="74D32487" w14:textId="77777777" w:rsidR="00A068E9" w:rsidRPr="00A068E9" w:rsidRDefault="00A068E9" w:rsidP="00A068E9">
      <w:pPr>
        <w:rPr>
          <w:rFonts w:ascii="Times New Roman" w:eastAsia="等线" w:hAnsi="Times New Roman" w:cs="Times New Roman"/>
          <w:bCs/>
          <w:color w:val="000000" w:themeColor="text1"/>
          <w:szCs w:val="21"/>
        </w:rPr>
      </w:pPr>
      <w:r w:rsidRPr="00A068E9">
        <w:rPr>
          <w:rFonts w:ascii="Times New Roman" w:eastAsia="等线" w:hAnsi="Times New Roman" w:cs="Times New Roman"/>
          <w:b/>
          <w:color w:val="000000" w:themeColor="text1"/>
          <w:szCs w:val="21"/>
        </w:rPr>
        <w:t xml:space="preserve">Figure S5: The rearrangement rate estimated using tree-based methods in </w:t>
      </w:r>
      <w:r w:rsidRPr="00A068E9">
        <w:rPr>
          <w:rFonts w:ascii="Times New Roman" w:eastAsia="等线" w:hAnsi="Times New Roman" w:cs="Times New Roman"/>
          <w:b/>
          <w:i/>
          <w:iCs/>
          <w:color w:val="000000" w:themeColor="text1"/>
          <w:szCs w:val="21"/>
        </w:rPr>
        <w:t>Malus</w:t>
      </w:r>
      <w:r w:rsidRPr="00A068E9">
        <w:rPr>
          <w:rFonts w:ascii="Times New Roman" w:eastAsia="等线" w:hAnsi="Times New Roman" w:cs="Times New Roman"/>
          <w:b/>
          <w:color w:val="000000" w:themeColor="text1"/>
          <w:szCs w:val="21"/>
        </w:rPr>
        <w:t xml:space="preserve"> (a),</w:t>
      </w:r>
      <w:r w:rsidRPr="00A068E9">
        <w:rPr>
          <w:rFonts w:ascii="Times New Roman" w:eastAsia="等线" w:hAnsi="Times New Roman" w:cs="Times New Roman"/>
          <w:b/>
          <w:i/>
          <w:iCs/>
          <w:color w:val="000000" w:themeColor="text1"/>
          <w:szCs w:val="21"/>
        </w:rPr>
        <w:t xml:space="preserve"> Pyrus</w:t>
      </w:r>
      <w:r w:rsidRPr="00A068E9">
        <w:rPr>
          <w:rFonts w:ascii="Times New Roman" w:eastAsia="等线" w:hAnsi="Times New Roman" w:cs="Times New Roman"/>
          <w:b/>
          <w:color w:val="000000" w:themeColor="text1"/>
          <w:szCs w:val="21"/>
        </w:rPr>
        <w:t xml:space="preserve"> (b),</w:t>
      </w:r>
      <w:r w:rsidRPr="00A068E9">
        <w:rPr>
          <w:rFonts w:ascii="Times New Roman" w:eastAsia="等线" w:hAnsi="Times New Roman" w:cs="Times New Roman"/>
          <w:b/>
          <w:i/>
          <w:iCs/>
          <w:color w:val="000000" w:themeColor="text1"/>
          <w:szCs w:val="21"/>
        </w:rPr>
        <w:t xml:space="preserve"> Prunus</w:t>
      </w:r>
      <w:r w:rsidRPr="00A068E9">
        <w:rPr>
          <w:rFonts w:ascii="Times New Roman" w:eastAsia="等线" w:hAnsi="Times New Roman" w:cs="Times New Roman"/>
          <w:b/>
          <w:color w:val="000000" w:themeColor="text1"/>
          <w:szCs w:val="21"/>
        </w:rPr>
        <w:t xml:space="preserve"> (c) and </w:t>
      </w:r>
      <w:r w:rsidRPr="00A068E9">
        <w:rPr>
          <w:rFonts w:ascii="Times New Roman" w:eastAsia="等线" w:hAnsi="Times New Roman" w:cs="Times New Roman"/>
          <w:b/>
          <w:i/>
          <w:iCs/>
          <w:color w:val="000000" w:themeColor="text1"/>
          <w:szCs w:val="21"/>
        </w:rPr>
        <w:t>Fragaria</w:t>
      </w:r>
      <w:r w:rsidRPr="00A068E9">
        <w:rPr>
          <w:rFonts w:ascii="Times New Roman" w:eastAsia="等线" w:hAnsi="Times New Roman" w:cs="Times New Roman"/>
          <w:b/>
          <w:color w:val="000000" w:themeColor="text1"/>
          <w:szCs w:val="21"/>
        </w:rPr>
        <w:t xml:space="preserve"> (d). </w:t>
      </w:r>
      <w:r w:rsidRPr="00A068E9">
        <w:rPr>
          <w:rFonts w:ascii="Times New Roman" w:eastAsia="等线" w:hAnsi="Times New Roman" w:cs="Times New Roman"/>
          <w:bCs/>
          <w:color w:val="000000" w:themeColor="text1"/>
          <w:szCs w:val="21"/>
        </w:rPr>
        <w:t>Red numbers on the branches represent rearrangement events and rates (rearrangement events per million years), respectively. Yellow triangles represent the varieties within specie, and the rearrangement events and rates are calculated between species and neighboring nodes. The blue bar indicates the 95% highest posterior densities.</w:t>
      </w:r>
    </w:p>
    <w:p w14:paraId="424DCCA4" w14:textId="02CFB158" w:rsidR="00DA27E9" w:rsidRPr="00CE3452" w:rsidRDefault="00414AD5" w:rsidP="00CE3452">
      <w:pPr>
        <w:jc w:val="center"/>
        <w:rPr>
          <w:rFonts w:ascii="Times New Roman" w:hAnsi="Times New Roman" w:cs="Times New Roman"/>
          <w:bCs/>
          <w:sz w:val="24"/>
          <w:szCs w:val="24"/>
        </w:rPr>
      </w:pPr>
      <w:r w:rsidRPr="00CE3452">
        <w:rPr>
          <w:noProof/>
          <w:sz w:val="24"/>
          <w:szCs w:val="28"/>
        </w:rPr>
        <w:lastRenderedPageBreak/>
        <w:drawing>
          <wp:inline distT="0" distB="0" distL="0" distR="0" wp14:anchorId="345D7AA0" wp14:editId="1F0578A2">
            <wp:extent cx="5112932" cy="4098471"/>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155603" cy="4132675"/>
                    </a:xfrm>
                    <a:prstGeom prst="rect">
                      <a:avLst/>
                    </a:prstGeom>
                  </pic:spPr>
                </pic:pic>
              </a:graphicData>
            </a:graphic>
          </wp:inline>
        </w:drawing>
      </w:r>
    </w:p>
    <w:p w14:paraId="08F2FE43" w14:textId="4A1C2A56" w:rsidR="0080639E" w:rsidRPr="00281107" w:rsidRDefault="00281107" w:rsidP="00CE3452">
      <w:pPr>
        <w:rPr>
          <w:rFonts w:ascii="Times New Roman" w:hAnsi="Times New Roman" w:cs="Times New Roman"/>
          <w:bCs/>
          <w:sz w:val="32"/>
          <w:szCs w:val="32"/>
        </w:rPr>
      </w:pPr>
      <w:r w:rsidRPr="00281107">
        <w:rPr>
          <w:rFonts w:ascii="Times New Roman" w:eastAsia="等线" w:hAnsi="Times New Roman" w:cs="Times New Roman"/>
          <w:b/>
          <w:iCs/>
          <w:color w:val="000000" w:themeColor="text1"/>
          <w:szCs w:val="21"/>
        </w:rPr>
        <w:t xml:space="preserve">Figure S6: The mapping depth and distribution analysis of 116 apple accessions. </w:t>
      </w:r>
      <w:r w:rsidRPr="00281107">
        <w:rPr>
          <w:rFonts w:ascii="Times New Roman" w:eastAsia="等线" w:hAnsi="Times New Roman" w:cs="Times New Roman"/>
          <w:bCs/>
          <w:iCs/>
          <w:color w:val="000000" w:themeColor="text1"/>
          <w:szCs w:val="21"/>
        </w:rPr>
        <w:t xml:space="preserve">(a) The mapping depth of 116 apple accessions. The NGS reads are mapped to the </w:t>
      </w:r>
      <w:r w:rsidRPr="00281107">
        <w:rPr>
          <w:rFonts w:ascii="Times New Roman" w:eastAsia="等线" w:hAnsi="Times New Roman" w:cs="Times New Roman"/>
          <w:bCs/>
          <w:i/>
          <w:color w:val="000000" w:themeColor="text1"/>
          <w:szCs w:val="21"/>
        </w:rPr>
        <w:t>Malus domestica</w:t>
      </w:r>
      <w:r w:rsidRPr="00281107">
        <w:rPr>
          <w:rFonts w:ascii="Times New Roman" w:eastAsia="等线" w:hAnsi="Times New Roman" w:cs="Times New Roman"/>
          <w:bCs/>
          <w:iCs/>
          <w:color w:val="000000" w:themeColor="text1"/>
          <w:szCs w:val="21"/>
        </w:rPr>
        <w:t xml:space="preserve"> </w:t>
      </w:r>
      <w:r w:rsidRPr="00281107">
        <w:rPr>
          <w:rFonts w:ascii="Times New Roman" w:hAnsi="Times New Roman" w:cs="Times New Roman"/>
          <w:szCs w:val="21"/>
        </w:rPr>
        <w:t>cv.</w:t>
      </w:r>
      <w:r w:rsidRPr="00281107">
        <w:rPr>
          <w:rFonts w:ascii="Times New Roman" w:eastAsia="等线" w:hAnsi="Times New Roman" w:cs="Times New Roman"/>
          <w:bCs/>
          <w:iCs/>
          <w:color w:val="000000" w:themeColor="text1"/>
          <w:szCs w:val="21"/>
        </w:rPr>
        <w:t xml:space="preserve"> ‘Gala’ (Mdom-G) mitogenome. A ratio of Idep divided by Wdep was used to evaluate the mapping results, and the ratio was further normalized using the z-score method. Orange: high mt read mapping depth, blue: low mt read mapping depth. AW: Asian wild apples; EW: European wild apples; Sie: </w:t>
      </w:r>
      <w:r w:rsidRPr="00281107">
        <w:rPr>
          <w:rFonts w:ascii="Times New Roman" w:eastAsia="等线" w:hAnsi="Times New Roman" w:cs="Times New Roman"/>
          <w:bCs/>
          <w:i/>
          <w:color w:val="000000" w:themeColor="text1"/>
          <w:szCs w:val="21"/>
        </w:rPr>
        <w:t>Malus sieversii</w:t>
      </w:r>
      <w:r w:rsidRPr="00281107">
        <w:rPr>
          <w:rFonts w:ascii="Times New Roman" w:eastAsia="等线" w:hAnsi="Times New Roman" w:cs="Times New Roman"/>
          <w:bCs/>
          <w:iCs/>
          <w:color w:val="000000" w:themeColor="text1"/>
          <w:szCs w:val="21"/>
        </w:rPr>
        <w:t xml:space="preserve">; Dom: </w:t>
      </w:r>
      <w:r w:rsidRPr="00281107">
        <w:rPr>
          <w:rFonts w:ascii="Times New Roman" w:eastAsia="等线" w:hAnsi="Times New Roman" w:cs="Times New Roman"/>
          <w:bCs/>
          <w:i/>
          <w:color w:val="000000" w:themeColor="text1"/>
          <w:szCs w:val="21"/>
        </w:rPr>
        <w:t>Malus domestica</w:t>
      </w:r>
      <w:r w:rsidRPr="00281107">
        <w:rPr>
          <w:rFonts w:ascii="Times New Roman" w:eastAsia="等线" w:hAnsi="Times New Roman" w:cs="Times New Roman"/>
          <w:bCs/>
          <w:iCs/>
          <w:color w:val="000000" w:themeColor="text1"/>
          <w:szCs w:val="21"/>
        </w:rPr>
        <w:t xml:space="preserve">. (b) Distribution analysis of apple mitogenomes. Main distribution areas are marked by circles. Blue: apples containing the deletion (Del), red: apple not containing this deletion. Triangles represent wild apple and circles represents cultivated apple. Dom: </w:t>
      </w:r>
      <w:r w:rsidRPr="00281107">
        <w:rPr>
          <w:rFonts w:ascii="Times New Roman" w:eastAsia="等线" w:hAnsi="Times New Roman" w:cs="Times New Roman"/>
          <w:bCs/>
          <w:i/>
          <w:color w:val="000000" w:themeColor="text1"/>
          <w:szCs w:val="21"/>
        </w:rPr>
        <w:t>Malus domestica</w:t>
      </w:r>
      <w:r w:rsidRPr="00281107">
        <w:rPr>
          <w:rFonts w:ascii="Times New Roman" w:eastAsia="等线" w:hAnsi="Times New Roman" w:cs="Times New Roman"/>
          <w:bCs/>
          <w:iCs/>
          <w:color w:val="000000" w:themeColor="text1"/>
          <w:szCs w:val="21"/>
        </w:rPr>
        <w:t xml:space="preserve">; Syl: </w:t>
      </w:r>
      <w:r w:rsidRPr="00281107">
        <w:rPr>
          <w:rFonts w:ascii="Times New Roman" w:eastAsia="等线" w:hAnsi="Times New Roman" w:cs="Times New Roman"/>
          <w:bCs/>
          <w:i/>
          <w:color w:val="000000" w:themeColor="text1"/>
          <w:szCs w:val="21"/>
        </w:rPr>
        <w:t>Malus sylvestris</w:t>
      </w:r>
      <w:r w:rsidRPr="00281107">
        <w:rPr>
          <w:rFonts w:ascii="Times New Roman" w:eastAsia="等线" w:hAnsi="Times New Roman" w:cs="Times New Roman"/>
          <w:bCs/>
          <w:iCs/>
          <w:color w:val="000000" w:themeColor="text1"/>
          <w:szCs w:val="21"/>
        </w:rPr>
        <w:t xml:space="preserve">; Sie_K: </w:t>
      </w:r>
      <w:r w:rsidRPr="00281107">
        <w:rPr>
          <w:rFonts w:ascii="Times New Roman" w:eastAsia="等线" w:hAnsi="Times New Roman" w:cs="Times New Roman"/>
          <w:bCs/>
          <w:i/>
          <w:color w:val="000000" w:themeColor="text1"/>
          <w:szCs w:val="21"/>
        </w:rPr>
        <w:t>Malus sieversii</w:t>
      </w:r>
      <w:r w:rsidRPr="00281107">
        <w:rPr>
          <w:rFonts w:ascii="Times New Roman" w:eastAsia="等线" w:hAnsi="Times New Roman" w:cs="Times New Roman"/>
          <w:bCs/>
          <w:iCs/>
          <w:color w:val="000000" w:themeColor="text1"/>
          <w:szCs w:val="21"/>
        </w:rPr>
        <w:t xml:space="preserve"> in west of TianShan; Sie_X: </w:t>
      </w:r>
      <w:r w:rsidRPr="00281107">
        <w:rPr>
          <w:rFonts w:ascii="Times New Roman" w:eastAsia="等线" w:hAnsi="Times New Roman" w:cs="Times New Roman"/>
          <w:bCs/>
          <w:i/>
          <w:color w:val="000000" w:themeColor="text1"/>
          <w:szCs w:val="21"/>
        </w:rPr>
        <w:t xml:space="preserve">Malus sieversii </w:t>
      </w:r>
      <w:r w:rsidRPr="00281107">
        <w:rPr>
          <w:rFonts w:ascii="Times New Roman" w:eastAsia="等线" w:hAnsi="Times New Roman" w:cs="Times New Roman"/>
          <w:bCs/>
          <w:iCs/>
          <w:color w:val="000000" w:themeColor="text1"/>
          <w:szCs w:val="21"/>
        </w:rPr>
        <w:t xml:space="preserve">in east of TianShan; Bac: </w:t>
      </w:r>
      <w:r w:rsidRPr="00281107">
        <w:rPr>
          <w:rFonts w:ascii="Times New Roman" w:eastAsia="等线" w:hAnsi="Times New Roman" w:cs="Times New Roman"/>
          <w:bCs/>
          <w:i/>
          <w:color w:val="000000" w:themeColor="text1"/>
          <w:szCs w:val="21"/>
        </w:rPr>
        <w:t>Malus baccata</w:t>
      </w:r>
      <w:r w:rsidRPr="00281107">
        <w:rPr>
          <w:rFonts w:ascii="Times New Roman" w:eastAsia="等线" w:hAnsi="Times New Roman" w:cs="Times New Roman"/>
          <w:bCs/>
          <w:iCs/>
          <w:color w:val="000000" w:themeColor="text1"/>
          <w:szCs w:val="21"/>
        </w:rPr>
        <w:t xml:space="preserve">; Asi: </w:t>
      </w:r>
      <w:r w:rsidRPr="00281107">
        <w:rPr>
          <w:rFonts w:ascii="Times New Roman" w:eastAsia="等线" w:hAnsi="Times New Roman" w:cs="Times New Roman"/>
          <w:bCs/>
          <w:i/>
          <w:color w:val="000000" w:themeColor="text1"/>
          <w:szCs w:val="21"/>
        </w:rPr>
        <w:t>Malus Asiatica</w:t>
      </w:r>
      <w:r w:rsidRPr="00281107">
        <w:rPr>
          <w:rFonts w:ascii="Times New Roman" w:eastAsia="等线" w:hAnsi="Times New Roman" w:cs="Times New Roman"/>
          <w:bCs/>
          <w:iCs/>
          <w:color w:val="000000" w:themeColor="text1"/>
          <w:szCs w:val="21"/>
        </w:rPr>
        <w:t xml:space="preserve">; Hup: </w:t>
      </w:r>
      <w:r w:rsidRPr="00281107">
        <w:rPr>
          <w:rFonts w:ascii="Times New Roman" w:eastAsia="等线" w:hAnsi="Times New Roman" w:cs="Times New Roman"/>
          <w:bCs/>
          <w:i/>
          <w:color w:val="000000" w:themeColor="text1"/>
          <w:szCs w:val="21"/>
        </w:rPr>
        <w:t>Malus hupehensis</w:t>
      </w:r>
      <w:r w:rsidRPr="00281107">
        <w:rPr>
          <w:rFonts w:ascii="Times New Roman" w:eastAsia="等线" w:hAnsi="Times New Roman" w:cs="Times New Roman"/>
          <w:bCs/>
          <w:iCs/>
          <w:color w:val="000000" w:themeColor="text1"/>
          <w:szCs w:val="21"/>
        </w:rPr>
        <w:t>.</w:t>
      </w:r>
    </w:p>
    <w:p w14:paraId="32478FB6" w14:textId="444570CD" w:rsidR="003E07CB" w:rsidRPr="00CE3452" w:rsidRDefault="00AA61A9" w:rsidP="003E07CB">
      <w:pPr>
        <w:jc w:val="center"/>
        <w:rPr>
          <w:rFonts w:ascii="Times New Roman" w:hAnsi="Times New Roman" w:cs="Times New Roman"/>
          <w:bCs/>
          <w:iCs/>
          <w:sz w:val="24"/>
          <w:szCs w:val="24"/>
        </w:rPr>
      </w:pPr>
      <w:bookmarkStart w:id="1" w:name="_Hlk104043500"/>
      <w:r>
        <w:rPr>
          <w:noProof/>
        </w:rPr>
        <w:lastRenderedPageBreak/>
        <w:drawing>
          <wp:inline distT="0" distB="0" distL="0" distR="0" wp14:anchorId="37052F95" wp14:editId="72D7EDBB">
            <wp:extent cx="3444347" cy="4974523"/>
            <wp:effectExtent l="0" t="0" r="381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452324" cy="4986044"/>
                    </a:xfrm>
                    <a:prstGeom prst="rect">
                      <a:avLst/>
                    </a:prstGeom>
                  </pic:spPr>
                </pic:pic>
              </a:graphicData>
            </a:graphic>
          </wp:inline>
        </w:drawing>
      </w:r>
    </w:p>
    <w:bookmarkEnd w:id="1"/>
    <w:p w14:paraId="4B184634" w14:textId="77777777" w:rsidR="00BD506F" w:rsidRPr="00BD506F" w:rsidRDefault="00BD506F" w:rsidP="00BD506F">
      <w:pPr>
        <w:spacing w:after="160" w:line="259" w:lineRule="auto"/>
        <w:rPr>
          <w:rFonts w:ascii="Times New Roman" w:eastAsia="等线" w:hAnsi="Times New Roman" w:cs="Times New Roman"/>
          <w:bCs/>
          <w:color w:val="000000"/>
          <w:sz w:val="24"/>
          <w:szCs w:val="24"/>
        </w:rPr>
      </w:pPr>
      <w:r w:rsidRPr="00BD506F">
        <w:rPr>
          <w:rFonts w:ascii="Times New Roman" w:eastAsia="等线" w:hAnsi="Times New Roman" w:cs="Times New Roman"/>
          <w:b/>
          <w:iCs/>
          <w:color w:val="000000"/>
          <w:szCs w:val="21"/>
        </w:rPr>
        <w:t>Figure S7:</w:t>
      </w:r>
      <w:r w:rsidRPr="00BD506F">
        <w:rPr>
          <w:rFonts w:ascii="Times New Roman" w:eastAsia="等线" w:hAnsi="Times New Roman" w:cs="Times New Roman"/>
          <w:bCs/>
          <w:iCs/>
          <w:color w:val="000000"/>
          <w:szCs w:val="21"/>
        </w:rPr>
        <w:t xml:space="preserve"> </w:t>
      </w:r>
      <w:r w:rsidRPr="00BD506F">
        <w:rPr>
          <w:rFonts w:ascii="Times New Roman" w:eastAsia="等线" w:hAnsi="Times New Roman" w:cs="Times New Roman"/>
          <w:b/>
          <w:iCs/>
          <w:color w:val="000000"/>
          <w:szCs w:val="21"/>
        </w:rPr>
        <w:t>Flow chart for repeat recombination analysis.</w:t>
      </w:r>
      <w:r w:rsidRPr="00BD506F">
        <w:rPr>
          <w:rFonts w:ascii="Times New Roman" w:eastAsia="等线" w:hAnsi="Times New Roman" w:cs="Times New Roman"/>
          <w:bCs/>
          <w:iCs/>
          <w:color w:val="000000"/>
          <w:szCs w:val="21"/>
        </w:rPr>
        <w:t xml:space="preserve"> </w:t>
      </w:r>
      <w:r w:rsidRPr="00BD506F">
        <w:rPr>
          <w:rFonts w:ascii="Times New Roman" w:eastAsia="宋体" w:hAnsi="Times New Roman" w:cs="Times New Roman"/>
          <w:bCs/>
          <w:iCs/>
          <w:color w:val="000000"/>
          <w:szCs w:val="21"/>
        </w:rPr>
        <w:t>(a)</w:t>
      </w:r>
      <w:r w:rsidRPr="00BD506F">
        <w:rPr>
          <w:rFonts w:ascii="Times New Roman" w:eastAsia="等线" w:hAnsi="Times New Roman" w:cs="Times New Roman"/>
          <w:bCs/>
          <w:iCs/>
          <w:color w:val="000000"/>
          <w:szCs w:val="21"/>
        </w:rPr>
        <w:t xml:space="preserve"> Recombinant sequence construction. ‘b’ and ‘e’ indicate repeat sequences; ‘a’ and ‘d’ indicate the upstream 200 bp sequences; ‘c’ and ‘f’ indicate the downstream 200 bp sequences. </w:t>
      </w:r>
      <w:r w:rsidRPr="00BD506F">
        <w:rPr>
          <w:rFonts w:ascii="Times New Roman" w:eastAsia="宋体" w:hAnsi="Times New Roman" w:cs="Times New Roman"/>
          <w:bCs/>
          <w:iCs/>
          <w:color w:val="000000"/>
          <w:szCs w:val="21"/>
        </w:rPr>
        <w:t>(b)</w:t>
      </w:r>
      <w:r w:rsidRPr="00BD506F">
        <w:rPr>
          <w:rFonts w:ascii="Times New Roman" w:eastAsia="等线" w:hAnsi="Times New Roman" w:cs="Times New Roman"/>
          <w:bCs/>
          <w:iCs/>
          <w:color w:val="000000"/>
          <w:szCs w:val="21"/>
        </w:rPr>
        <w:t xml:space="preserve"> Mitochondrial reads mapping to reference and recombinant sequences using BLASTN.</w:t>
      </w:r>
      <w:r w:rsidRPr="00BD506F">
        <w:rPr>
          <w:rFonts w:ascii="Times New Roman" w:eastAsia="宋体" w:hAnsi="Times New Roman" w:cs="Times New Roman"/>
          <w:bCs/>
          <w:color w:val="000000"/>
          <w:szCs w:val="21"/>
        </w:rPr>
        <w:t xml:space="preserve"> </w:t>
      </w:r>
      <w:r w:rsidRPr="00BD506F">
        <w:rPr>
          <w:rFonts w:ascii="Times New Roman" w:eastAsia="宋体" w:hAnsi="Times New Roman" w:cs="Times New Roman"/>
          <w:bCs/>
          <w:iCs/>
          <w:color w:val="000000"/>
          <w:szCs w:val="21"/>
        </w:rPr>
        <w:t>(c)</w:t>
      </w:r>
      <w:r w:rsidRPr="00BD506F">
        <w:rPr>
          <w:rFonts w:ascii="Times New Roman" w:eastAsia="等线" w:hAnsi="Times New Roman" w:cs="Times New Roman"/>
          <w:bCs/>
          <w:color w:val="000000"/>
          <w:szCs w:val="21"/>
        </w:rPr>
        <w:t xml:space="preserve"> Recombination frequency calculation.</w:t>
      </w:r>
    </w:p>
    <w:p w14:paraId="6AE9EF3C" w14:textId="29C6CFA2" w:rsidR="001D44E3" w:rsidRPr="00870FBF" w:rsidRDefault="001D44E3" w:rsidP="00BD506F">
      <w:pPr>
        <w:rPr>
          <w:rFonts w:ascii="Times New Roman" w:eastAsia="等线" w:hAnsi="Times New Roman" w:cs="Times New Roman"/>
          <w:bCs/>
          <w:sz w:val="40"/>
          <w:szCs w:val="40"/>
        </w:rPr>
      </w:pPr>
    </w:p>
    <w:sectPr w:rsidR="001D44E3" w:rsidRPr="00870FB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BMC Genomics&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wvw90tz2rwawxe0r0ov0t2ys555afx0fpfw&quot;&gt;书稿&lt;record-ids&gt;&lt;item&gt;512&lt;/item&gt;&lt;/record-ids&gt;&lt;/item&gt;&lt;/Libraries&gt;"/>
  </w:docVars>
  <w:rsids>
    <w:rsidRoot w:val="00F43BB8"/>
    <w:rsid w:val="00034D9A"/>
    <w:rsid w:val="00045C86"/>
    <w:rsid w:val="000819FC"/>
    <w:rsid w:val="000879E4"/>
    <w:rsid w:val="00092AF8"/>
    <w:rsid w:val="00094E67"/>
    <w:rsid w:val="000A3E19"/>
    <w:rsid w:val="000B3A56"/>
    <w:rsid w:val="000C5E3E"/>
    <w:rsid w:val="000E6080"/>
    <w:rsid w:val="000F39DB"/>
    <w:rsid w:val="0011329F"/>
    <w:rsid w:val="001179A4"/>
    <w:rsid w:val="0012080C"/>
    <w:rsid w:val="0012717B"/>
    <w:rsid w:val="0015273C"/>
    <w:rsid w:val="00157797"/>
    <w:rsid w:val="00161415"/>
    <w:rsid w:val="0017325B"/>
    <w:rsid w:val="0017670B"/>
    <w:rsid w:val="00191141"/>
    <w:rsid w:val="001A62D9"/>
    <w:rsid w:val="001B50ED"/>
    <w:rsid w:val="001C67FB"/>
    <w:rsid w:val="001D44E3"/>
    <w:rsid w:val="001F7499"/>
    <w:rsid w:val="00210DCF"/>
    <w:rsid w:val="002373D5"/>
    <w:rsid w:val="00281107"/>
    <w:rsid w:val="00293E2D"/>
    <w:rsid w:val="002B07DB"/>
    <w:rsid w:val="002E2CB2"/>
    <w:rsid w:val="002F77B0"/>
    <w:rsid w:val="003050FA"/>
    <w:rsid w:val="00314E9E"/>
    <w:rsid w:val="00334DC1"/>
    <w:rsid w:val="00334DF9"/>
    <w:rsid w:val="00350E17"/>
    <w:rsid w:val="00352CDC"/>
    <w:rsid w:val="00357218"/>
    <w:rsid w:val="00363E1B"/>
    <w:rsid w:val="00385805"/>
    <w:rsid w:val="0039681E"/>
    <w:rsid w:val="003A410F"/>
    <w:rsid w:val="003B431E"/>
    <w:rsid w:val="003E07CB"/>
    <w:rsid w:val="003F2F2F"/>
    <w:rsid w:val="003F4630"/>
    <w:rsid w:val="00414AD5"/>
    <w:rsid w:val="0042624B"/>
    <w:rsid w:val="00431513"/>
    <w:rsid w:val="00437667"/>
    <w:rsid w:val="00456111"/>
    <w:rsid w:val="0048749A"/>
    <w:rsid w:val="00492E43"/>
    <w:rsid w:val="004A1E06"/>
    <w:rsid w:val="004C0E8A"/>
    <w:rsid w:val="004C23C4"/>
    <w:rsid w:val="004C24C6"/>
    <w:rsid w:val="004C4073"/>
    <w:rsid w:val="004D6368"/>
    <w:rsid w:val="004D7757"/>
    <w:rsid w:val="004E26B5"/>
    <w:rsid w:val="004F2FDB"/>
    <w:rsid w:val="004F70AF"/>
    <w:rsid w:val="00504EF9"/>
    <w:rsid w:val="0054169F"/>
    <w:rsid w:val="00543953"/>
    <w:rsid w:val="00551F1B"/>
    <w:rsid w:val="00565F99"/>
    <w:rsid w:val="005A32B2"/>
    <w:rsid w:val="005A5C97"/>
    <w:rsid w:val="005B5969"/>
    <w:rsid w:val="005E507A"/>
    <w:rsid w:val="006078AD"/>
    <w:rsid w:val="006127E4"/>
    <w:rsid w:val="00617DE9"/>
    <w:rsid w:val="00667AEF"/>
    <w:rsid w:val="00691085"/>
    <w:rsid w:val="00692275"/>
    <w:rsid w:val="006A2720"/>
    <w:rsid w:val="006A7156"/>
    <w:rsid w:val="006C4AC3"/>
    <w:rsid w:val="006D1253"/>
    <w:rsid w:val="006D6B65"/>
    <w:rsid w:val="00717E3C"/>
    <w:rsid w:val="0075387C"/>
    <w:rsid w:val="00757FCE"/>
    <w:rsid w:val="00770F5E"/>
    <w:rsid w:val="007755F8"/>
    <w:rsid w:val="007813ED"/>
    <w:rsid w:val="0078447F"/>
    <w:rsid w:val="0079445E"/>
    <w:rsid w:val="007B2CE6"/>
    <w:rsid w:val="007E0DAC"/>
    <w:rsid w:val="007E2C21"/>
    <w:rsid w:val="008006C5"/>
    <w:rsid w:val="00801302"/>
    <w:rsid w:val="0080639E"/>
    <w:rsid w:val="008156AC"/>
    <w:rsid w:val="00853666"/>
    <w:rsid w:val="0085526A"/>
    <w:rsid w:val="00870FBF"/>
    <w:rsid w:val="008853AE"/>
    <w:rsid w:val="0089270C"/>
    <w:rsid w:val="008937FD"/>
    <w:rsid w:val="00894601"/>
    <w:rsid w:val="008F013C"/>
    <w:rsid w:val="00903533"/>
    <w:rsid w:val="009165D5"/>
    <w:rsid w:val="00931D84"/>
    <w:rsid w:val="00970C38"/>
    <w:rsid w:val="0098279B"/>
    <w:rsid w:val="00990A3E"/>
    <w:rsid w:val="009A59C8"/>
    <w:rsid w:val="009C5424"/>
    <w:rsid w:val="009D219A"/>
    <w:rsid w:val="009E341C"/>
    <w:rsid w:val="009E48DC"/>
    <w:rsid w:val="00A068E9"/>
    <w:rsid w:val="00A31E58"/>
    <w:rsid w:val="00A36F4F"/>
    <w:rsid w:val="00A42513"/>
    <w:rsid w:val="00A578B0"/>
    <w:rsid w:val="00A648A7"/>
    <w:rsid w:val="00AA61A9"/>
    <w:rsid w:val="00AB39C1"/>
    <w:rsid w:val="00AC4916"/>
    <w:rsid w:val="00B23E3D"/>
    <w:rsid w:val="00B469DE"/>
    <w:rsid w:val="00B46BF3"/>
    <w:rsid w:val="00B6371E"/>
    <w:rsid w:val="00B866A5"/>
    <w:rsid w:val="00BA36DE"/>
    <w:rsid w:val="00BB3696"/>
    <w:rsid w:val="00BC3487"/>
    <w:rsid w:val="00BD05C5"/>
    <w:rsid w:val="00BD506F"/>
    <w:rsid w:val="00C072C2"/>
    <w:rsid w:val="00C14933"/>
    <w:rsid w:val="00C34100"/>
    <w:rsid w:val="00C56DF0"/>
    <w:rsid w:val="00C777AA"/>
    <w:rsid w:val="00C825E3"/>
    <w:rsid w:val="00CA7F56"/>
    <w:rsid w:val="00CE3452"/>
    <w:rsid w:val="00D2345E"/>
    <w:rsid w:val="00D255B9"/>
    <w:rsid w:val="00D30AD8"/>
    <w:rsid w:val="00D7096E"/>
    <w:rsid w:val="00D70A91"/>
    <w:rsid w:val="00DA27E9"/>
    <w:rsid w:val="00DA75AA"/>
    <w:rsid w:val="00DB4FE2"/>
    <w:rsid w:val="00DC04AA"/>
    <w:rsid w:val="00DC4D91"/>
    <w:rsid w:val="00DE6858"/>
    <w:rsid w:val="00DF3044"/>
    <w:rsid w:val="00DF522D"/>
    <w:rsid w:val="00E173AC"/>
    <w:rsid w:val="00E21B22"/>
    <w:rsid w:val="00E45E86"/>
    <w:rsid w:val="00E5026E"/>
    <w:rsid w:val="00E50ADF"/>
    <w:rsid w:val="00E5297D"/>
    <w:rsid w:val="00EA7A6C"/>
    <w:rsid w:val="00EE74A1"/>
    <w:rsid w:val="00F175DF"/>
    <w:rsid w:val="00F26E6A"/>
    <w:rsid w:val="00F34223"/>
    <w:rsid w:val="00F43BB8"/>
    <w:rsid w:val="00F61018"/>
    <w:rsid w:val="00F72974"/>
    <w:rsid w:val="00F80F17"/>
    <w:rsid w:val="00FA68D1"/>
    <w:rsid w:val="00FD1C12"/>
    <w:rsid w:val="00FE673B"/>
    <w:rsid w:val="00FF6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A6D5E1"/>
  <w15:chartTrackingRefBased/>
  <w15:docId w15:val="{FA5ECA90-65D2-44BD-8822-B06B8A02D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4169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image" Target="media/image7.png"/><Relationship Id="rId4" Type="http://schemas.openxmlformats.org/officeDocument/2006/relationships/image" Target="media/image1.jpeg"/><Relationship Id="rId9" Type="http://schemas.openxmlformats.org/officeDocument/2006/relationships/image" Target="media/image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473</Words>
  <Characters>2698</Characters>
  <Application>Microsoft Office Word</Application>
  <DocSecurity>0</DocSecurity>
  <Lines>22</Lines>
  <Paragraphs>6</Paragraphs>
  <ScaleCrop>false</ScaleCrop>
  <Company/>
  <LinksUpToDate>false</LinksUpToDate>
  <CharactersWithSpaces>3165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dc:creator>
  <cp:keywords/>
  <dc:description/>
  <cp:lastModifiedBy>Reviewer</cp:lastModifiedBy>
  <cp:revision>196</cp:revision>
  <dcterms:created xsi:type="dcterms:W3CDTF">2022-02-09T06:29:00Z</dcterms:created>
  <dcterms:modified xsi:type="dcterms:W3CDTF">2022-07-08T03:59:00Z</dcterms:modified>
</cp:coreProperties>
</file>