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2E3C1" w14:textId="77777777" w:rsidR="001C0EAD" w:rsidRPr="00A77D7B" w:rsidRDefault="001C0EAD" w:rsidP="001C0EAD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A77D7B">
        <w:rPr>
          <w:rFonts w:cstheme="minorHAnsi"/>
          <w:b/>
          <w:bCs/>
          <w:sz w:val="20"/>
          <w:szCs w:val="20"/>
        </w:rPr>
        <w:t xml:space="preserve">S1 Text. </w:t>
      </w:r>
      <w:r w:rsidRPr="006A5D64">
        <w:rPr>
          <w:rFonts w:cstheme="minorHAnsi"/>
          <w:sz w:val="20"/>
          <w:szCs w:val="20"/>
        </w:rPr>
        <w:t xml:space="preserve">Supplementary methods for the identification of </w:t>
      </w:r>
      <w:r w:rsidRPr="006A5D64">
        <w:rPr>
          <w:rFonts w:cstheme="minorHAnsi"/>
          <w:i/>
          <w:iCs/>
          <w:sz w:val="20"/>
          <w:szCs w:val="20"/>
        </w:rPr>
        <w:t>dikaritin</w:t>
      </w:r>
      <w:r w:rsidRPr="006A5D64">
        <w:rPr>
          <w:rFonts w:cstheme="minorHAnsi"/>
          <w:sz w:val="20"/>
          <w:szCs w:val="20"/>
        </w:rPr>
        <w:t xml:space="preserve"> </w:t>
      </w:r>
      <w:r w:rsidRPr="006A5D64">
        <w:rPr>
          <w:rFonts w:cstheme="minorHAnsi"/>
          <w:i/>
          <w:iCs/>
          <w:sz w:val="20"/>
          <w:szCs w:val="20"/>
        </w:rPr>
        <w:t>RiPP</w:t>
      </w:r>
      <w:r w:rsidRPr="006A5D64">
        <w:rPr>
          <w:rFonts w:cstheme="minorHAnsi"/>
          <w:sz w:val="20"/>
          <w:szCs w:val="20"/>
        </w:rPr>
        <w:t xml:space="preserve"> gene clusters in </w:t>
      </w:r>
      <w:r w:rsidRPr="006A5D64">
        <w:rPr>
          <w:rFonts w:cstheme="minorHAnsi"/>
          <w:i/>
          <w:iCs/>
          <w:sz w:val="20"/>
          <w:szCs w:val="20"/>
        </w:rPr>
        <w:t>Venturia</w:t>
      </w:r>
      <w:r>
        <w:rPr>
          <w:rFonts w:cstheme="minorHAnsi"/>
          <w:i/>
          <w:iCs/>
          <w:sz w:val="20"/>
          <w:szCs w:val="20"/>
        </w:rPr>
        <w:t xml:space="preserve"> </w:t>
      </w:r>
      <w:r w:rsidRPr="006A5D64">
        <w:rPr>
          <w:rFonts w:cstheme="minorHAnsi"/>
          <w:i/>
          <w:iCs/>
          <w:sz w:val="20"/>
          <w:szCs w:val="20"/>
        </w:rPr>
        <w:t>inaequalis</w:t>
      </w:r>
      <w:r w:rsidRPr="006A5D64">
        <w:rPr>
          <w:rFonts w:cstheme="minorHAnsi"/>
          <w:sz w:val="20"/>
          <w:szCs w:val="20"/>
        </w:rPr>
        <w:t>.</w:t>
      </w:r>
      <w:r w:rsidRPr="00A77D7B">
        <w:rPr>
          <w:rFonts w:cstheme="minorHAnsi"/>
          <w:sz w:val="20"/>
          <w:szCs w:val="20"/>
        </w:rPr>
        <w:t xml:space="preserve"> </w:t>
      </w:r>
    </w:p>
    <w:p w14:paraId="6BC814DD" w14:textId="73A54935" w:rsidR="001C0EAD" w:rsidRPr="00A77D7B" w:rsidRDefault="001C0EAD" w:rsidP="001C0EAD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A77D7B">
        <w:rPr>
          <w:rFonts w:cstheme="minorHAnsi"/>
          <w:sz w:val="20"/>
          <w:szCs w:val="20"/>
        </w:rPr>
        <w:t xml:space="preserve">As a starting point </w:t>
      </w:r>
      <w:r>
        <w:rPr>
          <w:rFonts w:cstheme="minorHAnsi"/>
          <w:sz w:val="20"/>
          <w:szCs w:val="20"/>
        </w:rPr>
        <w:t>for the identification of</w:t>
      </w:r>
      <w:r w:rsidRPr="00A77D7B">
        <w:rPr>
          <w:rFonts w:cstheme="minorHAnsi"/>
          <w:sz w:val="20"/>
          <w:szCs w:val="20"/>
        </w:rPr>
        <w:t xml:space="preserve"> </w:t>
      </w:r>
      <w:r w:rsidRPr="00071275">
        <w:rPr>
          <w:rFonts w:cstheme="minorHAnsi"/>
          <w:i/>
          <w:iCs/>
          <w:sz w:val="20"/>
          <w:szCs w:val="20"/>
        </w:rPr>
        <w:t>dikaritin</w:t>
      </w:r>
      <w:r>
        <w:rPr>
          <w:rFonts w:cstheme="minorHAnsi"/>
          <w:sz w:val="20"/>
          <w:szCs w:val="20"/>
        </w:rPr>
        <w:t xml:space="preserve"> </w:t>
      </w:r>
      <w:r w:rsidRPr="00E34DAD">
        <w:rPr>
          <w:rFonts w:cstheme="minorHAnsi"/>
          <w:i/>
          <w:iCs/>
          <w:sz w:val="20"/>
          <w:szCs w:val="20"/>
        </w:rPr>
        <w:t>RiPP</w:t>
      </w:r>
      <w:r w:rsidRPr="00A77D7B">
        <w:rPr>
          <w:rFonts w:cstheme="minorHAnsi"/>
          <w:sz w:val="20"/>
          <w:szCs w:val="20"/>
        </w:rPr>
        <w:t xml:space="preserve"> gene clusters in </w:t>
      </w:r>
      <w:r w:rsidRPr="00A77D7B">
        <w:rPr>
          <w:rFonts w:cstheme="minorHAnsi"/>
          <w:i/>
          <w:iCs/>
          <w:sz w:val="20"/>
          <w:szCs w:val="20"/>
        </w:rPr>
        <w:t>V. inaequalis</w:t>
      </w:r>
      <w:r w:rsidRPr="00A77D7B">
        <w:rPr>
          <w:rFonts w:cstheme="minorHAnsi"/>
          <w:sz w:val="20"/>
          <w:szCs w:val="20"/>
        </w:rPr>
        <w:t xml:space="preserve">, genes encoding DUF3328 proteins were identified </w:t>
      </w:r>
      <w:r>
        <w:rPr>
          <w:rFonts w:cstheme="minorHAnsi"/>
          <w:sz w:val="20"/>
          <w:szCs w:val="20"/>
        </w:rPr>
        <w:t>through a</w:t>
      </w:r>
      <w:r w:rsidRPr="00A77D7B">
        <w:rPr>
          <w:rFonts w:cstheme="minorHAnsi"/>
          <w:sz w:val="20"/>
          <w:szCs w:val="20"/>
        </w:rPr>
        <w:t xml:space="preserve"> </w:t>
      </w:r>
      <w:proofErr w:type="spellStart"/>
      <w:r w:rsidRPr="00A77D7B">
        <w:rPr>
          <w:rFonts w:cstheme="minorHAnsi"/>
          <w:sz w:val="20"/>
          <w:szCs w:val="20"/>
        </w:rPr>
        <w:t>tBLASTn</w:t>
      </w:r>
      <w:proofErr w:type="spellEnd"/>
      <w:r w:rsidRPr="00A77D7B">
        <w:rPr>
          <w:rFonts w:cstheme="minorHAnsi"/>
          <w:sz w:val="20"/>
          <w:szCs w:val="20"/>
        </w:rPr>
        <w:t xml:space="preserve"> analysis of the MNH120 genome in </w:t>
      </w:r>
      <w:proofErr w:type="spellStart"/>
      <w:r w:rsidRPr="00A77D7B">
        <w:rPr>
          <w:rFonts w:cstheme="minorHAnsi"/>
          <w:sz w:val="20"/>
          <w:szCs w:val="20"/>
        </w:rPr>
        <w:t>Geneious</w:t>
      </w:r>
      <w:proofErr w:type="spellEnd"/>
      <w:r w:rsidRPr="00A77D7B">
        <w:rPr>
          <w:rFonts w:cstheme="minorHAnsi"/>
          <w:sz w:val="20"/>
          <w:szCs w:val="20"/>
        </w:rPr>
        <w:t xml:space="preserve"> v9.1.8, using the g7827 DUF3328 protein of </w:t>
      </w:r>
      <w:r w:rsidRPr="00A77D7B">
        <w:rPr>
          <w:rFonts w:cstheme="minorHAnsi"/>
          <w:i/>
          <w:iCs/>
          <w:sz w:val="20"/>
          <w:szCs w:val="20"/>
        </w:rPr>
        <w:t>V. inaequalis</w:t>
      </w:r>
      <w:r w:rsidRPr="00A77D7B">
        <w:rPr>
          <w:rFonts w:cstheme="minorHAnsi"/>
          <w:sz w:val="20"/>
          <w:szCs w:val="20"/>
        </w:rPr>
        <w:t xml:space="preserve"> (Dikaritin cluster 2) as a query. This was followed by exhaustive reciprocal </w:t>
      </w:r>
      <w:proofErr w:type="spellStart"/>
      <w:r w:rsidRPr="00A77D7B">
        <w:rPr>
          <w:rFonts w:cstheme="minorHAnsi"/>
          <w:sz w:val="20"/>
          <w:szCs w:val="20"/>
        </w:rPr>
        <w:t>t</w:t>
      </w:r>
      <w:r>
        <w:rPr>
          <w:rFonts w:cstheme="minorHAnsi"/>
          <w:sz w:val="20"/>
          <w:szCs w:val="20"/>
        </w:rPr>
        <w:t>BLAST</w:t>
      </w:r>
      <w:r w:rsidRPr="00A77D7B">
        <w:rPr>
          <w:rFonts w:cstheme="minorHAnsi"/>
          <w:sz w:val="20"/>
          <w:szCs w:val="20"/>
        </w:rPr>
        <w:t>n</w:t>
      </w:r>
      <w:proofErr w:type="spellEnd"/>
      <w:r w:rsidRPr="00A77D7B">
        <w:rPr>
          <w:rFonts w:cstheme="minorHAnsi"/>
          <w:sz w:val="20"/>
          <w:szCs w:val="20"/>
        </w:rPr>
        <w:t xml:space="preserve"> analyses of the identified sequences against the </w:t>
      </w:r>
      <w:r w:rsidRPr="00A77D7B">
        <w:rPr>
          <w:rFonts w:cstheme="minorHAnsi"/>
          <w:i/>
          <w:iCs/>
          <w:sz w:val="20"/>
          <w:szCs w:val="20"/>
        </w:rPr>
        <w:t>V. inaequalis</w:t>
      </w:r>
      <w:r w:rsidRPr="00A77D7B">
        <w:rPr>
          <w:rFonts w:cstheme="minorHAnsi"/>
          <w:sz w:val="20"/>
          <w:szCs w:val="20"/>
        </w:rPr>
        <w:t xml:space="preserve"> genome until no new sequences were identified. The resulting protein sequences were then analysed using </w:t>
      </w:r>
      <w:proofErr w:type="spellStart"/>
      <w:r w:rsidRPr="00A77D7B">
        <w:rPr>
          <w:rFonts w:cstheme="minorHAnsi"/>
          <w:sz w:val="20"/>
          <w:szCs w:val="20"/>
        </w:rPr>
        <w:t>InterproScan</w:t>
      </w:r>
      <w:proofErr w:type="spellEnd"/>
      <w:r w:rsidRPr="00A77D7B">
        <w:rPr>
          <w:rFonts w:cstheme="minorHAnsi"/>
          <w:sz w:val="20"/>
          <w:szCs w:val="20"/>
        </w:rPr>
        <w:t xml:space="preserve"> v5.51-85.0 to identify those that carried a putative DUF3328 domain </w:t>
      </w:r>
      <w:r w:rsidRPr="00A77D7B">
        <w:rPr>
          <w:rFonts w:cstheme="minorHAnsi"/>
          <w:sz w:val="20"/>
          <w:szCs w:val="20"/>
        </w:rPr>
        <w:fldChar w:fldCharType="begin"/>
      </w:r>
      <w:r>
        <w:rPr>
          <w:rFonts w:cstheme="minorHAnsi"/>
          <w:sz w:val="20"/>
          <w:szCs w:val="20"/>
        </w:rPr>
        <w:instrText xml:space="preserve"> ADDIN EN.CITE &lt;EndNote&gt;&lt;Cite&gt;&lt;Author&gt;Jones&lt;/Author&gt;&lt;Year&gt;2014&lt;/Year&gt;&lt;RecNum&gt;348&lt;/RecNum&gt;&lt;DisplayText&gt;[1]&lt;/DisplayText&gt;&lt;record&gt;&lt;rec-number&gt;348&lt;/rec-number&gt;&lt;foreign-keys&gt;&lt;key app="EN" db-id="rsssvwxrjz2w25e5t0avx0ry29wxs2v9zwfv" timestamp="1637529387"&gt;348&lt;/key&gt;&lt;/foreign-keys&gt;&lt;ref-type name="Journal Article"&gt;17&lt;/ref-type&gt;&lt;contributors&gt;&lt;authors&gt;&lt;author&gt;Jones, Philip&lt;/author&gt;&lt;author&gt;Binns, David&lt;/author&gt;&lt;author&gt;Chang, Hsin-Yu&lt;/author&gt;&lt;author&gt;Fraser, Matthew&lt;/author&gt;&lt;author&gt;Li, Weizhong&lt;/author&gt;&lt;author&gt;McAnulla, Craig&lt;/author&gt;&lt;author&gt;McWilliam, Hamish&lt;/author&gt;&lt;author&gt;Maslen, John&lt;/author&gt;&lt;author&gt;Mitchell, Alex&lt;/author&gt;&lt;author&gt;Nuka, Gift&lt;/author&gt;&lt;author&gt;Pesseat, Sebastien&lt;/author&gt;&lt;author&gt;Quinn, Antony F.&lt;/author&gt;&lt;author&gt;Sangrador-Vegas, Amaia&lt;/author&gt;&lt;author&gt;Scheremetjew, Maxim&lt;/author&gt;&lt;author&gt;Yong, Siew-Yit&lt;/author&gt;&lt;author&gt;Lopez, Rodrigo&lt;/author&gt;&lt;author&gt;Hunter, Sarah&lt;/author&gt;&lt;/authors&gt;&lt;/contributors&gt;&lt;titles&gt;&lt;title&gt;InterProScan 5: genome-scale protein function classification&lt;/title&gt;&lt;secondary-title&gt;Bioinformatics&lt;/secondary-title&gt;&lt;/titles&gt;&lt;periodical&gt;&lt;full-title&gt;Bioinformatics&lt;/full-title&gt;&lt;/periodical&gt;&lt;pages&gt;1236-1240&lt;/pages&gt;&lt;volume&gt;30&lt;/volume&gt;&lt;number&gt;9&lt;/number&gt;&lt;dates&gt;&lt;year&gt;2014&lt;/year&gt;&lt;/dates&gt;&lt;isbn&gt;1367-4803&lt;/isbn&gt;&lt;urls&gt;&lt;related-urls&gt;&lt;url&gt;https://doi.org/10.1093/bioinformatics/btu031&lt;/url&gt;&lt;/related-urls&gt;&lt;/urls&gt;&lt;electronic-resource-num&gt;10.1093/bioinformatics/btu031&lt;/electronic-resource-num&gt;&lt;access-date&gt;11/21/2021&lt;/access-date&gt;&lt;/record&gt;&lt;/Cite&gt;&lt;/EndNote&gt;</w:instrText>
      </w:r>
      <w:r w:rsidRPr="00A77D7B">
        <w:rPr>
          <w:rFonts w:cstheme="minorHAnsi"/>
          <w:sz w:val="20"/>
          <w:szCs w:val="20"/>
        </w:rPr>
        <w:fldChar w:fldCharType="separate"/>
      </w:r>
      <w:r>
        <w:rPr>
          <w:rFonts w:cstheme="minorHAnsi"/>
          <w:noProof/>
          <w:sz w:val="20"/>
          <w:szCs w:val="20"/>
        </w:rPr>
        <w:t>[1]</w:t>
      </w:r>
      <w:r w:rsidRPr="00A77D7B">
        <w:rPr>
          <w:rFonts w:cstheme="minorHAnsi"/>
          <w:sz w:val="20"/>
          <w:szCs w:val="20"/>
        </w:rPr>
        <w:fldChar w:fldCharType="end"/>
      </w:r>
      <w:r w:rsidRPr="00A77D7B">
        <w:rPr>
          <w:rFonts w:cstheme="minorHAnsi"/>
          <w:sz w:val="20"/>
          <w:szCs w:val="20"/>
        </w:rPr>
        <w:t xml:space="preserve">. Notably, some proteins were not predicted to contain a DUF3328 domain or were instead predicted to belong to the Major-facilitator superfamily. These proteins were manually investigated and proteins with a characteristic DUF3328 domain structure, consisting of a short </w:t>
      </w:r>
      <w:r>
        <w:rPr>
          <w:rFonts w:cstheme="minorHAnsi"/>
          <w:sz w:val="20"/>
          <w:szCs w:val="20"/>
        </w:rPr>
        <w:t>amino (</w:t>
      </w:r>
      <w:r w:rsidRPr="00A77D7B">
        <w:rPr>
          <w:rFonts w:cstheme="minorHAnsi"/>
          <w:sz w:val="20"/>
          <w:szCs w:val="20"/>
        </w:rPr>
        <w:t>N</w:t>
      </w:r>
      <w:r>
        <w:rPr>
          <w:rFonts w:cstheme="minorHAnsi"/>
          <w:sz w:val="20"/>
          <w:szCs w:val="20"/>
        </w:rPr>
        <w:t>)</w:t>
      </w:r>
      <w:r w:rsidRPr="00A77D7B">
        <w:rPr>
          <w:rFonts w:cstheme="minorHAnsi"/>
          <w:sz w:val="20"/>
          <w:szCs w:val="20"/>
        </w:rPr>
        <w:t xml:space="preserve">-terminal tail (34–58 aa), a </w:t>
      </w:r>
      <w:r>
        <w:rPr>
          <w:rFonts w:cstheme="minorHAnsi"/>
          <w:sz w:val="20"/>
          <w:szCs w:val="20"/>
        </w:rPr>
        <w:t>transmembrane (</w:t>
      </w:r>
      <w:r w:rsidRPr="00A77D7B">
        <w:rPr>
          <w:rFonts w:cstheme="minorHAnsi"/>
          <w:sz w:val="20"/>
          <w:szCs w:val="20"/>
        </w:rPr>
        <w:t>TM</w:t>
      </w:r>
      <w:r>
        <w:rPr>
          <w:rFonts w:cstheme="minorHAnsi"/>
          <w:sz w:val="20"/>
          <w:szCs w:val="20"/>
        </w:rPr>
        <w:t>)</w:t>
      </w:r>
      <w:r w:rsidRPr="00A77D7B">
        <w:rPr>
          <w:rFonts w:cstheme="minorHAnsi"/>
          <w:sz w:val="20"/>
          <w:szCs w:val="20"/>
        </w:rPr>
        <w:t xml:space="preserve"> domain (19–24 aa) and a domain containing the tandem </w:t>
      </w:r>
      <w:bookmarkStart w:id="0" w:name="_Hlk89761927"/>
      <w:proofErr w:type="spellStart"/>
      <w:r w:rsidRPr="00A77D7B">
        <w:rPr>
          <w:rFonts w:cstheme="minorHAnsi"/>
          <w:sz w:val="20"/>
          <w:szCs w:val="20"/>
        </w:rPr>
        <w:t>HxxCH</w:t>
      </w:r>
      <w:bookmarkEnd w:id="0"/>
      <w:proofErr w:type="spellEnd"/>
      <w:r w:rsidRPr="00A77D7B">
        <w:rPr>
          <w:rFonts w:cstheme="minorHAnsi"/>
          <w:sz w:val="20"/>
          <w:szCs w:val="20"/>
        </w:rPr>
        <w:t xml:space="preserve"> DUF3328 active site motif, were manually annotated as putative DUF3328 proteins. Up to 10 genes up- and down-stream of the putative DUF3328-encoding gene in the MNH120 genome were then assessed for signatures of a classical dikaritin RiPP precursor-encoding gene </w:t>
      </w:r>
      <w:bookmarkStart w:id="1" w:name="_Hlk96950038"/>
      <w:r w:rsidRPr="00A77D7B">
        <w:rPr>
          <w:rFonts w:cstheme="minorHAnsi"/>
          <w:sz w:val="20"/>
          <w:szCs w:val="20"/>
        </w:rPr>
        <w:t xml:space="preserve">(i.e. a gene that encodes a precursor peptide with an N-terminal signal peptide, followed by one or more </w:t>
      </w:r>
      <w:r>
        <w:rPr>
          <w:rFonts w:cstheme="minorHAnsi"/>
          <w:sz w:val="20"/>
          <w:szCs w:val="20"/>
        </w:rPr>
        <w:t xml:space="preserve">perfect or imperfect </w:t>
      </w:r>
      <w:r w:rsidRPr="00A77D7B">
        <w:rPr>
          <w:rFonts w:cstheme="minorHAnsi"/>
          <w:sz w:val="20"/>
          <w:szCs w:val="20"/>
        </w:rPr>
        <w:t xml:space="preserve">tandem sequence repeats </w:t>
      </w:r>
      <w:r>
        <w:rPr>
          <w:rFonts w:cstheme="minorHAnsi"/>
          <w:sz w:val="20"/>
          <w:szCs w:val="20"/>
        </w:rPr>
        <w:t xml:space="preserve">of at least 10 amino acids in length </w:t>
      </w:r>
      <w:r w:rsidRPr="00A77D7B">
        <w:rPr>
          <w:rFonts w:cstheme="minorHAnsi"/>
          <w:sz w:val="20"/>
          <w:szCs w:val="20"/>
        </w:rPr>
        <w:t xml:space="preserve">that are separated by putative </w:t>
      </w:r>
      <w:proofErr w:type="spellStart"/>
      <w:r w:rsidRPr="00A77D7B">
        <w:rPr>
          <w:rFonts w:cstheme="minorHAnsi"/>
          <w:sz w:val="20"/>
          <w:szCs w:val="20"/>
        </w:rPr>
        <w:t>kexin</w:t>
      </w:r>
      <w:proofErr w:type="spellEnd"/>
      <w:r w:rsidRPr="00A77D7B">
        <w:rPr>
          <w:rFonts w:cstheme="minorHAnsi"/>
          <w:sz w:val="20"/>
          <w:szCs w:val="20"/>
        </w:rPr>
        <w:t xml:space="preserve"> protease cleavage sites)</w:t>
      </w:r>
      <w:bookmarkEnd w:id="1"/>
      <w:r w:rsidRPr="00A77D7B">
        <w:rPr>
          <w:rFonts w:cstheme="minorHAnsi"/>
          <w:sz w:val="20"/>
          <w:szCs w:val="20"/>
        </w:rPr>
        <w:t xml:space="preserve">, and analysed for functional </w:t>
      </w:r>
      <w:r>
        <w:rPr>
          <w:rFonts w:cstheme="minorHAnsi"/>
          <w:sz w:val="20"/>
          <w:szCs w:val="20"/>
        </w:rPr>
        <w:t>domains</w:t>
      </w:r>
      <w:r w:rsidRPr="00A77D7B">
        <w:rPr>
          <w:rFonts w:cstheme="minorHAnsi"/>
          <w:sz w:val="20"/>
          <w:szCs w:val="20"/>
        </w:rPr>
        <w:t xml:space="preserve"> using </w:t>
      </w:r>
      <w:proofErr w:type="spellStart"/>
      <w:r w:rsidRPr="00A77D7B">
        <w:rPr>
          <w:rFonts w:cstheme="minorHAnsi"/>
          <w:sz w:val="20"/>
          <w:szCs w:val="20"/>
        </w:rPr>
        <w:t>InterproScan</w:t>
      </w:r>
      <w:proofErr w:type="spellEnd"/>
      <w:r w:rsidRPr="00A77D7B">
        <w:rPr>
          <w:rFonts w:cstheme="minorHAnsi"/>
          <w:sz w:val="20"/>
          <w:szCs w:val="20"/>
        </w:rPr>
        <w:t xml:space="preserve"> v5.51-85.0. Finally, to define the borders of </w:t>
      </w:r>
      <w:r w:rsidRPr="00071275">
        <w:rPr>
          <w:rFonts w:cstheme="minorHAnsi"/>
          <w:i/>
          <w:iCs/>
          <w:sz w:val="20"/>
          <w:szCs w:val="20"/>
        </w:rPr>
        <w:t>dikaritin</w:t>
      </w:r>
      <w:r>
        <w:rPr>
          <w:rFonts w:cstheme="minorHAnsi"/>
          <w:sz w:val="20"/>
          <w:szCs w:val="20"/>
        </w:rPr>
        <w:t xml:space="preserve"> </w:t>
      </w:r>
      <w:r w:rsidRPr="00E34DAD">
        <w:rPr>
          <w:rFonts w:cstheme="minorHAnsi"/>
          <w:i/>
          <w:iCs/>
          <w:sz w:val="20"/>
          <w:szCs w:val="20"/>
        </w:rPr>
        <w:t>RiPP</w:t>
      </w:r>
      <w:r w:rsidRPr="00A77D7B">
        <w:rPr>
          <w:rFonts w:cstheme="minorHAnsi"/>
          <w:sz w:val="20"/>
          <w:szCs w:val="20"/>
        </w:rPr>
        <w:t xml:space="preserve"> gene clusters, transcriptome data from this study were used to investigate the expression of genes encoding the DUF3328 domain-containing protein and putative precursor protein, as well as the surrounding genes. Only those genes with a similar </w:t>
      </w:r>
      <w:r w:rsidRPr="00A77D7B">
        <w:rPr>
          <w:rFonts w:cstheme="minorHAnsi"/>
          <w:i/>
          <w:sz w:val="20"/>
          <w:szCs w:val="20"/>
        </w:rPr>
        <w:t>in planta</w:t>
      </w:r>
      <w:r w:rsidRPr="00A77D7B">
        <w:rPr>
          <w:rFonts w:cstheme="minorHAnsi"/>
          <w:sz w:val="20"/>
          <w:szCs w:val="20"/>
        </w:rPr>
        <w:t xml:space="preserve"> expression profile to the genes encoding the DUF3328 domain-containing protein and putative precursor peptide were considered to form part of the </w:t>
      </w:r>
      <w:r w:rsidRPr="00071275">
        <w:rPr>
          <w:rFonts w:cstheme="minorHAnsi"/>
          <w:i/>
          <w:iCs/>
          <w:sz w:val="20"/>
          <w:szCs w:val="20"/>
        </w:rPr>
        <w:t>dikaritin</w:t>
      </w:r>
      <w:r>
        <w:rPr>
          <w:rFonts w:cstheme="minorHAnsi"/>
          <w:sz w:val="20"/>
          <w:szCs w:val="20"/>
        </w:rPr>
        <w:t xml:space="preserve"> </w:t>
      </w:r>
      <w:r w:rsidRPr="00E34DAD">
        <w:rPr>
          <w:rFonts w:cstheme="minorHAnsi"/>
          <w:i/>
          <w:iCs/>
          <w:sz w:val="20"/>
          <w:szCs w:val="20"/>
        </w:rPr>
        <w:t>RiPP</w:t>
      </w:r>
      <w:r w:rsidRPr="00A77D7B">
        <w:rPr>
          <w:rFonts w:cstheme="minorHAnsi"/>
          <w:sz w:val="20"/>
          <w:szCs w:val="20"/>
        </w:rPr>
        <w:t xml:space="preserve"> gene cluster in question.</w:t>
      </w:r>
    </w:p>
    <w:p w14:paraId="75D55380" w14:textId="77777777" w:rsidR="001C0EAD" w:rsidRPr="006D1AEC" w:rsidRDefault="001C0EAD" w:rsidP="001C0EAD">
      <w:pPr>
        <w:spacing w:after="0" w:line="360" w:lineRule="auto"/>
        <w:rPr>
          <w:sz w:val="20"/>
          <w:szCs w:val="20"/>
        </w:rPr>
      </w:pPr>
    </w:p>
    <w:p w14:paraId="13F14106" w14:textId="15E542B0" w:rsidR="001C0EAD" w:rsidRPr="006A5D64" w:rsidRDefault="001C0EAD" w:rsidP="006A5D64">
      <w:pPr>
        <w:pStyle w:val="EndNoteBibliography"/>
        <w:spacing w:after="0" w:line="360" w:lineRule="auto"/>
        <w:ind w:left="720" w:hanging="720"/>
        <w:rPr>
          <w:b/>
          <w:bCs/>
          <w:sz w:val="20"/>
          <w:szCs w:val="20"/>
        </w:rPr>
      </w:pPr>
      <w:r w:rsidRPr="006A5D64">
        <w:rPr>
          <w:b/>
          <w:bCs/>
          <w:sz w:val="20"/>
          <w:szCs w:val="20"/>
        </w:rPr>
        <w:t>Reference</w:t>
      </w:r>
    </w:p>
    <w:p w14:paraId="73894EE6" w14:textId="5F3ECA3A" w:rsidR="001C0EAD" w:rsidRPr="006A5D64" w:rsidRDefault="001C0EAD" w:rsidP="006A5D64">
      <w:pPr>
        <w:pStyle w:val="EndNoteBibliography"/>
        <w:spacing w:after="0" w:line="360" w:lineRule="auto"/>
        <w:ind w:left="720" w:hanging="720"/>
        <w:jc w:val="both"/>
        <w:rPr>
          <w:sz w:val="20"/>
          <w:szCs w:val="20"/>
        </w:rPr>
      </w:pPr>
      <w:r w:rsidRPr="006A5D64">
        <w:rPr>
          <w:sz w:val="20"/>
          <w:szCs w:val="20"/>
        </w:rPr>
        <w:fldChar w:fldCharType="begin"/>
      </w:r>
      <w:r w:rsidRPr="006A5D64">
        <w:rPr>
          <w:sz w:val="20"/>
          <w:szCs w:val="20"/>
        </w:rPr>
        <w:instrText xml:space="preserve"> ADDIN EN.REFLIST </w:instrText>
      </w:r>
      <w:r w:rsidRPr="006A5D64">
        <w:rPr>
          <w:sz w:val="20"/>
          <w:szCs w:val="20"/>
        </w:rPr>
        <w:fldChar w:fldCharType="separate"/>
      </w:r>
      <w:r w:rsidRPr="006A5D64">
        <w:rPr>
          <w:sz w:val="20"/>
          <w:szCs w:val="20"/>
        </w:rPr>
        <w:t>1.</w:t>
      </w:r>
      <w:r w:rsidRPr="006A5D64">
        <w:rPr>
          <w:sz w:val="20"/>
          <w:szCs w:val="20"/>
        </w:rPr>
        <w:tab/>
        <w:t>Jones P, Binns D, Chang H-Y, Fraser M, Li W, McAnulla C, McWilliam H, Maslen J, Mitchell A, Nuka G</w:t>
      </w:r>
      <w:r w:rsidRPr="006A5D64">
        <w:rPr>
          <w:i/>
          <w:sz w:val="20"/>
          <w:szCs w:val="20"/>
        </w:rPr>
        <w:t xml:space="preserve"> et al</w:t>
      </w:r>
      <w:r w:rsidRPr="006A5D64">
        <w:rPr>
          <w:sz w:val="20"/>
          <w:szCs w:val="20"/>
        </w:rPr>
        <w:t xml:space="preserve">: </w:t>
      </w:r>
      <w:r w:rsidRPr="00C52A3D">
        <w:rPr>
          <w:bCs/>
          <w:sz w:val="20"/>
          <w:szCs w:val="20"/>
        </w:rPr>
        <w:t xml:space="preserve">InterProScan 5: genome-scale protein function classification. </w:t>
      </w:r>
      <w:r w:rsidRPr="00C52A3D">
        <w:rPr>
          <w:bCs/>
          <w:i/>
          <w:sz w:val="20"/>
          <w:szCs w:val="20"/>
        </w:rPr>
        <w:t xml:space="preserve">Bioinformatics </w:t>
      </w:r>
      <w:r w:rsidRPr="00C52A3D">
        <w:rPr>
          <w:bCs/>
          <w:sz w:val="20"/>
          <w:szCs w:val="20"/>
        </w:rPr>
        <w:t>2014, 30</w:t>
      </w:r>
      <w:r w:rsidRPr="006A5D64">
        <w:rPr>
          <w:sz w:val="20"/>
          <w:szCs w:val="20"/>
        </w:rPr>
        <w:t>(9):1236-40.</w:t>
      </w:r>
    </w:p>
    <w:p w14:paraId="21D608B5" w14:textId="5805DA01" w:rsidR="00510C26" w:rsidRDefault="001C0EAD" w:rsidP="006A5D64">
      <w:pPr>
        <w:spacing w:after="0" w:line="360" w:lineRule="auto"/>
      </w:pPr>
      <w:r w:rsidRPr="006A5D64">
        <w:rPr>
          <w:sz w:val="20"/>
          <w:szCs w:val="20"/>
        </w:rPr>
        <w:fldChar w:fldCharType="end"/>
      </w:r>
    </w:p>
    <w:sectPr w:rsidR="00510C26" w:rsidSect="005514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LQwMzE1NjE0M7QwtTBR0lEKTi0uzszPAykwrAUAMJic1CwAAAA="/>
    <w:docVar w:name="EN.Layout" w:val="&lt;ENLayout&gt;&lt;Style&gt;BMC 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sssvwxrjz2w25e5t0avx0ry29wxs2v9zwfv&quot;&gt;My EndNote Library-Converted&lt;record-ids&gt;&lt;item&gt;348&lt;/item&gt;&lt;/record-ids&gt;&lt;/item&gt;&lt;/Libraries&gt;"/>
  </w:docVars>
  <w:rsids>
    <w:rsidRoot w:val="001C0EAD"/>
    <w:rsid w:val="000E230D"/>
    <w:rsid w:val="001C0EAD"/>
    <w:rsid w:val="004650AD"/>
    <w:rsid w:val="00510C26"/>
    <w:rsid w:val="005514C1"/>
    <w:rsid w:val="00616E63"/>
    <w:rsid w:val="006A5D64"/>
    <w:rsid w:val="00AE5EE4"/>
    <w:rsid w:val="00C52A3D"/>
    <w:rsid w:val="00CC2F44"/>
    <w:rsid w:val="00CE5DF5"/>
    <w:rsid w:val="00D0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4C09F"/>
  <w15:chartTrackingRefBased/>
  <w15:docId w15:val="{BC627E40-DE37-409F-B916-91214775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EAD"/>
    <w:rPr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uiPriority w:val="35"/>
    <w:qFormat/>
    <w:rsid w:val="00CC2F44"/>
    <w:pPr>
      <w:tabs>
        <w:tab w:val="left" w:pos="567"/>
        <w:tab w:val="left" w:pos="720"/>
        <w:tab w:val="left" w:pos="851"/>
        <w:tab w:val="left" w:pos="1440"/>
        <w:tab w:val="left" w:pos="1701"/>
        <w:tab w:val="left" w:pos="2160"/>
        <w:tab w:val="left" w:pos="2835"/>
        <w:tab w:val="left" w:pos="2880"/>
        <w:tab w:val="left" w:pos="3402"/>
        <w:tab w:val="left" w:pos="3600"/>
        <w:tab w:val="left" w:pos="3969"/>
        <w:tab w:val="left" w:pos="4320"/>
        <w:tab w:val="left" w:pos="4536"/>
        <w:tab w:val="left" w:pos="4820"/>
        <w:tab w:val="left" w:pos="5040"/>
        <w:tab w:val="left" w:pos="5103"/>
        <w:tab w:val="left" w:pos="5387"/>
        <w:tab w:val="left" w:pos="5760"/>
        <w:tab w:val="left" w:pos="6480"/>
        <w:tab w:val="left" w:pos="7200"/>
        <w:tab w:val="left" w:pos="7920"/>
        <w:tab w:val="left" w:pos="8640"/>
      </w:tabs>
      <w:spacing w:before="240" w:after="1080" w:line="360" w:lineRule="atLeast"/>
      <w:contextualSpacing/>
      <w:jc w:val="both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1C0EA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C0EAD"/>
    <w:rPr>
      <w:rFonts w:ascii="Calibri" w:hAnsi="Calibri" w:cs="Calibri"/>
      <w:noProof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1C0EA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EndNoteBibliographyChar"/>
    <w:link w:val="EndNoteBibliographyTitle"/>
    <w:rsid w:val="001C0EAD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ROCAFORT FERRER</dc:creator>
  <cp:keywords/>
  <dc:description/>
  <cp:lastModifiedBy>Carl Mesarich</cp:lastModifiedBy>
  <cp:revision>4</cp:revision>
  <dcterms:created xsi:type="dcterms:W3CDTF">2022-10-10T08:35:00Z</dcterms:created>
  <dcterms:modified xsi:type="dcterms:W3CDTF">2022-10-11T06:41:00Z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9e4d68-54d0-40a5-8c9a-85a36c87352c_Enabled">
    <vt:lpwstr>true</vt:lpwstr>
  </property>
  <property fmtid="{D5CDD505-2E9C-101B-9397-08002B2CF9AE}" pid="3" name="MSIP_Label_bd9e4d68-54d0-40a5-8c9a-85a36c87352c_SetDate">
    <vt:lpwstr>2022-10-11T06:39:25Z</vt:lpwstr>
  </property>
  <property fmtid="{D5CDD505-2E9C-101B-9397-08002B2CF9AE}" pid="4" name="MSIP_Label_bd9e4d68-54d0-40a5-8c9a-85a36c87352c_Method">
    <vt:lpwstr>Privileged</vt:lpwstr>
  </property>
  <property fmtid="{D5CDD505-2E9C-101B-9397-08002B2CF9AE}" pid="5" name="MSIP_Label_bd9e4d68-54d0-40a5-8c9a-85a36c87352c_Name">
    <vt:lpwstr>Unclassified</vt:lpwstr>
  </property>
  <property fmtid="{D5CDD505-2E9C-101B-9397-08002B2CF9AE}" pid="6" name="MSIP_Label_bd9e4d68-54d0-40a5-8c9a-85a36c87352c_SiteId">
    <vt:lpwstr>388728e1-bbd0-4378-98dc-f8682e644300</vt:lpwstr>
  </property>
  <property fmtid="{D5CDD505-2E9C-101B-9397-08002B2CF9AE}" pid="7" name="MSIP_Label_bd9e4d68-54d0-40a5-8c9a-85a36c87352c_ActionId">
    <vt:lpwstr>51f6eebe-679c-4f28-852e-9e8dc1134a69</vt:lpwstr>
  </property>
  <property fmtid="{D5CDD505-2E9C-101B-9397-08002B2CF9AE}" pid="8" name="MSIP_Label_bd9e4d68-54d0-40a5-8c9a-85a36c87352c_ContentBits">
    <vt:lpwstr>0</vt:lpwstr>
  </property>
</Properties>
</file>