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A56DF" w14:textId="3F8137E4" w:rsidR="001D7AD3" w:rsidRDefault="00D4370E" w:rsidP="001D7AD3">
      <w:pPr>
        <w:rPr>
          <w:rFonts w:ascii="Arial" w:hAnsi="Arial" w:cs="Arial"/>
          <w:b/>
          <w:bCs/>
          <w:sz w:val="18"/>
          <w:szCs w:val="18"/>
          <w:lang w:val="en-US"/>
        </w:rPr>
      </w:pPr>
      <w:r>
        <w:rPr>
          <w:rFonts w:ascii="Arial" w:hAnsi="Arial" w:cs="Arial"/>
          <w:b/>
          <w:bCs/>
          <w:sz w:val="18"/>
          <w:szCs w:val="18"/>
          <w:lang w:val="en-US"/>
        </w:rPr>
        <w:t xml:space="preserve">Additional File 1: </w:t>
      </w:r>
      <w:r w:rsidR="001D7AD3" w:rsidRPr="00F878A3">
        <w:rPr>
          <w:rFonts w:ascii="Arial" w:hAnsi="Arial" w:cs="Arial"/>
          <w:b/>
          <w:bCs/>
          <w:sz w:val="18"/>
          <w:szCs w:val="18"/>
          <w:lang w:val="en-US"/>
        </w:rPr>
        <w:t xml:space="preserve">Table </w:t>
      </w:r>
      <w:r>
        <w:rPr>
          <w:rFonts w:ascii="Arial" w:hAnsi="Arial" w:cs="Arial"/>
          <w:b/>
          <w:bCs/>
          <w:sz w:val="18"/>
          <w:szCs w:val="18"/>
          <w:lang w:val="en-US"/>
        </w:rPr>
        <w:t>S</w:t>
      </w:r>
      <w:r w:rsidR="001D7AD3" w:rsidRPr="00F878A3">
        <w:rPr>
          <w:rFonts w:ascii="Arial" w:hAnsi="Arial" w:cs="Arial"/>
          <w:b/>
          <w:bCs/>
          <w:sz w:val="18"/>
          <w:szCs w:val="18"/>
          <w:lang w:val="en-US"/>
        </w:rPr>
        <w:t xml:space="preserve">1. </w:t>
      </w:r>
      <w:r w:rsidR="001D7AD3">
        <w:rPr>
          <w:rFonts w:ascii="Arial" w:hAnsi="Arial" w:cs="Arial"/>
          <w:b/>
          <w:bCs/>
          <w:sz w:val="18"/>
          <w:szCs w:val="18"/>
          <w:lang w:val="en-US"/>
        </w:rPr>
        <w:t>References from Figure 1.</w:t>
      </w:r>
    </w:p>
    <w:tbl>
      <w:tblPr>
        <w:tblStyle w:val="Tablaconcuadrcula"/>
        <w:tblW w:w="5000" w:type="pct"/>
        <w:tblLook w:val="04A0" w:firstRow="1" w:lastRow="0" w:firstColumn="1" w:lastColumn="0" w:noHBand="0" w:noVBand="1"/>
      </w:tblPr>
      <w:tblGrid>
        <w:gridCol w:w="1397"/>
        <w:gridCol w:w="1277"/>
        <w:gridCol w:w="1481"/>
        <w:gridCol w:w="1189"/>
        <w:gridCol w:w="1520"/>
        <w:gridCol w:w="1484"/>
        <w:gridCol w:w="1507"/>
        <w:gridCol w:w="1854"/>
        <w:gridCol w:w="1241"/>
      </w:tblGrid>
      <w:tr w:rsidR="001D7AD3" w:rsidRPr="005A2E25" w14:paraId="1C0D9745" w14:textId="77777777" w:rsidTr="00605F18">
        <w:tc>
          <w:tcPr>
            <w:tcW w:w="539" w:type="pct"/>
            <w:shd w:val="clear" w:color="auto" w:fill="BFBFBF" w:themeFill="background1" w:themeFillShade="BF"/>
          </w:tcPr>
          <w:p w14:paraId="163386FA" w14:textId="77777777" w:rsidR="001D7AD3" w:rsidRPr="005A2E25" w:rsidRDefault="001D7AD3" w:rsidP="00605F18">
            <w:pPr>
              <w:rPr>
                <w:rFonts w:ascii="Arial" w:hAnsi="Arial" w:cs="Arial"/>
                <w:b/>
                <w:bCs/>
                <w:color w:val="000000" w:themeColor="text1"/>
                <w:sz w:val="18"/>
                <w:szCs w:val="18"/>
              </w:rPr>
            </w:pPr>
          </w:p>
        </w:tc>
        <w:tc>
          <w:tcPr>
            <w:tcW w:w="493" w:type="pct"/>
            <w:shd w:val="clear" w:color="auto" w:fill="BFBFBF" w:themeFill="background1" w:themeFillShade="BF"/>
          </w:tcPr>
          <w:p w14:paraId="51CDCFC1"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Poriferans</w:t>
            </w:r>
          </w:p>
        </w:tc>
        <w:tc>
          <w:tcPr>
            <w:tcW w:w="572" w:type="pct"/>
            <w:shd w:val="clear" w:color="auto" w:fill="BFBFBF" w:themeFill="background1" w:themeFillShade="BF"/>
          </w:tcPr>
          <w:p w14:paraId="5FA7FC06"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Cnidarians</w:t>
            </w:r>
          </w:p>
        </w:tc>
        <w:tc>
          <w:tcPr>
            <w:tcW w:w="459" w:type="pct"/>
            <w:shd w:val="clear" w:color="auto" w:fill="BFBFBF" w:themeFill="background1" w:themeFillShade="BF"/>
          </w:tcPr>
          <w:p w14:paraId="4A7C5503"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Annelids</w:t>
            </w:r>
          </w:p>
        </w:tc>
        <w:tc>
          <w:tcPr>
            <w:tcW w:w="587" w:type="pct"/>
            <w:shd w:val="clear" w:color="auto" w:fill="BFBFBF" w:themeFill="background1" w:themeFillShade="BF"/>
          </w:tcPr>
          <w:p w14:paraId="1ED61DF9"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Mollusks</w:t>
            </w:r>
          </w:p>
        </w:tc>
        <w:tc>
          <w:tcPr>
            <w:tcW w:w="573" w:type="pct"/>
            <w:shd w:val="clear" w:color="auto" w:fill="BFBFBF" w:themeFill="background1" w:themeFillShade="BF"/>
          </w:tcPr>
          <w:p w14:paraId="174890AF"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lang w:val="en-US"/>
              </w:rPr>
              <w:t>Nemerteans</w:t>
            </w:r>
          </w:p>
        </w:tc>
        <w:tc>
          <w:tcPr>
            <w:tcW w:w="582" w:type="pct"/>
            <w:shd w:val="clear" w:color="auto" w:fill="BFBFBF" w:themeFill="background1" w:themeFillShade="BF"/>
          </w:tcPr>
          <w:p w14:paraId="55E33807"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Brachiopods</w:t>
            </w:r>
          </w:p>
        </w:tc>
        <w:tc>
          <w:tcPr>
            <w:tcW w:w="716" w:type="pct"/>
            <w:shd w:val="clear" w:color="auto" w:fill="BFBFBF" w:themeFill="background1" w:themeFillShade="BF"/>
          </w:tcPr>
          <w:p w14:paraId="08E95610"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Platyhelminthes</w:t>
            </w:r>
          </w:p>
        </w:tc>
        <w:tc>
          <w:tcPr>
            <w:tcW w:w="479" w:type="pct"/>
            <w:shd w:val="clear" w:color="auto" w:fill="BFBFBF" w:themeFill="background1" w:themeFillShade="BF"/>
          </w:tcPr>
          <w:p w14:paraId="7A975E67"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Priapulids</w:t>
            </w:r>
          </w:p>
        </w:tc>
      </w:tr>
      <w:tr w:rsidR="001D7AD3" w:rsidRPr="005A2E25" w14:paraId="5C5665D8" w14:textId="77777777" w:rsidTr="00605F18">
        <w:tc>
          <w:tcPr>
            <w:tcW w:w="539" w:type="pct"/>
          </w:tcPr>
          <w:p w14:paraId="507103AA"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Spätzle</w:t>
            </w:r>
          </w:p>
        </w:tc>
        <w:tc>
          <w:tcPr>
            <w:tcW w:w="493" w:type="pct"/>
            <w:vAlign w:val="center"/>
          </w:tcPr>
          <w:p w14:paraId="1AA6632E"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572" w:type="pct"/>
            <w:vAlign w:val="center"/>
          </w:tcPr>
          <w:p w14:paraId="7C37AE0E"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459" w:type="pct"/>
            <w:vAlign w:val="center"/>
          </w:tcPr>
          <w:p w14:paraId="7F1D40D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{"citationItems":[{"id":"ITEM-1","itemData":{"DOI":"10.1016/j.dci.2007.11.004","ISBN":"1028363621","ISSN":"0145305X","abstract":"Toll-like receptors (TLRs) are an important part of the innate immunity system and are found throughout the animal kingdom, but have not yet been reported in annelids. We searched shotgun reads of the genomes of the leech Helobdella and polychaete Capitella for TLR homologs. We found 105 TLR homologs in Capitella and 16 in Helobdella. The deduced phylogeny of these sequences, together with TLRs from other animal phyla, reveals three major clades. One clade consists of a mixture of both vertebrates and invertebrates, including sequences from Capitella and Helobdella, while the other two clades contain only invertebrate TLRs. © 2007 Elsevier Ltd. All rights reserved.","author":[{"dropping-particle":"","family":"Davidson","given":"Charis R.","non-dropping-particle":"","parse-names":false,"suffix":""},{"dropping-particle":"","family":"Best","given":"Natalie M.","non-dropping-particle":"","parse-names":false,"suffix":""},{"dropping-particle":"","family":"Francis","given":"Joseph W.","non-dropping-particle":"","parse-names":false,"suffix":""},{"dropping-particle":"","family":"Cooper","given":"Edwin L.","non-dropping-particle":"","parse-names":false,"suffix":""},{"dropping-particle":"","family":"Wood","given":"Todd Charles","non-dropping-particle":"","parse-names":false,"suffix":""}],"container-title":"Developmental &amp; Comparative Immunology","id":"ITEM-1","issue":"6","issued":{"date-parts":[["2008"]]},"note":"- P-type/V-type classification","page":"608-612","title":"&lt;i&gt;Toll-like receptor&lt;/i&gt; genes (TLRs) from &lt;i&gt;Capitella capitata&lt;/i&gt; and &lt;i&gt;Helobdella robusta &lt;/i&gt;(Annelida)","type":"article-journal","volume":"32"},"uris":["http://www.mendeley.com/documents/?uuid=21cec692-cd6b-4599-91b8-08aedacc1af7"]}],"mendeley":{"formattedCitation":"(Davidson &lt;i&gt;et al.&lt;/i&gt;, 2008)","plainTextFormattedCitation":"(Davidson et al., 2008)","previouslyFormattedCitation":"(Davidson &lt;i&gt;et al.&lt;/i&gt;, 2008)"},"properties":{"noteIndex":0},"schema":"https://github.com/citation-style-language/schema/raw/master/csl-citation.json"}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(Davidson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2008)</w:t>
            </w:r>
            <w:r w:rsidRPr="005A2E25">
              <w:rPr>
                <w:rFonts w:ascii="Arial" w:hAnsi="Arial" w:cs="Arial"/>
                <w:color w:val="000000" w:themeColor="text1"/>
                <w:sz w:val="18"/>
                <w:szCs w:val="18"/>
              </w:rPr>
              <w:fldChar w:fldCharType="end"/>
            </w:r>
          </w:p>
        </w:tc>
        <w:tc>
          <w:tcPr>
            <w:tcW w:w="587" w:type="pct"/>
            <w:vAlign w:val="center"/>
          </w:tcPr>
          <w:p w14:paraId="204CD4AB" w14:textId="77777777" w:rsidR="001D7AD3" w:rsidRPr="005A2E25" w:rsidRDefault="001D7AD3" w:rsidP="00605F18">
            <w:pPr>
              <w:jc w:val="center"/>
              <w:rPr>
                <w:rFonts w:ascii="Arial" w:hAnsi="Arial" w:cs="Arial"/>
                <w:color w:val="000000" w:themeColor="text1"/>
                <w:sz w:val="18"/>
                <w:szCs w:val="18"/>
                <w:lang w:val="es-E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{"citationItems":[{"id":"ITEM-1","itemData":{"DOI":"10.1016/j.fsi.2015.10.017","ISSN":"10504648","PMID":"26477575","abstract":"Spätzle, is the only identified endogenous Toll receptor ligand, plays a critical role in initiatinge innate immune responses and controlling dorsal-ventral axis formation in Drosophila. Here we identified the first spätzle gene homolog, Pu-Spz, in the marine mollusk Paphia undulate. The full-length of Pu-Spz cDNA is 1248 bp, including an open reading frame (ORF) of 702 bp, a 5'-untranslated region (UTR) of 26 bp and a 3'-UTR of 203 bp. The ORF encodes a 233-amino-acid protein with conserved domains; it includes a putative signal peptide and a C-terminal cystine-knot. Sequence alignment revealed that the cystine-knot domain of Pu-Spz contains six highly conserved Cys residues, which maintain a molecular conformation suitable for Toll receptor binding. Unlike Spätzle, Pu-Spz lacks a seventh Cys residue, which is essential for forming intermolecular disulfide bridge. Phylogenetic analysis revealed that Pu-Spz is closer to the homologs found in crustaceans than to those in the insect branch. Transcript abundance of Pu-Spz was increased after challenging P. undulate with either heat-killed Listeria monocytogenes or heat-killed Vibrio alginolyticus, suggesting Spätzle is involved in P. undulate host defense. Our results demonstrate convergent evolution of the spätzle-Toll system between the mollusk and arthropod lineages.","author":[{"dropping-particle":"","family":"Yu","given":"Mingjia","non-dropping-particle":"","parse-names":false,"suffix":""},{"dropping-particle":"","family":"Zhang","given":"Yuehuan","non-dropping-particle":"","parse-names":false,"suffix":""},{"dropping-particle":"","family":"Tang","given":"Xu","non-dropping-particle":"","parse-names":false,"suffix":""},{"dropping-particle":"","family":"Ren","given":"Jun","non-dropping-particle":"","parse-names":false,"suffix":""},{"dropping-particle":"","family":"Zhang","given":"Yang","non-dropping-particle":"","parse-names":false,"suffix":""}],"container-title":"Fish &amp; Shellfish Immunology","id":"ITEM-1","issue":"2","issued":{"date-parts":[["2015","12"]]},"page":"712-716","publisher":"Elsevier","title":"The first mollusk spätzle homolog gene in the clam, Paphia undulate","type":"article-journal","volume":"47"},"uris":["http://www.mendeley.com/documents/?uuid=963e3f85-b675-44b2-be2f-b98fdeacef17"]},{"id":"ITEM-2","itemData":{"DOI":"10.1016/j.fsi.2015.02.013","ISSN":"10504648","abstract":"Non-self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Immunology","id":"ITEM-2","issue":"1","issued":{"date-parts":[["2015","9"]]},"page":"17-38","publisher":"Elsevier Ltd","title":"An updated molecular basis for mussel immunity","type":"article-journal","volume":"46"},"uris":["http://www.mendeley.com/documents/?uuid=23bb3a0d-da3c-4a02-ab79-4fbec127ab5e"]}],"mendeley":{"formattedCitation":"(Gerdol and Venier, 2015; Yu &lt;i&gt;et al.&lt;/i&gt;, 2015)","plainTextFormattedCitation":"(Gerdol and Venier, 2015; Yu et al., 2015)","previouslyFormattedCitation":"(Gerdol and Venier, 2015; Yu &lt;i&gt;et al.&lt;/i&gt;, 2015)"},"properties":{"noteIndex":0},"schema":"https://github.com/citation-style-language/schema/raw/master/csl-citation.json"}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and Venier, 2015; Yu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2015)</w:t>
            </w:r>
            <w:r w:rsidRPr="005A2E25">
              <w:rPr>
                <w:rFonts w:ascii="Arial" w:hAnsi="Arial" w:cs="Arial"/>
                <w:color w:val="000000" w:themeColor="text1"/>
                <w:sz w:val="18"/>
                <w:szCs w:val="18"/>
              </w:rPr>
              <w:fldChar w:fldCharType="end"/>
            </w:r>
          </w:p>
        </w:tc>
        <w:tc>
          <w:tcPr>
            <w:tcW w:w="573" w:type="pct"/>
            <w:vAlign w:val="center"/>
          </w:tcPr>
          <w:p w14:paraId="3E875AE5" w14:textId="77777777" w:rsidR="001D7AD3" w:rsidRPr="005A2E25" w:rsidRDefault="001D7AD3" w:rsidP="00605F18">
            <w:pPr>
              <w:jc w:val="center"/>
              <w:rPr>
                <w:rFonts w:ascii="Arial" w:hAnsi="Arial" w:cs="Arial"/>
                <w:color w:val="000000" w:themeColor="text1"/>
                <w:sz w:val="18"/>
                <w:szCs w:val="18"/>
                <w:lang w:val="es-ES"/>
              </w:rPr>
            </w:pPr>
            <w:r w:rsidRPr="005A2E25">
              <w:rPr>
                <w:rFonts w:ascii="Arial" w:hAnsi="Arial" w:cs="Arial"/>
                <w:color w:val="000000" w:themeColor="text1"/>
                <w:sz w:val="18"/>
                <w:szCs w:val="18"/>
                <w:lang w:val="es-ES"/>
              </w:rPr>
              <w:t>X</w:t>
            </w:r>
          </w:p>
        </w:tc>
        <w:tc>
          <w:tcPr>
            <w:tcW w:w="582" w:type="pct"/>
            <w:vAlign w:val="center"/>
          </w:tcPr>
          <w:p w14:paraId="69B6D490"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2017.12.021","ISSN":"0145305X","author":[{"dropping-particle":"","family":"Gerdol","given":"Marco","non-dropping-particle":"","parse-names":false,"suffix":""},{"dropping-particle":"","family":"Luo","given":"Yi-Jyun","non-dropping-particle":"","parse-names":false,"suffix":""},{"dropping-particle":"","family":"Satoh","given":"Noriyuki","non-dropping-particle":"","parse-names":false,"suffix":""},{"dropping-particle":"","family":"Pallavicini","given":"Alberto","non-dropping-particle":"","parse-names":false,"suffix":""}],"container-title":"Developmental &amp; Comparative Immunology","id":"ITEM-1","issued":{"date-parts":[["2018","5"]]},"page":"7-30","title":"Genetic and molecular basis of the immune system in the brachiopod &lt;i&gt;Lingula anatina&lt;/i&gt;","type":"article-journal","volume":"82"},"uris":["http://www.mendeley.com/documents/?uuid=45ef2341-e661-4554-8f24-5dc865368999"]}],"mendeley":{"formattedCitation":"(Gerdol &lt;i&gt;et al.&lt;/i&gt;, 2018)","plainTextFormattedCitation":"(Gerdol et al., 2018)","previouslyFormattedCitation":"(Gerdol &lt;i&gt;et al.&lt;/i&gt;,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2018)</w:t>
            </w:r>
            <w:r w:rsidRPr="005A2E25">
              <w:rPr>
                <w:rFonts w:ascii="Arial" w:hAnsi="Arial" w:cs="Arial"/>
                <w:color w:val="000000" w:themeColor="text1"/>
                <w:sz w:val="18"/>
                <w:szCs w:val="18"/>
              </w:rPr>
              <w:fldChar w:fldCharType="end"/>
            </w:r>
          </w:p>
        </w:tc>
        <w:tc>
          <w:tcPr>
            <w:tcW w:w="716" w:type="pct"/>
            <w:vAlign w:val="center"/>
          </w:tcPr>
          <w:p w14:paraId="26057C32" w14:textId="77777777" w:rsidR="001D7AD3" w:rsidRPr="005A2E25" w:rsidRDefault="001D7AD3" w:rsidP="00605F18">
            <w:pPr>
              <w:jc w:val="center"/>
              <w:rPr>
                <w:rFonts w:ascii="Arial" w:hAnsi="Arial" w:cs="Arial"/>
                <w:color w:val="000000" w:themeColor="text1"/>
                <w:sz w:val="18"/>
                <w:szCs w:val="18"/>
                <w:lang w:val="es-ES"/>
              </w:rPr>
            </w:pPr>
            <w:r w:rsidRPr="005A2E25">
              <w:rPr>
                <w:rFonts w:ascii="Arial" w:hAnsi="Arial" w:cs="Arial"/>
                <w:color w:val="000000" w:themeColor="text1"/>
                <w:sz w:val="18"/>
                <w:szCs w:val="18"/>
                <w:lang w:val="es-ES"/>
              </w:rPr>
              <w:t>X</w:t>
            </w:r>
          </w:p>
        </w:tc>
        <w:tc>
          <w:tcPr>
            <w:tcW w:w="479" w:type="pct"/>
            <w:vAlign w:val="center"/>
          </w:tcPr>
          <w:p w14:paraId="3B7A428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(Mapalo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2020)</w:t>
            </w:r>
            <w:r w:rsidRPr="005A2E25">
              <w:rPr>
                <w:rFonts w:ascii="Arial" w:hAnsi="Arial" w:cs="Arial"/>
                <w:color w:val="000000" w:themeColor="text1"/>
                <w:sz w:val="18"/>
                <w:szCs w:val="18"/>
              </w:rPr>
              <w:fldChar w:fldCharType="end"/>
            </w:r>
          </w:p>
        </w:tc>
      </w:tr>
      <w:tr w:rsidR="001D7AD3" w:rsidRPr="005A2E25" w14:paraId="1A383A9A" w14:textId="77777777" w:rsidTr="00605F18">
        <w:tc>
          <w:tcPr>
            <w:tcW w:w="539" w:type="pct"/>
          </w:tcPr>
          <w:p w14:paraId="798DE988"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TLR</w:t>
            </w:r>
          </w:p>
        </w:tc>
        <w:tc>
          <w:tcPr>
            <w:tcW w:w="493" w:type="pct"/>
            <w:vAlign w:val="center"/>
          </w:tcPr>
          <w:p w14:paraId="5444ECFB"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{"citationItems":[{"id":"ITEM-1","itemData":{"DOI":"10.1111/j.1525-142X.2010.00436.x","ISSN":"1520541X","abstract":"Members of the Toll-like receptor (TLR) and the interleukin 1 receptor (IL1R) superfamilies activate various signaling cascades that are evolutionarily conserved in eumetazoans. In this study, we have searched the genome and expressed sequence tags of the demosponge Amphimedon queenslandica for molecules involved in TLR and IL1R signaling. Although we did not identify a conventional TLR or ILR, the Amphimedon genome encodes two related receptors, AmqIgTIRs, which are comprised of at least three extracellular IL1R-like immunoglobulins (Ig) and an intracellular TLR-like Toll/interleukin1 receptor/resistance (TIR) domain. The remainder of the TLR/IL1R pathway is mostly conserved in Amphimedon and includes genes known to interact with TLRs and IL1Rs in bilaterians, such as Toll-interacting protein (Tollip) and myeloid differentiation factor 88 (MyD88). By comparing the sponge genome to that of nonmetazoan eukaryotes and other basal animal phyla (i.e., placozoan and cnidarian representatives) we can infer that most components of the signaling cascade, including the receptors, evolved after the divergence of metazoan, and choanoflagellate lineages. In most cases, these proteins are composed of metazoan-specific domains (e.g., Pellino) or architectures (e.g., the association of a death domain with a TIR domain in the MyD88). The dynamic expression of the two AmqIgTIRs, AmqMyD88, AmqTollip, and AmqPellino during Amphimedon embryogenesis and larval development is consistent with the TLR/IL1R pathway having a role in both development and immunity in the last common metazoan ancestor. © 2010 Wiley Periodicals, Inc.","author":[{"dropping-particle":"","family":"Gauthier","given":"Marie E. A.","non-dropping-particle":"","parse-names":false,"suffix":""},{"dropping-particle":"","family":"Pasquier","given":"Louis","non-dropping-particle":"Du","parse-names":false,"suffix":""},{"dropping-particle":"","family":"Degnan","given":"Bernard M.","non-dropping-particle":"","parse-names":false,"suffix":""}],"container-title":"Evolution &amp; Development","id":"ITEM-1","issue":"5","issued":{"date-parts":[["2010","9","23"]]},"note":"- TLR-like in porifera","page":"519-533","title":"The genome of the sponge &lt;i&gt;Amphimedon queenslandica&lt;/i&gt; provides new perspectives into the origin of Toll-like and interleukin 1 receptor pathways","type":"article-journal","volume":"12"},"uris":["http://www.mendeley.com/documents/?uuid=51c166d8-43f2-4f3f-bfe7-bf897c4a9f7b"]},{"id":"ITEM-2","itemData":{"DOI":"10.1093/molbev/msl208","ISSN":"0737-4038","abstract":"During evolution and with the emergence of multicellular animals, the need arose to ward off foreign organisms that threaten the integrity of the animal body. Among many different receptors that participate in the recognition of microbial invaders, toll-like receptors (TLRs) play an essential role in mediating the innate immune response. After binding distinct microbial components, TLRs activate intracellular signaling cascades that result in an induced expression of diverse antimicrobial molecules. Because sponges (phylum Porifera) are filter feeders, they are abundantly exposed to microorganisms that represent a potential threat. Here, we describe the identification, cloning, and deduced protein sequence from 3 major elements of the poriferan innate response (to bacterial lipopeptides): the TLR, the IL-1 receptor-associated kinase-4-like protein (IRAK-4l), and a novel effector caspase from the demosponge Suberites domuncula. Each molecule shares significant sequence similarity with its homologues in higher Metazoa. Sequence homologies were found in particular within the family-specific domains toll/interleukin-1 receptor/resistance (TLR family), Ser/Thr/Tyr kinase domain (IRAK family), and CASc (caspase family). In addition, in situ hybridization and immunohistological analyses revealed an abundance of SDTLR (TLR) transcripts in epithelial layers of the sponge surface (exopinacoderm and endopinacoderm). Furthermore, it is shown that both SDTLR and SDIRAK-4 like (IRAK) are expressed constitutively, regardless of treatment with synthetic triacyl lipopeptide Pam 3Cys-Ser-(Lys)4. In contrast, SDCASL (caspase) expression is highly Pam3Cys-Ser-(Lys)4 inducible. However, blocking of the lipopeptide with recombinant TLR prior to its application completely prevented the induced expression of this poriferan caspase. These results underscore that the phylogenetically oldest extant metazoan phylum is provided already with the signaling pathways of the antimicrobial host-defense system of Metazoa. © The Author 2006. Published by Oxford University Press on behalf of the Society for Molecular Biology and Evolution. All rights reserved.","author":[{"dropping-particle":"","family":"Wiens","given":"Matthias","non-dropping-particle":"","parse-names":false,"suffix":""},{"dropping-particle":"","family":"Korzhev","given":"Michael","non-dropping-particle":"","parse-names":false,"suffix":""},{"dropping-particle":"","family":"Perovic-Ottstadt","given":"S.","non-dropping-particle":"","parse-names":false,"suffix":""},{"dropping-particle":"","family":"Luthringer","given":"Bérengère","non-dropping-particle":"","parse-names":false,"suffix":""},{"dropping-particle":"","family":"Brandt","given":"David","non-dropping-particle":"","parse-names":false,"suffix":""},{"dropping-particle":"","family":"Klein","given":"Stefanie","non-dropping-particle":"","parse-names":false,"suffix":""},{"dropping-particle":"","family":"Muller","given":"W. E. G.","non-dropping-particle":"","parse-names":false,"suffix":""}],"container-title":"Molecular Biology and Evolution","id":"ITEM-2","issue":"3","issued":{"date-parts":[["2006","12","5"]]},"page":"792-804","title":"Toll-like receptors are part of the innate immune defense system of sponges (Demospongiae: Porifera)","type":"article-journal","volume":"24"},"uris":["http://www.mendeley.com/documents/?uuid=dfe0da17-9fe6-47ba-823e-4b83842c7624"]}],"mendeley":{"formattedCitation":"(Wiens &lt;i&gt;et al.&lt;/i&gt;, 2006; Gauthier &lt;i&gt;et al.&lt;/i&gt;, 2010)","plainTextFormattedCitation":"(Wiens et al., 2006; Gauthier et al., 2010)","previouslyFormattedCitation":"(Wiens &lt;i&gt;et al.&lt;/i&gt;, 2006; Gauthier &lt;i&gt;et al.&lt;/i&gt;, 2010)"},"properties":{"noteIndex":0},"schema":"https://github.com/citation-style-language/schema/raw/master/csl-citation.json"}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(Wiens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2006; Gauthier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2010)</w:t>
            </w:r>
            <w:r w:rsidRPr="005A2E25">
              <w:rPr>
                <w:rFonts w:ascii="Arial" w:hAnsi="Arial" w:cs="Arial"/>
                <w:color w:val="000000" w:themeColor="text1"/>
                <w:sz w:val="18"/>
                <w:szCs w:val="18"/>
              </w:rPr>
              <w:fldChar w:fldCharType="end"/>
            </w:r>
          </w:p>
        </w:tc>
        <w:tc>
          <w:tcPr>
            <w:tcW w:w="572" w:type="pct"/>
            <w:vAlign w:val="center"/>
          </w:tcPr>
          <w:p w14:paraId="73444CA5"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{"citationItems":[{"id":"ITEM-1","itemData":{"DOI":"10.1073/pnas.1711530114","ISSN":"0027-8424","abstract":"In organisms from insects to vertebrates, Toll-like receptors (TLRs) are primary pathogen detectors that activate downstream pathways, specifically those that direct expression of innate immune effector genes. TLRs also have roles in development in many species. The sea anemone Nematostella vectensis is a useful cnidarian model to study the origins of TLR signaling because its genome encodes a single TLR and homologs of many downstream signaling components, including the NF-κB pathway. We have characterized the single N. vectensis TLR (Nv-TLR) and demonstrated that it can activate canonical NF-κB signaling in human cells. Furthermore, we show that the intracellular Toll/IL-1 receptor (TIR) domain of Nv-TLR can interact with the human TLR adapter proteins MAL and MYD88. We demonstrate that the coral pathogen Vibrio coralliilyticus causes a rapidly lethal disease in N. vectensis and that heat-inactivated V. coralliilyticus and bacterial flagellin can activate a reconstituted Nv-TLR–to–NF-κB pathway in human cells. By immunostaining of anemones, we show that Nv-TLR is expressed in a subset of cnidocytes and that many of these Nv-TLR–expressing cells also express Nv-NF-κB. Additionally, the nematosome, which is a Nematostella -specific multicellular structure, expresses Nv-TLR and many innate immune pathway homologs and can engulf V. coralliilyticus . Morpholino knockdown indicates that Nv-TLR also has an essential role during early embryonic development. Our characterization of this primitive TLR and identification of a bacterial pathogen for N. vectensis reveal ancient TLR functions and provide a model for studying the molecular basis of cnidarian disease and immunity.","author":[{"dropping-particle":"","family":"Brennan","given":"Joseph J.","non-dropping-particle":"","parse-names":false,"suffix":""},{"dropping-particle":"","family":"Messerschmidt","given":"Jonathan L.","non-dropping-particle":"","parse-names":false,"suffix":""},{"dropping-particle":"","family":"Williams","given":"Leah M.","non-dropping-particle":"","parse-names":false,"suffix":""},{"dropping-particle":"","family":"Matthews","given":"Bryan J.","non-dropping-particle":"","parse-names":false,"suffix":""},{"dropping-particle":"","family":"Reynoso","given":"Marinaliz","non-dropping-particle":"","parse-names":false,"suffix":""},{"dropping-particle":"","family":"Gilmore","given":"Thomas D.","non-dropping-particle":"","parse-names":false,"suffix":""}],"container-title":"Proceedings of the National Academy of Sciences","id":"ITEM-1","issue":"47","issued":{"date-parts":[["2017","11","21"]]},"note":"TLR Nematostella vectensis","page":"E10122-E10131","title":"Sea anemone model has a single Toll-like receptor that can function in pathogen detection, NF-κB signal transduction, and development","type":"article-journal","volume":"114"},"uris":["http://www.mendeley.com/documents/?uuid=d2703153-9c99-4de7-b31c-5f75de00feb1"]},{"id":"ITEM-2","itemData":{"DOI":"10.1016/j.dci.2014.06.002","ISSN":"0145305X","abstract":"The intracellular toll/interleukin-1 receptor (TIR) domain plays an important role in vertebrate immunity, but the evolution and function of invertebrate TIR-domain-containing proteins is not fully understood. This study characterized and compared the TIR-domain-containing protein repertoire of nine cnidarians in class Anthozoa. A diverse set of proteins, including MyD88 (myeloid differentiation primary response protein 88), toll-like receptor (TLR)-like, interleukin-1 receptor (IL-1R)-like, and TIR-only proteins are present in the species surveyed. Increased numbers of TIR-only proteins were observed in corals compared to anemones, especially in the Acroporid and Pocilloporid coral families. This expansion could be linked to diversity of the microbial community on or in hosts and managing both positive and negative associations. Phylogenetic analysis indicates there are two groups of proteins with IL-1R-like domain architecture in anthozoans that potentially evolved independently of the vertebrate family. Bacterial-like TIR_2 domain proteins are also present, including one sequence with novel domain architecture. Overall this work promotes a better understanding of the anthozoan immune repertoire, which is important in the context learning about ancestral immune pathways and host-microbe interactions. © 2014 Elsevier Ltd.","author":[{"dropping-particle":"","family":"Poole","given":"Angela Z.","non-dropping-particle":"","parse-names":false,"suffix":""},{"dropping-particle":"","family":"Weis","given":"Virginia M.","non-dropping-particle":"","parse-names":false,"suffix":""}],"container-title":"Developmental &amp; Comparative Immunology","id":"ITEM-2","issue":"2","issued":{"date-parts":[["2014","10"]]},"note":"- cnidarian TLRs --&amp;gt; Acrophora,\n- Only TLR-like","page":"480-488","publisher":"Elsevier Ltd","title":"TIR-domain-containing protein repertoire of nine anthozoan species reveals coral–specific expansions and uncharacterized proteins","type":"article-journal","volume":"46"},"uris":["http://www.mendeley.com/documents/?uuid=1f1d6629-a86a-459b-b4e6-a72f7279430f"]},{"id":"ITEM-3","itemData":{"DOI":"10.1016/j.dci.2017.10.016","ISSN":"0145305X","abstract":"Herein, we characterize the Toll-like receptor (TLR)-to-NF-κB innate immune pathway of Orbicella faveolata (Of), which is an ecologically important, disease-susceptible, reef-building coral. As compared to human TLRs, the intracellular TIR domain of Of-TLR is most similar to TLR4, and it can interact in vitro with the human TLR4 adapter MYD88. Treatment of O. faveolata tissue with lipopolysaccharide, a ligand for mammalian TLR4, resulted in gene expression changes consistent with NF-κB pathway mobilization. Biochemical and cell-based assays revealed that Of-NF-κB resembles the mammalian non-canonical NF-κB protein p100 in that C-terminal truncation results in translocation of Of-NF-κB to the nucleus and increases its DNA-binding and transcriptional activation activities. Moreover, human IκB kinase (IKK) and Of-IKK can both phosphorylate conserved residues in Of-NF-κB in vitro and induce C-terminal processing of Of-NF-κB in vivo. These results are the first characterization of TLR-to-NF-κB signaling proteins in an endangered coral, and suggest that these corals have conserved innate immune pathways.","author":[{"dropping-particle":"","family":"Williams","given":"Leah M.","non-dropping-particle":"","parse-names":false,"suffix":""},{"dropping-particle":"","family":"Fuess","given":"Lauren E.","non-dropping-particle":"","parse-names":false,"suffix":""},{"dropping-particle":"","family":"Brennan","given":"Joseph J.","non-dropping-particle":"","parse-names":false,"suffix":""},{"dropping-particle":"","family":"Mansfield","given":"Katelyn M.","non-dropping-particle":"","parse-names":false,"suffix":""},{"dropping-particle":"","family":"Salas-Rodriguez","given":"Erick","non-dropping-particle":"","parse-names":false,"suffix":""},{"dropping-particle":"","family":"Welsh","given":"Julianne","non-dropping-particle":"","parse-names":false,"suffix":""},{"dropping-particle":"","family":"Awtry","given":"Jake","non-dropping-particle":"","parse-names":false,"suffix":""},{"dropping-particle":"","family":"Banic","given":"Sarah","non-dropping-particle":"","parse-names":false,"suffix":""},{"dropping-particle":"","family":"Chacko","given":"Cecilia","non-dropping-particle":"","parse-names":false,"suffix":""},{"dropping-particle":"","family":"Chezian","given":"Aarthia","non-dropping-particle":"","parse-names":false,"suffix":""},{"dropping-particle":"","family":"Dowers","given":"Donovan","non-dropping-particle":"","parse-names":false,"suffix":""},{"dropping-particle":"","family":"Estrada","given":"Felicia","non-dropping-particle":"","parse-names":false,"suffix":""},{"dropping-particle":"","family":"Hsieh","given":"Yu-Hsuan","non-dropping-particle":"","parse-names":false,"suffix":""},{"dropping-particle":"","family":"Kang","given":"Jiawen","non-dropping-particle":"","parse-names":false,"suffix":""},{"dropping-particle":"","family":"Li","given":"Wanwen","non-dropping-particle":"","parse-names":false,"suffix":""},{"dropping-particle":"","family":"Malchiodi","given":"Zoe","non-dropping-particle":"","parse-names":false,"suffix":""},{"dropping-particle":"","family":"Malinowski","given":"John","non-dropping-particle":"","parse-names":false,"suffix":""},{"dropping-particle":"","family":"Matuszak","given":"Sean","non-dropping-particle":"","parse-names":false,"suffix":""},{"dropping-particle":"","family":"McTigue","given":"Thomas","non-dropping-particle":"","parse-names":false,"suffix":""},{"dropping-particle":"","family":"Mueller","given":"David","non-dropping-particle":"","parse-names":false,"suffix":""},{"dropping-particle":"","family":"Nguyen","given":"Brian","non-dropping-particle":"","parse-names":false,"suffix":""},{"dropping-particle":"","family":"Nguyen","given":"Michelle","non-dropping-particle":"","parse-names":false,"suffix":""},{"dropping-particle":"","family":"Nguyen","given":"Phuong","non-dropping-particle":"","parse-names":false,"suffix":""},{"dropping-particle":"","family":"Nguyen","given":"Sinead","non-dropping-particle":"","parse-names":false,"suffix":""},{"dropping-particle":"","family":"Njoku","given":"Ndidi","non-dropping-particle":"","parse-names":false,"suffix":""},{"dropping-particle":"","family":"Patel","given":"Khusbu","non-dropping-particle":"","parse-names":false,"suffix":""},{"dropping-particle":"","family":"Pellegrini","given":"William","non-dropping-particle":"","parse-names":false,"suffix":""},{"dropping-particle":"","family":"Pliakas","given":"Tessa","non-dropping-particle":"","parse-names":false,"suffix":""},{"dropping-particle":"","family":"Qadir","given":"Deena","non-dropping-particle":"","parse-names":false,"suffix":""},{"dropping-particle":"","family":"Ryan","given":"Emma","non-dropping-particle":"","parse-names":false,"suffix":""},{"dropping-particle":"","family":"Schiffer","given":"Alex","non-dropping-particle":"","parse-names":false,"suffix":""},{"dropping-particle":"","family":"Thiel","given":"Amber","non-dropping-particle":"","parse-names":false,"suffix":""},{"dropping-particle":"","family":"Yunes","given":"Sarah A.","non-dropping-particle":"","parse-names":false,"suffix":""},{"dropping-particle":"","family":"Spilios","given":"Kathryn E.","non-dropping-particle":"","parse-names":false,"suffix":""},{"dropping-particle":"","family":"Pinzón C","given":"Jorge H.","non-dropping-particle":"","parse-names":false,"suffix":""},{"dropping-particle":"","family":"Mydlarz","given":"Laura D.","non-dropping-particle":"","parse-names":false,"suffix":""},{"dropping-particle":"","family":"Gilmore","given":"Thomas D.","non-dropping-particle":"","parse-names":false,"suffix":""}],"container-title":"Developmental &amp; Comparative Immunology","id":"ITEM-3","issued":{"date-parts":[["2018","2"]]},"note":"TLR cnidarian orbicella","page":"128-136","title":"A conserved Toll-like receptor-to-NF-κB signaling pathway in the endangered coral &lt;i&gt;Orbicella faveolata&lt;/i&gt;","type":"article-journal","volume":"79"},"uris":["http://www.mendeley.com/documents/?uuid=40c10537-c85a-46f4-b6a8-eae545699787"]},{"id":"ITEM-4","itemData":{"DOI":"10.1016/j.dci.2008.10.004","ISSN":"0145305X","PMID":"19013190","abstract":"Although many properties of the innate immune system are shared among multicellular animals, the evolutionary origin remains poorly understood. Here we characterize the innate immune system in Hydra, one of the simplest multicellular animals known. In the complete absence of both protective mechanical barriers and mobile phagocytes, Hydra's epithelium is remarkably well equipped with potent antimicrobial peptides to prevent pathogen infection. Induction of antimicrobial peptide production is mediated by the interaction of a leucine-rich repeats (LRRs) domain containing protein with a TIR-domain containing protein lacking LRRs. Conventional Toll-like receptors (TLRs) are absent in the Hydra genome. Our findings support the hypothesis that the epithelium represents the ancient system of host defence. © 2008 Elsevier Ltd. All rights reserved.","author":[{"dropping-particle":"","family":"Bosch","given":"Thomas C.G.","non-dropping-particle":"","parse-names":false,"suffix":""},{"dropping-particle":"","family":"Augustin","given":"René","non-dropping-particle":"","parse-names":false,"suffix":""},{"dropping-particle":"","family":"Anton-Erxleben","given":"Friederike","non-dropping-particle":"","parse-names":false,"suffix":""},{"dropping-particle":"","family":"Fraune","given":"Sebastian","non-dropping-particle":"","parse-names":false,"suffix":""},{"dropping-particle":"","family":"Hemmrich","given":"Georg","non-dropping-particle":"","parse-names":false,"suffix":""},{"dropping-particle":"","family":"Zill","given":"Holger","non-dropping-particle":"","parse-names":false,"suffix":""},{"dropping-particle":"","family":"Rosenstiel","given":"Philip","non-dropping-particle":"","parse-names":false,"suffix":""},{"dropping-particle":"","family":"Jacobs","given":"Gunnar","non-dropping-particle":"","parse-names":false,"suffix":""},{"dropping-particle":"","family":"Schreiber","given":"Stefan","non-dropping-particle":"","parse-names":false,"suffix":""},{"dropping-particle":"","family":"Leippe","given":"Matthias","non-dropping-particle":"","parse-names":false,"suffix":""},{"dropping-particle":"","family":"Stanisak","given":"Mareike","non-dropping-particle":"","parse-names":false,"suffix":""},{"dropping-particle":"","family":"Grötzinger","given":"Joachim","non-dropping-particle":"","parse-names":false,"suffix":""},{"dropping-particle":"","family":"Jung","given":"Sascha","non-dropping-particle":"","parse-names":false,"suffix":""},{"dropping-particle":"","family":"Podschun","given":"Rainer","non-dropping-particle":"","parse-names":false,"suffix":""},{"dropping-particle":"","family":"Bartels","given":"Joachim","non-dropping-particle":"","parse-names":false,"suffix":""},{"dropping-particle":"","family":"Harder","given":"Jürgen","non-dropping-particle":"","parse-names":false,"suffix":""},{"dropping-particle":"","family":"Schröder","given":"Jens-M.","non-dropping-particle":"","parse-names":false,"suffix":""}],"container-title":"Developmental &amp; Comparative Immunology","id":"ITEM-4","issue":"4","issued":{"date-parts":[["2009","4"]]},"note":"Hydra TLR-like","page":"559-569","title":"Uncovering the evolutionary history of innate immunity: The simple metazoan &lt;i&gt;Hydra&lt;/i&gt; uses epithelial cells for host defence","type":"article-journal","volume":"33"},"uris":["http://www.mendeley.com/documents/?uuid=c2f48658-493c-4307-8bfd-25507ebe01ce"]},{"id":"ITEM-5","itemData":{"DOI":"10.1038/s41559-019-0833-2","ISSN":"2397-334X","abstract":"Jellyfish (medusae) are a distinctive life-cycle stage of medusozoan cnidarians. They are major marine predators, with integrated neurosensory, muscular and organ systems. The genetic foundations of this complex form are largely unknown. We report the draft genome of the hydrozoan jellyfish Clytia hemisphaerica and use multiple transcriptomes to determine gene use across life-cycle stages. Medusa, planula larva and polyp are each characterized by distinct transcriptome signatures reflecting abrupt life-cycle transitions and all deploy a mixture of phylogenetically old and new genes. Medusa-specific transcription factors, including many with bilaterian orthologues, associate with diverse neurosensory structures. Compared to Clytia, the polyp-only hydrozoan Hydra has lost many of the medusa-expressed transcription factors, despite similar overall rates of gene content evolution and sequence evolution. Absence of expression and gene loss among Clytia orthologues of genes patterning the anthozoan aboral pole, secondary axis and endomesoderm support simplification of planulae and polyps in Hydrozoa, including loss of bilateral symmetry. Consequently, although the polyp and planula are generally considered the ancestral cnidarian forms, in Clytia the medusa maximally deploys the ancestral cnidarian–bilaterian transcription factor gene complement.","author":[{"dropping-particle":"","family":"Leclère","given":"Lucas","non-dropping-particle":"","parse-names":false,"suffix":""},{"dropping-particle":"","family":"Horin","given":"Coralie","non-dropping-particle":"","parse-names":false,"suffix":""},{"dropping-particle":"","family":"Chevalier","given":"Sandra","non-dropping-particle":"","parse-names":false,"suffix":""},{"dropping-particle":"","family":"Lapébie","given":"Pascal","non-dropping-particle":"","parse-names":false,"suffix":""},{"dropping-particle":"","family":"Dru","given":"Philippe","non-dropping-particle":"","parse-names":false,"suffix":""},{"dropping-particle":"","family":"Peron","given":"Sophie","non-dropping-particle":"","parse-names":false,"suffix":""},{"dropping-particle":"","family":"Jager","given":"Muriel","non-dropping-particle":"","parse-names":false,"suffix":""},{"dropping-particle":"","family":"Condamine","given":"Thomas","non-dropping-particle":"","parse-names":false,"suffix":""},{"dropping-particle":"","family":"Pottin","given":"Karen","non-dropping-particle":"","parse-names":false,"suffix":""},{"dropping-particle":"","family":"Romano","given":"Séverine","non-dropping-particle":"","parse-names":false,"suffix":""},{"dropping-particle":"","family":"Steger","given":"Julia","non-dropping-particle":"","parse-names":false,"suffix":""},{"dropping-particle":"","family":"Sinigaglia","given":"Chiara","non-dropping-particle":"","parse-names":false,"suffix":""},{"dropping-particle":"","family":"Barreau","given":"Carine","non-dropping-particle":"","parse-names":false,"suffix":""},{"dropping-particle":"","family":"Quiroga Artigas","given":"Gonzalo","non-dropping-particle":"","parse-names":false,"suffix":""},{"dropping-particle":"","family":"Ruggiero","given":"Antonella","non-dropping-particle":"","parse-names":false,"suffix":""},{"dropping-particle":"","family":"Fourrage","given":"Cécile","non-dropping-particle":"","parse-names":false,"suffix":""},{"dropping-particle":"","family":"Kraus","given":"Johanna E. M.","non-dropping-particle":"","parse-names":false,"suffix":""},{"dropping-particle":"","family":"Poulain","given":"Julie","non-dropping-particle":"","parse-names":false,"suffix":""},{"dropping-particle":"","family":"Aury","given":"Jean-Marc","non-dropping-particle":"","parse-names":false,"suffix":""},{"dropping-particle":"","family":"Wincker","given":"Patrick","non-dropping-particle":"","parse-names":false,"suffix":""},{"dropping-particle":"","family":"Quéinnec","given":"Eric","non-dropping-particle":"","parse-names":false,"suffix":""},{"dropping-particle":"","family":"Technau","given":"Ulrich","non-dropping-particle":"","parse-names":false,"suffix":""},{"dropping-particle":"","family":"Manuel","given":"Michaël","non-dropping-particle":"","parse-names":false,"suffix":""},{"dropping-particle":"","family":"Momose","given":"Tsuyoshi","non-dropping-particle":"","parse-names":false,"suffix":""},{"dropping-particle":"","family":"Houliston","given":"Evelyn","non-dropping-particle":"","parse-names":false,"suffix":""},{"dropping-particle":"","family":"Copley","given":"Richard R.","non-dropping-particle":"","parse-names":false,"suffix":""}],"container-title":"Nature Ecology &amp; Evolution","id":"ITEM-5","issue":"5","issued":{"date-parts":[["2019","5","11"]]},"page":"801-810","publisher":"Springer US","title":"The genome of the jellyfish &lt;i&gt;Clytia hemisphaerica&lt;/i&gt; and the evolution of the cnidarian life-cycle","type":"article-journal","volume":"3"},"uris":["http://www.mendeley.com/documents/?uuid=a8650c7a-2781-4b7d-b875-25e91251acca"]},{"id":"ITEM-6","itemData":{"DOI":"10.1111/j.1525-142X.2010.00436.x","ISSN":"1520541X","abstract":"Members of the Toll-like receptor (TLR) and the interleukin 1 receptor (IL1R) superfamilies activate various signaling cascades that are evolutionarily conserved in eumetazoans. In this study, we have searched the genome and expressed sequence tags of the demosponge Amphimedon queenslandica for molecules involved in TLR and IL1R signaling. Although we did not identify a conventional TLR or ILR, the Amphimedon genome encodes two related receptors, AmqIgTIRs, which are comprised of at least three extracellular IL1R-like immunoglobulins (Ig) and an intracellular TLR-like Toll/interleukin1 receptor/resistance (TIR) domain. The remainder of the TLR/IL1R pathway is mostly conserved in Amphimedon and includes genes known to interact with TLRs and IL1Rs in bilaterians, such as Toll-interacting protein (Tollip) and myeloid differentiation factor 88 (MyD88). By comparing the sponge genome to that of nonmetazoan eukaryotes and other basal animal phyla (i.e., placozoan and cnidarian representatives) we can infer that most components of the signaling cascade, including the receptors, evolved after the divergence of metazoan, and choanoflagellate lineages. In most cases, these proteins are composed of metazoan-specific domains (e.g., Pellino) or architectures (e.g., the association of a death domain with a TIR domain in the MyD88). The dynamic expression of the two AmqIgTIRs, AmqMyD88, AmqTollip, and AmqPellino during Amphimedon embryogenesis and larval development is consistent with the TLR/IL1R pathway having a role in both development and immunity in the last common metazoan ancestor. © 2010 Wiley Periodicals, Inc.","author":[{"dropping-particle":"","family":"Gauthier","given":"Marie E. A.","non-dropping-particle":"","parse-names":false,"suffix":""},{"dropping-particle":"","family":"Pasquier","given":"Louis","non-dropping-particle":"Du","parse-names":false,"suffix":""},{"dropping-particle":"","family":"Degnan","given":"Bernard M.","non-dropping-particle":"","parse-names":false,"suffix":""}],"container-title":"Evolution &amp; Development","id":"ITEM-6","issue":"5","issued":{"date-parts":[["2010","9","23"]]},"note":"- TLR-like in porifera","page":"519-533","title":"The genome of the sponge &lt;i&gt;Amphimedon queenslandica&lt;/i&gt; provides new perspectives into the origin of Toll-like and interleukin 1 receptor pathways","type":"article-journal","volume":"12"},"uris":["http://www.mendeley.com/documents/?uuid=51c166d8-43f2-4f3f-bfe7-bf897c4a9f7b"]}],"mendeley":{"formattedCitation":"(Bosch &lt;i&gt;et al.&lt;/i&gt;, 2009; Gauthier &lt;i&gt;et al.&lt;/i&gt;, 2010; Poole and Weis, 2014; Brennan &lt;i&gt;et al.&lt;/i&gt;, 2017; Williams &lt;i&gt;et al.&lt;/i&gt;, 2018; Leclère &lt;i&gt;et al.&lt;/i&gt;, 2019)","plainTextFormattedCitation":"(Bosch et al., 2009; Gauthier et al., 2010; Poole and Weis, 2014; Brennan et al., 2017; Williams et al., 2018; Leclère et al., 2019)","previouslyFormattedCitation":"(Bosch &lt;i&gt;et al.&lt;/i&gt;, 2009; Gauthier &lt;i&gt;et al.&lt;/i&gt;, 2010; Poole and Weis, 2014; Brennan &lt;i&gt;et al.&lt;/i&gt;, 2017; Williams &lt;i&gt;et al.&lt;/i&gt;, 2018; Leclère &lt;i&gt;et al.&lt;/i&gt;, 2019)"},"properties":{"noteIndex":0},"schema":"https://github.com/citation-style-language/schema/raw/master/csl-citation.json"}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(Bosch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2009; Gauthier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2010; Poole and Weis, 2014; Brennan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2017; Williams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2018; Leclère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2019)</w:t>
            </w:r>
            <w:r w:rsidRPr="005A2E25">
              <w:rPr>
                <w:rFonts w:ascii="Arial" w:hAnsi="Arial" w:cs="Arial"/>
                <w:color w:val="000000" w:themeColor="text1"/>
                <w:sz w:val="18"/>
                <w:szCs w:val="18"/>
              </w:rPr>
              <w:fldChar w:fldCharType="end"/>
            </w:r>
          </w:p>
        </w:tc>
        <w:tc>
          <w:tcPr>
            <w:tcW w:w="459" w:type="pct"/>
            <w:vAlign w:val="center"/>
          </w:tcPr>
          <w:p w14:paraId="1E3D52A0"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{"citationItems":[{"id":"ITEM-1","itemData":{"DOI":"10.1016/j.dci.2007.11.004","ISBN":"1028363621","ISSN":"0145305X","abstract":"Toll-like receptors (TLRs) are an important part of the innate immunity system and are found throughout the animal kingdom, but have not yet been reported in annelids. We searched shotgun reads of the genomes of the leech Helobdella and polychaete Capitella for TLR homologs. We found 105 TLR homologs in Capitella and 16 in Helobdella. The deduced phylogeny of these sequences, together with TLRs from other animal phyla, reveals three major clades. One clade consists of a mixture of both vertebrates and invertebrates, including sequences from Capitella and Helobdella, while the other two clades contain only invertebrate TLRs. © 2007 Elsevier Ltd. All rights reserved.","author":[{"dropping-particle":"","family":"Davidson","given":"Charis R.","non-dropping-particle":"","parse-names":false,"suffix":""},{"dropping-particle":"","family":"Best","given":"Natalie M.","non-dropping-particle":"","parse-names":false,"suffix":""},{"dropping-particle":"","family":"Francis","given":"Joseph W.","non-dropping-particle":"","parse-names":false,"suffix":""},{"dropping-particle":"","family":"Cooper","given":"Edwin L.","non-dropping-particle":"","parse-names":false,"suffix":""},{"dropping-particle":"","family":"Wood","given":"Todd Charles","non-dropping-particle":"","parse-names":false,"suffix":""}],"container-title":"Developmental &amp; Comparative Immunology","id":"ITEM-1","issue":"6","issued":{"date-parts":[["2008"]]},"note":"- P-type/V-type classification","page":"608-612","title":"&lt;i&gt;Toll-like receptor&lt;/i&gt; genes (TLRs) from &lt;i&gt;Capitella capitata&lt;/i&gt; and &lt;i&gt;Helobdella robusta &lt;/i&gt;(Annelida)","type":"article-journal","volume":"32"},"uris":["http://www.mendeley.com/documents/?uuid=21cec692-cd6b-4599-91b8-08aedacc1af7"]},{"id":"ITEM-2","itemData":{"DOI":"10.1086/BBLv227n2p201","ISSN":"0006-3185","author":[{"dropping-particle":"","family":"Halanych","given":"Kenneth M","non-dropping-particle":"","parse-names":false,"suffix":""},{"dropping-particle":"","family":"Kocot","given":"Kevin M","non-dropping-particle":"","parse-names":false,"suffix":""}],"container-title":"The Biological Bulletin","id":"ITEM-2","issue":"2","issued":{"date-parts":[["2014","10"]]},"note":"Discussion\n- TLRs absent in entoproctoa\n\nConclussion:\n- P- V- nomenclature should be avoided","page":"201-209","title":"Repurposed transcriptomic data facilitate discovery of innate immunity &lt;i&gt;Toll-Like Receptor (TLR)&lt;/i&gt; genes across Lophotrochozoa","type":"article-journal","volume":"227"},"uris":["http://www.mendeley.com/documents/?uuid=aa39a86c-c5a2-4ce8-bec3-c5f1dca47fe5"]},{"id":"ITEM-3","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-3","issued":{"date-parts":[["2021"]]},"title":"The evolution of the metazoan Toll receptor family and its expression during protostome development","type":"article-journal"},"uris":["http://www.mendeley.com/documents/?uuid=d956b8cf-e356-4440-ad24-9580481193cb"]}],"mendeley":{"formattedCitation":"(Davidson &lt;i&gt;et al.&lt;/i&gt;, 2008; Halanych and Kocot, 2014; Orús-Alcalde &lt;i&gt;et al.&lt;/i&gt;, 2021)","plainTextFormattedCitation":"(Davidson et al., 2008; Halanych and Kocot, 2014; Orús-Alcalde et al., 2021)","previouslyFormattedCitation":"(Davidson &lt;i&gt;et al.&lt;/i&gt;, 2008; Halanych and Kocot, 2014; Orús-Alcalde &lt;i&gt;et al.&lt;/i&gt;, 2021)"},"properties":{"noteIndex":0},"schema":"https://github.com/citation-style-language/schema/raw/master/csl-citation.json"}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(Davidson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2008; Halanych and Kocot, 2014; Orús-Alcalde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2021)</w:t>
            </w:r>
            <w:r w:rsidRPr="005A2E25">
              <w:rPr>
                <w:rFonts w:ascii="Arial" w:hAnsi="Arial" w:cs="Arial"/>
                <w:color w:val="000000" w:themeColor="text1"/>
                <w:sz w:val="18"/>
                <w:szCs w:val="18"/>
              </w:rPr>
              <w:fldChar w:fldCharType="end"/>
            </w:r>
          </w:p>
        </w:tc>
        <w:tc>
          <w:tcPr>
            <w:tcW w:w="587" w:type="pct"/>
            <w:vAlign w:val="center"/>
          </w:tcPr>
          <w:p w14:paraId="31978131"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{"citationItems":[{"id":"ITEM-1","itemData":{"DOI":"10.1086/BBLv227n2p201","ISSN":"0006-3185","author":[{"dropping-particle":"","family":"Halanych","given":"Kenneth M","non-dropping-particle":"","parse-names":false,"suffix":""},{"dropping-particle":"","family":"Kocot","given":"Kevin M","non-dropping-particle":"","parse-names":false,"suffix":""}],"container-title":"The Biological Bulletin","id":"ITEM-1","issue":"2","issued":{"date-parts":[["2014","10"]]},"note":"Discussion\n- TLRs absent in entoproctoa\n\nConclussion:\n- P- V- nomenclature should be avoided","page":"201-209","title":"Repurposed transcriptomic data facilitate discovery of innate immunity &lt;i&gt;Toll-Like Receptor (TLR)&lt;/i&gt; genes across Lophotrochozoa","type":"article-journal","volume":"227"},"uris":["http://www.mendeley.com/documents/?uuid=aa39a86c-c5a2-4ce8-bec3-c5f1dca47fe5"]},{"id":"ITEM-2","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-2","issued":{"date-parts":[["2021"]]},"title":"The evolution of the metazoan Toll receptor family and its expression during protostome development","type":"article-journal"},"uris":["http://www.mendeley.com/documents/?uuid=d956b8cf-e356-4440-ad24-9580481193cb"]},{"id":"ITEM-3","itemData":{"DOI":"10.1016/j.fsi.2016.01.025","ISSN":"10504648","abstract":"Toll-like receptors (TLRs) are an ancient family of pattern recognition receptors that play a critical role in initiating and activating the innate immune system. In this study, we identified two TLR genes (CsTLR4 and CsTLR13) and the MyD88 (CsMyD88) gene using a transcriptome library from Cyclina sinensis. The sequence features and mRNA expression profiles of the genes were characterized, and their functions in the immune response were investigated to validate the TLR signaling pathway and its potential role in immune defense. The expression patterns of CsTLR4, CsTLR13 and CsMyD88 were detected in all the tissues examined from healthy clams and were primarily expressed in the hemocytes (P &lt; 0.05), as shown by real-time PCR. Upon challenge with Vibrio anguillarum and Micrococcus luteus, they were significantly increased in hemocytes (P &lt; 0.01), whereas only CsTLR13 and CsMyD88 were up-regulated (P &lt; 0.01) by poly (I:C) challenge. In addition, the mRNA expression level of CsC-LYZ and CsAMP was down-regulated at 72 h (P &lt; 0.01) after injection with CsMyD88 RNAi. These findings might be valuable for understanding the innate immune signaling pathways of C. sinensis and enabling future studies on host-pathogen interactions.","author":[{"dropping-particle":"","family":"Ren","given":"Yipeng","non-dropping-particle":"","parse-names":false,"suffix":""},{"dropping-particle":"","family":"Pan","given":"Heting","non-dropping-particle":"","parse-names":false,"suffix":""},{"dropping-particle":"","family":"Pan","given":"Baoping","non-dropping-particle":"","parse-names":false,"suffix":""},{"dropping-particle":"","family":"Bu","given":"Wenjun","non-dropping-particle":"","parse-names":false,"suffix":""}],"container-title":"Fish &amp; Shellfish Immunology","id":"ITEM-3","issued":{"date-parts":[["2016","3"]]},"note":"- Sequences C sinensis","page":"150-159","publisher":"Elsevier Ltd","title":"Identification and functional characterization of three TLR signaling pathway genes in &lt;i&gt;Cyclina sinensis&lt;/i&gt;","type":"article-journal","volume":"50"},"uris":["http://www.mendeley.com/documents/?uuid=72ec4bda-0470-407c-8b31-d20b2cf80800"]},{"id":"ITEM-4","itemData":{"DOI":"10.1016/j.fsi.2015.02.013","ISSN":"10504648","abstract":"Non-self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Immunology","id":"ITEM-4","issue":"1","issued":{"date-parts":[["2015","9"]]},"page":"17-38","publisher":"Elsevier Ltd","title":"An updated molecular basis for mussel immunity","type":"article-journal","volume":"46"},"uris":["http://www.mendeley.com/documents/?uuid=23bb3a0d-da3c-4a02-ab79-4fbec127ab5e"]}],"mendeley":{"formattedCitation":"(Halanych and Kocot, 2014; Gerdol and Venier, 2015; Ren &lt;i&gt;et al.&lt;/i&gt;, 2016; Orús-Alcalde &lt;i&gt;et al.&lt;/i&gt;, 2021)","plainTextFormattedCitation":"(Halanych and Kocot, 2014; Gerdol and Venier, 2015; Ren et al., 2016; Orús-Alcalde et al., 2021)","previouslyFormattedCitation":"(Halanych and Kocot, 2014; Gerdol and Venier, 2015; Ren &lt;i&gt;et al.&lt;/i&gt;, 2016; Orús-Alcalde &lt;i&gt;et al.&lt;/i&gt;, 2021)"},"properties":{"noteIndex":0},"schema":"https://github.com/citation-style-language/schema/raw/master/csl-citation.json"}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(Halanych and Kocot, 2014; Gerdol and Venier, 2015; Ren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2016; Orús-Alcalde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2021)</w:t>
            </w:r>
            <w:r w:rsidRPr="005A2E25">
              <w:rPr>
                <w:rFonts w:ascii="Arial" w:hAnsi="Arial" w:cs="Arial"/>
                <w:color w:val="000000" w:themeColor="text1"/>
                <w:sz w:val="18"/>
                <w:szCs w:val="18"/>
              </w:rPr>
              <w:fldChar w:fldCharType="end"/>
            </w:r>
          </w:p>
        </w:tc>
        <w:tc>
          <w:tcPr>
            <w:tcW w:w="573" w:type="pct"/>
            <w:vAlign w:val="center"/>
          </w:tcPr>
          <w:p w14:paraId="1C441011"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{"citationItems":[{"id":"ITEM-1","itemData":{"DOI":"10.1086/BBLv227n2p201","ISSN":"0006-3185","author":[{"dropping-particle":"","family":"Halanych","given":"Kenneth M","non-dropping-particle":"","parse-names":false,"suffix":""},{"dropping-particle":"","family":"Kocot","given":"Kevin M","non-dropping-particle":"","parse-names":false,"suffix":""}],"container-title":"The Biological Bulletin","id":"ITEM-1","issue":"2","issued":{"date-parts":[["2014","10"]]},"note":"Discussion\n- TLRs absent in entoproctoa\n\nConclussion:\n- P- V- nomenclature should be avoided","page":"201-209","title":"Repurposed transcriptomic data facilitate discovery of innate immunity &lt;i&gt;Toll-Like Receptor (TLR)&lt;/i&gt; genes across Lophotrochozoa","type":"article-journal","volume":"227"},"uris":["http://www.mendeley.com/documents/?uuid=aa39a86c-c5a2-4ce8-bec3-c5f1dca47fe5"]},{"id":"ITEM-2","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-2","issued":{"date-parts":[["2021"]]},"title":"The evolution of the metazoan Toll receptor family and its expression during protostome development","type":"article-journal"},"uris":["http://www.mendeley.com/documents/?uuid=d956b8cf-e356-4440-ad24-9580481193cb"]},{"id":"ITEM-3","itemData":{"DOI":"10.1038/s41559-017-0389-y","ISSN":"2397-334X","abstract":"Nemerteans (ribbon worms) and phoronids (horseshoe worms) are closely related lophotrochozoans - a group of animals including leeches, snails and other invertebrates. Lophotrochozoans represent a superphylum that is crucial to our understanding of bilaterian evolution. However, given the inconsistency of molecular and morphological data for these groups, their origins have been unclear. Here, we present draft genomes of the nemertean Notospermus geniculatus and the phoronid Phoronis australis, together with transcriptomes along the adult bodies. Our genome-based phylogenetic analyses place Nemertea sister to the group containing Phoronida and Brachiopoda. We show that lophotrochozoans share many gene families with deuterostomes, suggesting that these two groups retain a core bilaterian gene repertoire that ecdysozoans (for example, flies and nematodes) and platyzoans (for example, flatworms and rotifers) do not. Comparative transcriptomics demonstrates that lophophores of phoronids and brachiopods are similar not only morphologically, but also at the molecular level. Despite dissimilar head structures, lophophores express vertebrate head and neuronal marker genes. This finding suggests a common origin of bilaterian head patterning, although different heads evolved independently in each lineage. Furthermore, we observe lineage-specific expansions of innate immunity and toxin-related genes. Together, our study reveals a dual nature of lophotrochozoans, where conserved and lineage-specific features shape their evolution.","author":[{"dropping-particle":"","family":"Luo","given":"Yi-Jyun","non-dropping-particle":"","parse-names":false,"suffix":""},{"dropping-particle":"","family":"Kanda","given":"Miyuki","non-dropping-particle":"","parse-names":false,"suffix":""},{"dropping-particle":"","family":"Koyanagi","given":"Ryo","non-dropping-particle":"","parse-names":false,"suffix":""},{"dropping-particle":"","family":"Hisata","given":"Kanako","non-dropping-particle":"","parse-names":false,"suffix":""},{"dropping-particle":"","family":"Akiyama","given":"Tadashi","non-dropping-particle":"","parse-names":false,"suffix":""},{"dropping-particle":"","family":"Sakamoto","given":"Hirotaka","non-dropping-particle":"","parse-names":false,"suffix":""},{"dropping-particle":"","family":"Sakamoto","given":"Tatsuya","non-dropping-particle":"","parse-names":false,"suffix":""},{"dropping-particle":"","family":"Satoh","given":"Noriyuki","non-dropping-particle":"","parse-names":false,"suffix":""}],"container-title":"Nature Ecology &amp; Evolution","id":"ITEM-3","issue":"1","issued":{"date-parts":[["2018","1","4"]]},"note":"Discussion:\n- Suggest lineage/species-specific expansion\n\n\n- Genome Notospermus geniculatus","page":"141-151","publisher":"Springer US","title":"Nemertean and phoronid genomes reveal lophotrochozoan evolution and the origin of bilaterian heads","type":"article-journal","volume":"2"},"uris":["http://www.mendeley.com/documents/?uuid=03679b1d-90d3-4e06-a562-b52cf69a2cf1"]}],"mendeley":{"formattedCitation":"(Halanych and Kocot, 2014; Luo &lt;i&gt;et al.&lt;/i&gt;, 2018; Orús-Alcalde &lt;i&gt;et al.&lt;/i&gt;, 2021)","plainTextFormattedCitation":"(Halanych and Kocot, 2014; Luo et al., 2018; Orús-Alcalde et al., 2021)","previouslyFormattedCitation":"(Halanych and Kocot, 2014; Luo &lt;i&gt;et al.&lt;/i&gt;, 2018; Orús-Alcalde &lt;i&gt;et al.&lt;/i&gt;, 2021)"},"properties":{"noteIndex":0},"schema":"https://github.com/citation-style-language/schema/raw/master/csl-citation.json"}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(Halanych and Kocot, 2014; Luo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2018; Orús-Alcalde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2021)</w:t>
            </w:r>
            <w:r w:rsidRPr="005A2E25">
              <w:rPr>
                <w:rFonts w:ascii="Arial" w:hAnsi="Arial" w:cs="Arial"/>
                <w:color w:val="000000" w:themeColor="text1"/>
                <w:sz w:val="18"/>
                <w:szCs w:val="18"/>
              </w:rPr>
              <w:fldChar w:fldCharType="end"/>
            </w:r>
          </w:p>
        </w:tc>
        <w:tc>
          <w:tcPr>
            <w:tcW w:w="582" w:type="pct"/>
            <w:vAlign w:val="center"/>
          </w:tcPr>
          <w:p w14:paraId="7A2918CA"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fldChar w:fldCharType="begin" w:fldLock="1"/>
            </w:r>
            <w:r w:rsidRPr="005A2E25">
              <w:rPr>
                <w:rFonts w:ascii="Arial" w:hAnsi="Arial" w:cs="Arial"/>
                <w:color w:val="000000" w:themeColor="text1"/>
                <w:sz w:val="18"/>
                <w:szCs w:val="18"/>
                <w:lang w:val="en-US"/>
              </w:rPr>
              <w:instrText>ADDIN CSL_CITATION {"citationItems":[{"id":"ITEM-1","itemData":{"DOI":"10.1016/j.dci.2017.12.021","ISSN":"0145305X","author":[{"dropping-particle":"","family":"Gerdol","given":"Marco","non-dropping-particle":"","parse-names":false,"suffix":""},{"dropping-particle":"","family":"Luo","given":"Yi-Jyun","non-dropping-particle":"","parse-names":false,"suffix":""},{"dropping-particle":"","family":"Satoh","given":"Noriyuki","non-dropping-particle":"","parse-names":false,"suffix":""},{"dropping-particle":"","family":"Pallavicini","given":"Alberto","non-dropping-particle":"","parse-names":false,"suffix":""}],"container-title":"Developmental &amp; Comparative Immunology","id":"ITEM-1","issued":{"date-parts":[["2018","5"]]},"page":"7-30","title":"Genetic and molecular basis of the immune system in the brachiopod &lt;i&gt;Lingula anatina&lt;/i&gt;","type":"article-journal","volume":"82"},"uris":["http://www.mendeley.com/documents/?uuid=45ef2341-e661-4554-8f24-5dc865368999"]},{"id":"ITEM-2","itemData":{"DOI":"10.1086/BBLv227n2p201","ISSN":"0006-3185","author":[{"dropping-particle":"","family":"Halanych","given":"Kenneth M","non-dropping-particle":"","parse-names":false,"suffix":""},{"dropping-particle":"","family":"Kocot","given":"Kevin M","non-dropping-particle":"","parse-names":false,"suffix":""}],"container-title":"The Biological Bulletin","id":"ITEM-2","issue":"2","issued":{"date-parts":[["2014","10"]]},"note":"Discussion\n- TLRs absent in entoproctoa\n\nConclussion:\n- P- V- nomenclature should be avoided","page":"201-209","title":"Repurposed transcriptomic data facilitate discovery of innate immunity &lt;i&gt;Toll-Like Receptor (TLR)&lt;/i&gt; genes across Lophotrochozoa","type":"article-journal","volume":"227"},"uris":["http://www.mendeley.com/documents/?uuid=aa39a86c-c5a2-4ce8-bec3-c5f1dca47fe5"]},{"id":"ITEM-3","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-3","issued":{"date-parts":[["2021"]]},"title":"The evolution of the metazoan Toll receptor family and its expression during protostome development","type":"article-journal"},"uris":["http://www.mendeley.com/documents/?uuid=d956b8cf-e356-4440-ad24-9580481193cb"]}],"mendeley":{"formattedCitation":"(Halanych and Kocot, 2014; Gerdol &lt;i&gt;et al.&lt;/i&gt;, 2018; Orús-Alcalde &lt;i&gt;et al.&lt;/i&gt;, 2021)","plainTextFormattedCitation":"(Halanych and Kocot, 2014; Gerdol et al., 2018; Orús-Alcalde et al., 2021)","previouslyFormattedCitation":"(Halanych and Kocot, 2014; Gerdol &lt;i&gt;et al.&lt;/i&gt;, 2018; Orús-Alcalde &lt;i&gt;et al.&lt;/i&gt;, 2021)"},"properties":{"noteIndex":0},"schema":"https://github.com/citation-style-language/schema/raw/master/csl-citation.json"}</w:instrText>
            </w:r>
            <w:r w:rsidRPr="005A2E25">
              <w:rPr>
                <w:rFonts w:ascii="Arial" w:hAnsi="Arial" w:cs="Arial"/>
                <w:color w:val="000000" w:themeColor="text1"/>
                <w:sz w:val="18"/>
                <w:szCs w:val="18"/>
                <w:lang w:val="en-US"/>
              </w:rPr>
              <w:fldChar w:fldCharType="separate"/>
            </w:r>
            <w:r w:rsidRPr="005A2E25">
              <w:rPr>
                <w:rFonts w:ascii="Arial" w:hAnsi="Arial" w:cs="Arial"/>
                <w:noProof/>
                <w:color w:val="000000" w:themeColor="text1"/>
                <w:sz w:val="18"/>
                <w:szCs w:val="18"/>
                <w:lang w:val="en-US"/>
              </w:rPr>
              <w:t xml:space="preserve">(Halanych and Kocot, 2014; Gerdol </w:t>
            </w:r>
            <w:r w:rsidRPr="005A2E25">
              <w:rPr>
                <w:rFonts w:ascii="Arial" w:hAnsi="Arial" w:cs="Arial"/>
                <w:i/>
                <w:noProof/>
                <w:color w:val="000000" w:themeColor="text1"/>
                <w:sz w:val="18"/>
                <w:szCs w:val="18"/>
                <w:lang w:val="en-US"/>
              </w:rPr>
              <w:t>et al.</w:t>
            </w:r>
            <w:r w:rsidRPr="005A2E25">
              <w:rPr>
                <w:rFonts w:ascii="Arial" w:hAnsi="Arial" w:cs="Arial"/>
                <w:noProof/>
                <w:color w:val="000000" w:themeColor="text1"/>
                <w:sz w:val="18"/>
                <w:szCs w:val="18"/>
                <w:lang w:val="en-US"/>
              </w:rPr>
              <w:t xml:space="preserve">, 2018; Orús-Alcalde </w:t>
            </w:r>
            <w:r w:rsidRPr="005A2E25">
              <w:rPr>
                <w:rFonts w:ascii="Arial" w:hAnsi="Arial" w:cs="Arial"/>
                <w:i/>
                <w:noProof/>
                <w:color w:val="000000" w:themeColor="text1"/>
                <w:sz w:val="18"/>
                <w:szCs w:val="18"/>
                <w:lang w:val="en-US"/>
              </w:rPr>
              <w:t>et al.</w:t>
            </w:r>
            <w:r w:rsidRPr="005A2E25">
              <w:rPr>
                <w:rFonts w:ascii="Arial" w:hAnsi="Arial" w:cs="Arial"/>
                <w:noProof/>
                <w:color w:val="000000" w:themeColor="text1"/>
                <w:sz w:val="18"/>
                <w:szCs w:val="18"/>
                <w:lang w:val="en-US"/>
              </w:rPr>
              <w:t>, 2021)</w:t>
            </w:r>
            <w:r w:rsidRPr="005A2E25">
              <w:rPr>
                <w:rFonts w:ascii="Arial" w:hAnsi="Arial" w:cs="Arial"/>
                <w:color w:val="000000" w:themeColor="text1"/>
                <w:sz w:val="18"/>
                <w:szCs w:val="18"/>
                <w:lang w:val="en-US"/>
              </w:rPr>
              <w:fldChar w:fldCharType="end"/>
            </w:r>
          </w:p>
        </w:tc>
        <w:tc>
          <w:tcPr>
            <w:tcW w:w="716" w:type="pct"/>
            <w:vAlign w:val="center"/>
          </w:tcPr>
          <w:p w14:paraId="15A8FB9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{"citationItems":[{"id":"ITEM-1","itemData":{"DOI":"10.1016/j.smim.2014.06.005","ISSN":"10445323","abstract":"The immune system has been implicated as an important modulator of tissue regeneration. However, the mechanisms driving injury-induced immune response and tissue repair remain poorly understood. For over 200 years, planarians have been a classical model for studies on tissue regeneration, but the planarian immune system and its potential role in repair is largely unknown. We found through comparative genomic analysis and data mining that planarians contain many potential homologs of the innate immune system that are activated during injury and repair of adult tissues. These findings support the notion that the relationship between adult tissue repair and the immune system is an ancient feature of basal Bilateria. Further analysis of the planarian immune system during regeneration could potentially add to our understanding of how the innate immune system and inflammatory responses interplay with regenerative signals to induce scar-less tissue repair in the context of the adult organism.","author":[{"dropping-particle":"","family":"Peiris","given":"T. Harshani","non-dropping-particle":"","parse-names":false,"suffix":""},{"dropping-particle":"","family":"Hoyer","given":"Katrina K.","non-dropping-particle":"","parse-names":false,"suffix":""},{"dropping-particle":"","family":"Oviedo","given":"Néstor J.","non-dropping-particle":"","parse-names":false,"suffix":""}],"container-title":"Seminars in Immunology","id":"ITEM-1","issue":"4","issued":{"date-parts":[["2014","8"]]},"note":"S. mediterranea --&amp;gt; only found TLR-like","page":"295-302","publisher":"Elsevier Ltd","title":"Innate immune system and tissue regeneration in planarians: An area ripe for exploration","type":"article-journal","volume":"26"},"uris":["http://www.mendeley.com/documents/?uuid=8cd1168e-274f-466c-80f1-5c7c4bc351d3"]},{"id":"ITEM-2","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-2","issued":{"date-parts":[["2021"]]},"title":"The evolution of the metazoan Toll receptor family and its expression during protostome development","type":"article-journal"},"uris":["http://www.mendeley.com/documents/?uuid=d956b8cf-e356-4440-ad24-9580481193cb"]}],"mendeley":{"formattedCitation":"(Peiris &lt;i&gt;et al.&lt;/i&gt;, 2014; Orús-Alcalde &lt;i&gt;et al.&lt;/i&gt;, 2021)","plainTextFormattedCitation":"(Peiris et al., 2014; Orús-Alcalde et al., 2021)","previouslyFormattedCitation":"(Peiris &lt;i&gt;et al.&lt;/i&gt;, 2014; Orús-Alcalde &lt;i&gt;et al.&lt;/i&gt;, 2021)"},"properties":{"noteIndex":0},"schema":"https://github.com/citation-style-language/schema/raw/master/csl-citation.json"}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(Peiris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2014; Orús-Alcalde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2021)</w:t>
            </w:r>
            <w:r w:rsidRPr="005A2E25">
              <w:rPr>
                <w:rFonts w:ascii="Arial" w:hAnsi="Arial" w:cs="Arial"/>
                <w:color w:val="000000" w:themeColor="text1"/>
                <w:sz w:val="18"/>
                <w:szCs w:val="18"/>
              </w:rPr>
              <w:fldChar w:fldCharType="end"/>
            </w:r>
          </w:p>
        </w:tc>
        <w:tc>
          <w:tcPr>
            <w:tcW w:w="479" w:type="pct"/>
            <w:vAlign w:val="center"/>
          </w:tcPr>
          <w:p w14:paraId="0EC798A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id":"ITEM-2","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-2","issued":{"date-parts":[["2021"]]},"title":"The evolution of the metazoan Toll receptor family and its expression during protostome development","type":"article-journal"},"uris":["http://www.mendeley.com/documents/?uuid=d956b8cf-e356-4440-ad24-9580481193cb"]},{"id":"ITEM-3","itemData":{"DOI":"10.1086/BBLv227n2p201","ISSN":"0006-3185","author":[{"dropping-particle":"","family":"Halanych","given":"Kenneth M","non-dropping-particle":"","parse-names":false,"suffix":""},{"dropping-particle":"","family":"Kocot","given":"Kevin M","non-dropping-particle":"","parse-names":false,"suffix":""}],"container-title":"The Biological Bulletin","id":"ITEM-3","issue":"2","issued":{"date-parts":[["2014","10"]]},"note":"Discussion\n- TLRs absent in entoproctoa\n\nConclussion:\n- P- V- nomenclature should be avoided","page":"201-209","title":"Repurposed transcriptomic data facilitate discovery of innate immunity &lt;i&gt;Toll-Like Receptor (TLR)&lt;/i&gt; genes across Lophotrochozoa","type":"article-journal","volume":"227"},"uris":["http://www.mendeley.com/documents/?uuid=aa39a86c-c5a2-4ce8-bec3-c5f1dca47fe5"]}],"mendeley":{"formattedCitation":"(Halanych and Kocot, 2014; Mapalo &lt;i&gt;et al.&lt;/i&gt;, 2020; Orús-Alcalde &lt;i&gt;et al.&lt;/i&gt;, 2021)","plainTextFormattedCitation":"(Halanych and Kocot, 2014; Mapalo et al., 2020; Orús-Alcalde et al., 2021)","previouslyFormattedCitation":"(Halanych and Kocot, 2014; Mapalo &lt;i&gt;et al.&lt;/i&gt;, 2020; Orús-Alcalde &lt;i&gt;et al.&lt;/i&gt;, 2021)"},"properties":{"noteIndex":0},"schema":"https://github.com/citation-style-language/schema/raw/master/csl-citation.json"}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(Halanych and Kocot, 2014; Mapalo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2020; Orús-Alcalde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2021)</w:t>
            </w:r>
            <w:r w:rsidRPr="005A2E25">
              <w:rPr>
                <w:rFonts w:ascii="Arial" w:hAnsi="Arial" w:cs="Arial"/>
                <w:color w:val="000000" w:themeColor="text1"/>
                <w:sz w:val="18"/>
                <w:szCs w:val="18"/>
              </w:rPr>
              <w:fldChar w:fldCharType="end"/>
            </w:r>
          </w:p>
        </w:tc>
      </w:tr>
      <w:tr w:rsidR="001D7AD3" w:rsidRPr="005A2E25" w14:paraId="045BEFF5" w14:textId="77777777" w:rsidTr="00605F18">
        <w:tc>
          <w:tcPr>
            <w:tcW w:w="539" w:type="pct"/>
          </w:tcPr>
          <w:p w14:paraId="7A2CEA0D"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MyD88</w:t>
            </w:r>
          </w:p>
        </w:tc>
        <w:tc>
          <w:tcPr>
            <w:tcW w:w="493" w:type="pct"/>
            <w:vAlign w:val="center"/>
          </w:tcPr>
          <w:p w14:paraId="281BF933"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{"citationItems":[{"id":"ITEM-1","itemData":{"DOI":"10.1074/jbc.M504049200","ISBN":"4961313925243","ISSN":"00219258","PMID":"15923643","abstract":"Sponges (phylum Porifera) are the phylogenetically oldest metazoa; as filter feeders, they are abundantly exposed to marine microorganisms. Here we present data indicating that the demosponge Suberites domuncula is provided with a recognition system for Gram-negative bacteria. The lipopolysaccharide (LPS)-interacting protein was identified as a receptor on the sponge cell surface, which recognizes the bacterial endotoxin LPS. The cDNA was isolated, and the protein (Mr 49,937) was expressed. During binding to LPS, the protein dimerizes and interacts with MyD88, which was also identified and cloned. The sponge MyD88 (Mr 28,441) is composed of two protein interaction domains, a Toll/interleukin-1 receptor domain (found in MyD88 and in Toll-like receptors) and a death domain (present in MyD88 and interleukin-1 receptor-associated kinase). Northern blot experiments and in situ hybridization studies showed that after LPS treatment, the level of the LPS-interacting protein remains unchanged, whereas MyD88 is strongly up-regulated. A perforin-like molecule (Mr 74,171), the macrophage-expressed protein, was identified as an executing molecule of this pathway. This gene is highly expressed after LPS treatment, especially at the surfaces of the animals. The recombinant protein possesses biological activity and eliminates Gram-negative bacteria; it is inactive against Gram-positive bacteria. These data indicate that S. domuncula is provided with an innate immune system against Gram-negative bacteria; the ligand LPS (a pathogen-associated molecular pattern) is recognized by the pattern recognition receptor (LPS-interacting protein), which interacts with MyD88. A signal transduction is established, which results in an elevated expression of MyD88 as well as of the macrophage-expressed protein as an executing protein. © 2005 by The American Society for Biochemistry and Molecular Biology, Inc.","author":[{"dropping-particle":"","family":"Wiens","given":"Matthias","non-dropping-particle":"","parse-names":false,"suffix":""},{"dropping-particle":"","family":"Korzhev","given":"Michael","non-dropping-particle":"","parse-names":false,"suffix":""},{"dropping-particle":"","family":"Krasko","given":"Anatoli","non-dropping-particle":"","parse-names":false,"suffix":""},{"dropping-particle":"","family":"Thakur","given":"Narsinh L.","non-dropping-particle":"","parse-names":false,"suffix":""},{"dropping-particle":"","family":"Perović-Ottstadt","given":"Sanja","non-dropping-particle":"","parse-names":false,"suffix":""},{"dropping-particle":"","family":"Breter","given":"Hans J.","non-dropping-particle":"","parse-names":false,"suffix":""},{"dropping-particle":"","family":"Ushijima","given":"Hiroshi","non-dropping-particle":"","parse-names":false,"suffix":""},{"dropping-particle":"","family":"Diehl-Seifert","given":"Bärbel","non-dropping-particle":"","parse-names":false,"suffix":""},{"dropping-particle":"","family":"Müller","given":"Isabel M.","non-dropping-particle":"","parse-names":false,"suffix":""},{"dropping-particle":"","family":"Müller","given":"Werner E.G.","non-dropping-particle":"","parse-names":false,"suffix":""}],"container-title":"Journal of Biological Chemistry","id":"ITEM-1","issue":"30","issued":{"date-parts":[["2005","7"]]},"page":"27949-27959","title":"Innate Immune Defense of the Sponge &lt;i&gt;Suberites domuncula&lt;/i&gt; against Bacteria Involves a MyD88-dependent Signaling Pathway","type":"article-journal","volume":"280"},"uris":["http://www.mendeley.com/documents/?uuid=36176ded-ebd1-4bdd-bf16-f3fe438895d9"]},{"id":"ITEM-2","itemData":{"DOI":"10.1111/j.1525-142X.2010.00436.x","ISSN":"1520541X","abstract":"Members of the Toll-like receptor (TLR) and the interleukin 1 receptor (IL1R) superfamilies activate various signaling cascades that are evolutionarily conserved in eumetazoans. In this study, we have searched the genome and expressed sequence tags of the demosponge Amphimedon queenslandica for molecules involved in TLR and IL1R signaling. Although we did not identify a conventional TLR or ILR, the Amphimedon genome encodes two related receptors, AmqIgTIRs, which are comprised of at least three extracellular IL1R-like immunoglobulins (Ig) and an intracellular TLR-like Toll/interleukin1 receptor/resistance (TIR) domain. The remainder of the TLR/IL1R pathway is mostly conserved in Amphimedon and includes genes known to interact with TLRs and IL1Rs in bilaterians, such as Toll-interacting protein (Tollip) and myeloid differentiation factor 88 (MyD88). By comparing the sponge genome to that of nonmetazoan eukaryotes and other basal animal phyla (i.e., placozoan and cnidarian representatives) we can infer that most components of the signaling cascade, including the receptors, evolved after the divergence of metazoan, and choanoflagellate lineages. In most cases, these proteins are composed of metazoan-specific domains (e.g., Pellino) or architectures (e.g., the association of a death domain with a TIR domain in the MyD88). The dynamic expression of the two AmqIgTIRs, AmqMyD88, AmqTollip, and AmqPellino during Amphimedon embryogenesis and larval development is consistent with the TLR/IL1R pathway having a role in both development and immunity in the last common metazoan ancestor. © 2010 Wiley Periodicals, Inc.","author":[{"dropping-particle":"","family":"Gauthier","given":"Marie E. A.","non-dropping-particle":"","parse-names":false,"suffix":""},{"dropping-particle":"","family":"Pasquier","given":"Louis","non-dropping-particle":"Du","parse-names":false,"suffix":""},{"dropping-particle":"","family":"Degnan","given":"Bernard M.","non-dropping-particle":"","parse-names":false,"suffix":""}],"container-title":"Evolution &amp; Development","id":"ITEM-2","issue":"5","issued":{"date-parts":[["2010","9","23"]]},"note":"- TLR-like in porifera","page":"519-533","title":"The genome of the sponge &lt;i&gt;Amphimedon queenslandica&lt;/i&gt; provides new perspectives into the origin of Toll-like and interleukin 1 receptor pathways","type":"article-journal","volume":"12"},"uris":["http://www.mendeley.com/documents/?uuid=51c166d8-43f2-4f3f-bfe7-bf897c4a9f7b"]}],"mendeley":{"formattedCitation":"(Wiens &lt;i&gt;et al.&lt;/i&gt;, 2005; Gauthier &lt;i&gt;et al.&lt;/i&gt;, 2010)","plainTextFormattedCitation":"(Wiens et al., 2005; Gauthier et al., 2010)","previouslyFormattedCitation":"(Wiens &lt;i&gt;et al.&lt;/i&gt;, 2005; Gauthier &lt;i&gt;et al.&lt;/i&gt;, 2010)"},"properties":{"noteIndex":0},"schema":"https://github.com/citation-style-language/schema/raw/master/csl-citation.json"}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(Wiens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2005; Gauthier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2010)</w:t>
            </w:r>
            <w:r w:rsidRPr="005A2E25">
              <w:rPr>
                <w:rFonts w:ascii="Arial" w:hAnsi="Arial" w:cs="Arial"/>
                <w:color w:val="000000" w:themeColor="text1"/>
                <w:sz w:val="18"/>
                <w:szCs w:val="18"/>
              </w:rPr>
              <w:fldChar w:fldCharType="end"/>
            </w:r>
          </w:p>
        </w:tc>
        <w:tc>
          <w:tcPr>
            <w:tcW w:w="572" w:type="pct"/>
            <w:vAlign w:val="center"/>
          </w:tcPr>
          <w:p w14:paraId="5433D266"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{"citationItems":[{"id":"ITEM-1","itemData":{"DOI":"10.1073/pnas.1711530114","ISSN":"0027-8424","abstract":"In organisms from insects to vertebrates, Toll-like receptors (TLRs) are primary pathogen detectors that activate downstream pathways, specifically those that direct expression of innate immune effector genes. TLRs also have roles in development in many species. The sea anemone Nematostella vectensis is a useful cnidarian model to study the origins of TLR signaling because its genome encodes a single TLR and homologs of many downstream signaling components, including the NF-κB pathway. We have characterized the single N. vectensis TLR (Nv-TLR) and demonstrated that it can activate canonical NF-κB signaling in human cells. Furthermore, we show that the intracellular Toll/IL-1 receptor (TIR) domain of Nv-TLR can interact with the human TLR adapter proteins MAL and MYD88. We demonstrate that the coral pathogen Vibrio coralliilyticus causes a rapidly lethal disease in N. vectensis and that heat-inactivated V. coralliilyticus and bacterial flagellin can activate a reconstituted Nv-TLR–to–NF-κB pathway in human cells. By immunostaining of anemones, we show that Nv-TLR is expressed in a subset of cnidocytes and that many of these Nv-TLR–expressing cells also express Nv-NF-κB. Additionally, the nematosome, which is a Nematostella -specific multicellular structure, expresses Nv-TLR and many innate immune pathway homologs and can engulf V. coralliilyticus . Morpholino knockdown indicates that Nv-TLR also has an essential role during early embryonic development. Our characterization of this primitive TLR and identification of a bacterial pathogen for N. vectensis reveal ancient TLR functions and provide a model for studying the molecular basis of cnidarian disease and immunity.","author":[{"dropping-particle":"","family":"Brennan","given":"Joseph J.","non-dropping-particle":"","parse-names":false,"suffix":""},{"dropping-particle":"","family":"Messerschmidt","given":"Jonathan L.","non-dropping-particle":"","parse-names":false,"suffix":""},{"dropping-particle":"","family":"Williams","given":"Leah M.","non-dropping-particle":"","parse-names":false,"suffix":""},{"dropping-particle":"","family":"Matthews","given":"Bryan J.","non-dropping-particle":"","parse-names":false,"suffix":""},{"dropping-particle":"","family":"Reynoso","given":"Marinaliz","non-dropping-particle":"","parse-names":false,"suffix":""},{"dropping-particle":"","family":"Gilmore","given":"Thomas D.","non-dropping-particle":"","parse-names":false,"suffix":""}],"container-title":"Proceedings of the National Academy of Sciences","id":"ITEM-1","issue":"47","issued":{"date-parts":[["2017","11","21"]]},"note":"TLR Nematostella vectensis","page":"E10122-E10131","title":"Sea anemone model has a single Toll-like receptor that can function in pathogen detection, NF-κB signal transduction, and development","type":"article-journal","volume":"114"},"uris":["http://www.mendeley.com/documents/?uuid=d2703153-9c99-4de7-b31c-5f75de00feb1"]},{"id":"ITEM-2","itemData":{"DOI":"10.1007/s00427-006-0111-6","ISSN":"0949-944X","PMID":"17120026","abstract":"The Rel/NF-kB and NFAT families of transcription factors are related through an N-terminal DNA-binding domain called the Rel Homology domain (RHD). Neither the RHD nor the NF-κB pathway has been identified in a basal (i.e., nonbilaterian) animal phylum. Using genomic and cDNA databases, we have identified two RHD domain-containing proteins from the cnidarian Nematostella vectensis: an NF-κB-like protein (Nv-NF-κB) and an NFAT-like protein (Nv-NFAT). The gene structure and RHD predicted amino acid sequence of Nv-nfkb are similar to those of the vertebrate NF-κB p50/p52 proteins, whereas the sequence of Nv-NFAT allows only ambiguous assignment to the NFAT family. Nv-NF-κB lacks the C-terminal IκB-like sequences present in all other NF-κB proteins. There are, however, two IκB-like genes in Nematostella encoded by loci distinct from Nv-nfkb. The separate nfkb and ikb genes of Nematostella may reflect the ancestral metazoan condition, suggesting that a gene fusion event created the nfkb genes in Drosophila and vertebrates. Nematostella also has genes that encode upstream and downstream components of the vertebrate NF-κB signaling pathway. Upstream components include Toll- and tumor necrosis-like receptors and ligands, adaptor proteins (Trafs, Myd88), caspases, and a TBK-like kinase. Downstream components include the NF-κB coactivator protein Bcl-3 and several NF-κB target genes. These results demonstrate that RHD-containing transcription factors and associated pathways are evolutionarily more ancient than previously known. Moreover, they suggest models for the evolutionary diversification of the insect and vertebrate Rel/NF-κB/IκB and NFAT gene families and suggest that cnidarians possess an NF-κB-regulated developmental or stress response pathway. © Springer-Verlag 2006.","author":[{"dropping-particle":"","family":"Sullivan","given":"James C.","non-dropping-particle":"","parse-names":false,"suffix":""},{"dropping-particle":"","family":"Kalaitzidis","given":"Demetrios","non-dropping-particle":"","parse-names":false,"suffix":""},{"dropping-particle":"","family":"Gilmore","given":"Thomas D.","non-dropping-particle":"","parse-names":false,"suffix":""},{"dropping-particle":"","family":"Finnerty","given":"John R.","non-dropping-particle":"","parse-names":false,"suffix":""}],"container-title":"Development Genes and Evolution","id":"ITEM-2","issue":"1","issued":{"date-parts":[["2007","1","4"]]},"page":"63-72","title":"Rel homology domain-containing transcription factors in the cnidarian &lt;i&gt;Nematostella vectensis&lt;/i&gt;","type":"article-journal","volume":"217"},"uris":["http://www.mendeley.com/documents/?uuid=6c1dfd04-e658-4bd2-a376-b0da4a28ecca"]},{"id":"ITEM-3","itemData":{"DOI":"10.1111/j.1525-142X.2010.00436.x","ISSN":"1520541X","abstract":"Members of the Toll-like receptor (TLR) and the interleukin 1 receptor (IL1R) superfamilies activate various signaling cascades that are evolutionarily conserved in eumetazoans. In this study, we have searched the genome and expressed sequence tags of the demosponge Amphimedon queenslandica for molecules involved in TLR and IL1R signaling. Although we did not identify a conventional TLR or ILR, the Amphimedon genome encodes two related receptors, AmqIgTIRs, which are comprised of at least three extracellular IL1R-like immunoglobulins (Ig) and an intracellular TLR-like Toll/interleukin1 receptor/resistance (TIR) domain. The remainder of the TLR/IL1R pathway is mostly conserved in Amphimedon and includes genes known to interact with TLRs and IL1Rs in bilaterians, such as Toll-interacting protein (Tollip) and myeloid differentiation factor 88 (MyD88). By comparing the sponge genome to that of nonmetazoan eukaryotes and other basal animal phyla (i.e., placozoan and cnidarian representatives) we can infer that most components of the signaling cascade, including the receptors, evolved after the divergence of metazoan, and choanoflagellate lineages. In most cases, these proteins are composed of metazoan-specific domains (e.g., Pellino) or architectures (e.g., the association of a death domain with a TIR domain in the MyD88). The dynamic expression of the two AmqIgTIRs, AmqMyD88, AmqTollip, and AmqPellino during Amphimedon embryogenesis and larval development is consistent with the TLR/IL1R pathway having a role in both development and immunity in the last common metazoan ancestor. © 2010 Wiley Periodicals, Inc.","author":[{"dropping-particle":"","family":"Gauthier","given":"Marie E. A.","non-dropping-particle":"","parse-names":false,"suffix":""},{"dropping-particle":"","family":"Pasquier","given":"Louis","non-dropping-particle":"Du","parse-names":false,"suffix":""},{"dropping-particle":"","family":"Degnan","given":"Bernard M.","non-dropping-particle":"","parse-names":false,"suffix":""}],"container-title":"Evolution &amp; Development","id":"ITEM-3","issue":"5","issued":{"date-parts":[["2010","9","23"]]},"note":"- TLR-like in porifera","page":"519-533","title":"The genome of the sponge &lt;i&gt;Amphimedon queenslandica&lt;/i&gt; provides new perspectives into the origin of Toll-like and interleukin 1 receptor pathways","type":"article-journal","volume":"12"},"uris":["http://www.mendeley.com/documents/?uuid=51c166d8-43f2-4f3f-bfe7-bf897c4a9f7b"]}],"mendeley":{"formattedCitation":"(Sullivan &lt;i&gt;et al.&lt;/i&gt;, 2007; Gauthier &lt;i&gt;et al.&lt;/i&gt;, 2010; Brennan &lt;i&gt;et al.&lt;/i&gt;, 2017)","plainTextFormattedCitation":"(Sullivan et al., 2007; Gauthier et al., 2010; Brennan et al., 2017)","previouslyFormattedCitation":"(Sullivan &lt;i&gt;et al.&lt;/i&gt;, 2007; Gauthier &lt;i&gt;et al.&lt;/i&gt;, 2010; Brennan &lt;i&gt;et al.&lt;/i&gt;, 2017)"},"properties":{"noteIndex":0},"schema":"https://github.com/citation-style-language/schema/raw/master/csl-citation.json"}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(Sullivan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2007; Gauthier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2010; Brennan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w:t>
            </w:r>
            <w:r w:rsidRPr="005A2E25">
              <w:rPr>
                <w:rFonts w:ascii="Arial" w:hAnsi="Arial" w:cs="Arial"/>
                <w:color w:val="000000" w:themeColor="text1"/>
                <w:sz w:val="18"/>
                <w:szCs w:val="18"/>
              </w:rPr>
              <w:fldChar w:fldCharType="end"/>
            </w:r>
          </w:p>
        </w:tc>
        <w:tc>
          <w:tcPr>
            <w:tcW w:w="459" w:type="pct"/>
            <w:vAlign w:val="center"/>
          </w:tcPr>
          <w:p w14:paraId="631B67B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{"citationItems":[{"id":"ITEM-1","itemData":{"DOI":"10.1016/j.dci.2007.11.004","ISBN":"1028363621","ISSN":"0145305X","abstract":"Toll-like receptors (TLRs) are an important part of the innate immunity system and are found throughout the animal kingdom, but have not yet been reported in annelids. We searched shotgun reads of the genomes of the leech Helobdella and polychaete Capitella for TLR homologs. We found 105 TLR homologs in Capitella and 16 in Helobdella. The deduced phylogeny of these sequences, together with TLRs from other animal phyla, reveals three major clades. One clade consists of a mixture of both vertebrates and invertebrates, including sequences from Capitella and Helobdella, while the other two clades contain only invertebrate TLRs. © 2007 Elsevier Ltd. All rights reserved.","author":[{"dropping-particle":"","family":"Davidson","given":"Charis R.","non-dropping-particle":"","parse-names":false,"suffix":""},{"dropping-particle":"","family":"Best","given":"Natalie M.","non-dropping-particle":"","parse-names":false,"suffix":""},{"dropping-particle":"","family":"Francis","given":"Joseph W.","non-dropping-particle":"","parse-names":false,"suffix":""},{"dropping-particle":"","family":"Cooper","given":"Edwin L.","non-dropping-particle":"","parse-names":false,"suffix":""},{"dropping-particle":"","family":"Wood","given":"Todd Charles","non-dropping-particle":"","parse-names":false,"suffix":""}],"container-title":"Developmental &amp; Comparative Immunology","id":"ITEM-1","issue":"6","issued":{"date-parts":[["2008"]]},"note":"- P-type/V-type classification","page":"608-612","title":"&lt;i&gt;Toll-like receptor&lt;/i&gt; genes (TLRs) from &lt;i&gt;Capitella capitata&lt;/i&gt; and &lt;i&gt;Helobdella robusta &lt;/i&gt;(Annelida)","type":"article-journal","volume":"32"},"uris":["http://www.mendeley.com/documents/?uuid=21cec692-cd6b-4599-91b8-08aedacc1af7"]}],"mendeley":{"formattedCitation":"(Davidson &lt;i&gt;et al.&lt;/i&gt;, 2008)","plainTextFormattedCitation":"(Davidson et al., 2008)","previouslyFormattedCitation":"(Davidson &lt;i&gt;et al.&lt;/i&gt;, 2008)"},"properties":{"noteIndex":0},"schema":"https://github.com/citation-style-language/schema/raw/master/csl-citation.json"}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(Davidson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2008)</w:t>
            </w:r>
            <w:r w:rsidRPr="005A2E25">
              <w:rPr>
                <w:rFonts w:ascii="Arial" w:hAnsi="Arial" w:cs="Arial"/>
                <w:color w:val="000000" w:themeColor="text1"/>
                <w:sz w:val="18"/>
                <w:szCs w:val="18"/>
              </w:rPr>
              <w:fldChar w:fldCharType="end"/>
            </w:r>
          </w:p>
        </w:tc>
        <w:tc>
          <w:tcPr>
            <w:tcW w:w="587" w:type="pct"/>
            <w:vAlign w:val="center"/>
          </w:tcPr>
          <w:p w14:paraId="2D6707CA" w14:textId="77777777" w:rsidR="001D7AD3" w:rsidRPr="005A2E25" w:rsidRDefault="001D7AD3" w:rsidP="00605F18">
            <w:pPr>
              <w:jc w:val="center"/>
              <w:rPr>
                <w:rFonts w:ascii="Arial" w:hAnsi="Arial" w:cs="Arial"/>
                <w:color w:val="000000" w:themeColor="text1"/>
                <w:sz w:val="18"/>
                <w:szCs w:val="18"/>
                <w:lang w:val="es-E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Immunology","id":"ITEM-1","issue":"1","issued":{"date-parts":[["2015","9"]]},"page":"17-38","publisher":"Elsevier Ltd","title":"An updated molecular basis for mussel immunity","type":"article-journal","volume":"46"},"uris":["http://www.mendeley.com/documents/?uuid=23bb3a0d-da3c-4a02-ab79-4fbec127ab5e"]},{"id":"ITEM-2","itemData":{"DOI":"10.1016/j.dci.2017.05.007","ISSN":"0145305X","abstract":"The myeloid differentiation factor 88 (MyD88) is an essential adapter in Toll-like receptor (TLR) signalling pathways, with TLR the first pattern-recognition receptor (PRR) that was discovered in Drosophila. In the present study, a MyD88 gene was identified and characterized from a commercially important shellfish, Scapharca subcrenata, including a DEATH domain and TIR domain conserved within other molluscs. Furthermore, comparative genomic evidence revealed that MyD88 was of different lengths and contained quantitative exon and intron regions, which might be involved in specific mechanisms. To further explore the phylogenetic relationships of invertebrate metazoan MyD88, we applied MrBayes and PhyML software to construct phylogenetic trees using Bayesian and maximum likelihood approaches, respectively, which suggested that the MyD88 of Arthropoda was closely related to lower invertebrates, in contrast to morphological taxonomy. Finally, we investigated the evolutionary patterns and location of positive selection sites (PSSs) in the MyD88 gene from Arthropoda, Mollusca and Insecta using PAML software with the maximum likelihood method. The data showed that positive selection sites were detected in these groups, and partial sites were located in the TIR domain but were not found in the DEATH domain. To summarize, in this study, we report on the diversification of MyD88 in invertebrate metazoans, the specific evolutionary position of Arthropoda MyD88, and the positive selection pressures on MyD88 of Arthropoda, Mollusca and Insecta. These results are a valuable contribution to understand and clarify the evolutionary pattern of TLR/MyD88 signalling pathways in invertebrate and vertebrate taxa.","author":[{"dropping-particle":"","family":"Ren","given":"Yipeng","non-dropping-particle":"","parse-names":false,"suffix":""},{"dropping-particle":"","family":"Xue","given":"Junli","non-dropping-particle":"","parse-names":false,"suffix":""},{"dropping-particle":"","family":"Yang","given":"Huanhuan","non-dropping-particle":"","parse-names":false,"suffix":""},{"dropping-particle":"","family":"Pan","given":"Baoping","non-dropping-particle":"","parse-names":false,"suffix":""},{"dropping-particle":"","family":"Bu","given":"Wenjun","non-dropping-particle":"","parse-names":false,"suffix":""}],"container-title":"Developmental &amp; Comparative Immunology","id":"ITEM-2","issued":{"date-parts":[["2017","11"]]},"page":"18-24","publisher":"Elsevier Ltd","title":"Comparative and evolutionary analysis of an adapter molecule MyD88 in invertebrate metazoans","type":"article-journal","volume":"76"},"uris":["http://www.mendeley.com/documents/?uuid=8e94c8f3-d0b4-4580-8117-0403a3d1071b"]},{"id":"ITEM-3","itemData":{"DOI":"10.1016/j.dci.2014.03.021","ISSN":"0145305X","abstract":"Based on protein domain structure and organization deduced from mRNA contigs, 15 transcripts of the Toll signaling pathway have been identified in the bivalve, Mytilus galloprovincialis. Identical searches performed on publicly available Mytilus edulis ESTs revealed 11 transcripts, whereas searches performed in genomic and new transcriptome sequences of the Pacific oyster, Crassostrea gigas, identified 21 Toll-related transcripts. The remarkable molecular diversity of TRAF and IKK coding sequences of C. gigas, suggests that the sequence data inferred from Mytilus cDNAs may not be exhaustive. Most of the Toll pathway genes were constitutively and ubiquitously expressed in M. galloprovincialis, although at different levels, and clearly induced after in vivo injection with bacteria. Such over-transcription was more rapid and intense with Gram-negative than with Gram-positive bacteria. Injection of a fungus modulated the transcription of few Toll pathway genes, with the induction levels of TLR/MyD88 complex being always less intense. Purified LPS and β-glucans had marginal effect whereas peptidoglycans were ineffective. At the moment, we found no evidence of an IMD transcript in bivalves. In conclusion, mussels possess a complete Toll pathway which can be triggered either by Gram-positive or Gram-negative bacteria. © 2014 Elsevier Ltd.","author":[{"dropping-particle":"","family":"Toubiana","given":"Mylène","non-dropping-particle":"","parse-names":false,"suffix":""},{"dropping-particle":"","family":"Rosani","given":"Umberto","non-dropping-particle":"","parse-names":false,"suffix":""},{"dropping-particle":"","family":"Giambelluca","given":"Sonia","non-dropping-particle":"","parse-names":false,"suffix":""},{"dropping-particle":"","family":"Cammarata","given":"Matteo","non-dropping-particle":"","parse-names":false,"suffix":""},{"dropping-particle":"","family":"Gerdol","given":"Marco","non-dropping-particle":"","parse-names":false,"suffix":""},{"dropping-particle":"","family":"Pallavicini","given":"Alberto","non-dropping-particle":"","parse-names":false,"suffix":""},{"dropping-particle":"","family":"Venier","given":"Paola","non-dropping-particle":"","parse-names":false,"suffix":""},{"dropping-particle":"","family":"Roch","given":"Philippe","non-dropping-particle":"","parse-names":false,"suffix":""}],"container-title":"Developmental &amp; Comparative Immunology","id":"ITEM-3","issue":"2","issued":{"date-parts":[["2014","8"]]},"page":"300-312","title":"Toll signal transduction pathway in bivalves: Complete cds of intermediate elements and related gene transcription levels in hemocytes of immune stimulated &lt;i&gt;Mytilus galloprovincialis&lt;/i&gt;","type":"article-journal","volume":"45"},"uris":["http://www.mendeley.com/documents/?uuid=a27460b3-ca90-4f68-a7c9-de2c8adeced3"]}],"mendeley":{"formattedCitation":"(Toubiana &lt;i&gt;et al.&lt;/i&gt;, 2014; Gerdol and Venier, 2015; Ren &lt;i&gt;et al.&lt;/i&gt;, 2017)","plainTextFormattedCitation":"(Toubiana et al., 2014; Gerdol and Venier, 2015; Ren et al., 2017)","previouslyFormattedCitation":"(Toubiana &lt;i&gt;et al.&lt;/i&gt;, 2014; Gerdol and Venier, 2015; Ren &lt;i&gt;et al.&lt;/i&gt;, 2017)"},"properties":{"noteIndex":0},"schema":"https://github.com/citation-style-language/schema/raw/master/csl-citation.json"}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(Toubiana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2014; Gerdol and Venier, 2015; Ren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w:t>
            </w:r>
            <w:r w:rsidRPr="005A2E25">
              <w:rPr>
                <w:rFonts w:ascii="Arial" w:hAnsi="Arial" w:cs="Arial"/>
                <w:color w:val="000000" w:themeColor="text1"/>
                <w:sz w:val="18"/>
                <w:szCs w:val="18"/>
              </w:rPr>
              <w:fldChar w:fldCharType="end"/>
            </w:r>
          </w:p>
        </w:tc>
        <w:tc>
          <w:tcPr>
            <w:tcW w:w="573" w:type="pct"/>
            <w:vAlign w:val="center"/>
          </w:tcPr>
          <w:p w14:paraId="64A29338" w14:textId="77777777" w:rsidR="001D7AD3" w:rsidRPr="005A2E25" w:rsidRDefault="001D7AD3" w:rsidP="00605F18">
            <w:pPr>
              <w:jc w:val="center"/>
              <w:rPr>
                <w:rFonts w:ascii="Arial" w:hAnsi="Arial" w:cs="Arial"/>
                <w:color w:val="000000" w:themeColor="text1"/>
                <w:sz w:val="18"/>
                <w:szCs w:val="18"/>
                <w:lang w:val="es-ES"/>
              </w:rPr>
            </w:pPr>
            <w:r w:rsidRPr="005A2E25">
              <w:rPr>
                <w:rFonts w:ascii="Arial" w:hAnsi="Arial" w:cs="Arial"/>
                <w:color w:val="000000" w:themeColor="text1"/>
                <w:sz w:val="18"/>
                <w:szCs w:val="18"/>
                <w:lang w:val="es-ES"/>
              </w:rPr>
              <w:t>X</w:t>
            </w:r>
          </w:p>
        </w:tc>
        <w:tc>
          <w:tcPr>
            <w:tcW w:w="582" w:type="pct"/>
            <w:vMerge w:val="restart"/>
            <w:vAlign w:val="center"/>
          </w:tcPr>
          <w:p w14:paraId="4BF6A615"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2017.12.021","ISSN":"0145305X","author":[{"dropping-particle":"","family":"Gerdol","given":"Marco","non-dropping-particle":"","parse-names":false,"suffix":""},{"dropping-particle":"","family":"Luo","given":"Yi-Jyun","non-dropping-particle":"","parse-names":false,"suffix":""},{"dropping-particle":"","family":"Satoh","given":"Noriyuki","non-dropping-particle":"","parse-names":false,"suffix":""},{"dropping-particle":"","family":"Pallavicini","given":"Alberto","non-dropping-particle":"","parse-names":false,"suffix":""}],"container-title":"Developmental &amp; Comparative Immunology","id":"ITEM-1","issued":{"date-parts":[["2018","5"]]},"page":"7-30","title":"Genetic and molecular basis of the immune system in the brachiopod &lt;i&gt;Lingula anatina&lt;/i&gt;","type":"article-journal","volume":"82"},"uris":["http://www.mendeley.com/documents/?uuid=45ef2341-e661-4554-8f24-5dc865368999"]}],"mendeley":{"formattedCitation":"(Gerdol &lt;i&gt;et al.&lt;/i&gt;, 2018)","plainTextFormattedCitation":"(Gerdol et al., 2018)","previouslyFormattedCitation":"(Gerdol &lt;i&gt;et al.&lt;/i&gt;,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2018)</w:t>
            </w:r>
            <w:r w:rsidRPr="005A2E25">
              <w:rPr>
                <w:rFonts w:ascii="Arial" w:hAnsi="Arial" w:cs="Arial"/>
                <w:color w:val="000000" w:themeColor="text1"/>
                <w:sz w:val="18"/>
                <w:szCs w:val="18"/>
              </w:rPr>
              <w:fldChar w:fldCharType="end"/>
            </w:r>
          </w:p>
        </w:tc>
        <w:tc>
          <w:tcPr>
            <w:tcW w:w="716" w:type="pct"/>
            <w:vMerge w:val="restart"/>
            <w:vAlign w:val="center"/>
          </w:tcPr>
          <w:p w14:paraId="504E4C32"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{"citationItems":[{"id":"ITEM-1","itemData":{"DOI":"10.1016/j.smim.2014.06.005","ISSN":"10445323","abstract":"The immune system has been implicated as an important modulator of tissue regeneration. However, the mechanisms driving injury-induced immune response and tissue repair remain poorly understood. For over 200 years, planarians have been a classical model for studies on tissue regeneration, but the planarian immune system and its potential role in repair is largely unknown. We found through comparative genomic analysis and data mining that planarians contain many potential homologs of the innate immune system that are activated during injury and repair of adult tissues. These findings support the notion that the relationship between adult tissue repair and the immune system is an ancient feature of basal Bilateria. Further analysis of the planarian immune system during regeneration could potentially add to our understanding of how the innate immune system and inflammatory responses interplay with regenerative signals to induce scar-less tissue repair in the context of the adult organism.","author":[{"dropping-particle":"","family":"Peiris","given":"T. Harshani","non-dropping-particle":"","parse-names":false,"suffix":""},{"dropping-particle":"","family":"Hoyer","given":"Katrina K.","non-dropping-particle":"","parse-names":false,"suffix":""},{"dropping-particle":"","family":"Oviedo","given":"Néstor J.","non-dropping-particle":"","parse-names":false,"suffix":""}],"container-title":"Seminars in Immunology","id":"ITEM-1","issue":"4","issued":{"date-parts":[["2014","8"]]},"note":"S. mediterranea --&amp;gt; only found TLR-like","page":"295-302","publisher":"Elsevier Ltd","title":"Innate immune system and tissue regeneration in planarians: An area ripe for exploration","type":"article-journal","volume":"26"},"uris":["http://www.mendeley.com/documents/?uuid=8cd1168e-274f-466c-80f1-5c7c4bc351d3"]}],"mendeley":{"formattedCitation":"(Peiris &lt;i&gt;et al.&lt;/i&gt;, 2014)","plainTextFormattedCitation":"(Peiris et al., 2014)","previouslyFormattedCitation":"(Peiris &lt;i&gt;et al.&lt;/i&gt;, 2014)"},"properties":{"noteIndex":0},"schema":"https://github.com/citation-style-language/schema/raw/master/csl-citation.json"}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(Peiris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2014)</w:t>
            </w:r>
            <w:r w:rsidRPr="005A2E25">
              <w:rPr>
                <w:rFonts w:ascii="Arial" w:hAnsi="Arial" w:cs="Arial"/>
                <w:color w:val="000000" w:themeColor="text1"/>
                <w:sz w:val="18"/>
                <w:szCs w:val="18"/>
              </w:rPr>
              <w:fldChar w:fldCharType="end"/>
            </w:r>
          </w:p>
        </w:tc>
        <w:tc>
          <w:tcPr>
            <w:tcW w:w="479" w:type="pct"/>
            <w:vAlign w:val="center"/>
          </w:tcPr>
          <w:p w14:paraId="66CDE876"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(Mapalo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2020)</w:t>
            </w:r>
            <w:r w:rsidRPr="005A2E25">
              <w:rPr>
                <w:rFonts w:ascii="Arial" w:hAnsi="Arial" w:cs="Arial"/>
                <w:color w:val="000000" w:themeColor="text1"/>
                <w:sz w:val="18"/>
                <w:szCs w:val="18"/>
              </w:rPr>
              <w:fldChar w:fldCharType="end"/>
            </w:r>
          </w:p>
        </w:tc>
      </w:tr>
      <w:tr w:rsidR="001D7AD3" w:rsidRPr="005A2E25" w14:paraId="71986FCA" w14:textId="77777777" w:rsidTr="00605F18">
        <w:tc>
          <w:tcPr>
            <w:tcW w:w="539" w:type="pct"/>
          </w:tcPr>
          <w:p w14:paraId="56112B7F"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Irak</w:t>
            </w:r>
          </w:p>
        </w:tc>
        <w:tc>
          <w:tcPr>
            <w:tcW w:w="493" w:type="pct"/>
            <w:vAlign w:val="center"/>
          </w:tcPr>
          <w:p w14:paraId="6BBE8864"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{"citationItems":[{"id":"ITEM-1","itemData":{"DOI":"10.1093/molbev/msl208","ISSN":"0737-4038","abstract":"During evolution and with the emergence of multicellular animals, the need arose to ward off foreign organisms that threaten the integrity of the animal body. Among many different receptors that participate in the recognition of microbial invaders, toll-like receptors (TLRs) play an essential role in mediating the innate immune response. After binding distinct microbial components, TLRs activate intracellular signaling cascades that result in an induced expression of diverse antimicrobial molecules. Because sponges (phylum Porifera) are filter feeders, they are abundantly exposed to microorganisms that represent a potential threat. Here, we describe the identification, cloning, and deduced protein sequence from 3 major elements of the poriferan innate response (to bacterial lipopeptides): the TLR, the IL-1 receptor-associated kinase-4-like protein (IRAK-4l), and a novel effector caspase from the demosponge Suberites domuncula. Each molecule shares significant sequence similarity with its homologues in higher Metazoa. Sequence homologies were found in particular within the family-specific domains toll/interleukin-1 receptor/resistance (TLR family), Ser/Thr/Tyr kinase domain (IRAK family), and CASc (caspase family). In addition, in situ hybridization and immunohistological analyses revealed an abundance of SDTLR (TLR) transcripts in epithelial layers of the sponge surface (exopinacoderm and endopinacoderm). Furthermore, it is shown that both SDTLR and SDIRAK-4 like (IRAK) are expressed constitutively, regardless of treatment with synthetic triacyl lipopeptide Pam 3Cys-Ser-(Lys)4. In contrast, SDCASL (caspase) expression is highly Pam3Cys-Ser-(Lys)4 inducible. However, blocking of the lipopeptide with recombinant TLR prior to its application completely prevented the induced expression of this poriferan caspase. These results underscore that the phylogenetically oldest extant metazoan phylum is provided already with the signaling pathways of the antimicrobial host-defense system of Metazoa. © The Author 2006. Published by Oxford University Press on behalf of the Society for Molecular Biology and Evolution. All rights reserved.","author":[{"dropping-particle":"","family":"Wiens","given":"Matthias","non-dropping-particle":"","parse-names":false,"suffix":""},{"dropping-particle":"","family":"Korzhev","given":"Michael","non-dropping-particle":"","parse-names":false,"suffix":""},{"dropping-particle":"","family":"Perovic-Ottstadt","given":"S.","non-dropping-particle":"","parse-names":false,"suffix":""},{"dropping-particle":"","family":"Luthringer","given":"Bérengère","non-dropping-particle":"","parse-names":false,"suffix":""},{"dropping-particle":"","family":"Brandt","given":"David","non-dropping-particle":"","parse-names":false,"suffix":""},{"dropping-particle":"","family":"Klein","given":"Stefanie","non-dropping-particle":"","parse-names":false,"suffix":""},{"dropping-particle":"","family":"Muller","given":"W. E. G.","non-dropping-particle":"","parse-names":false,"suffix":""}],"container-title":"Molecular Biology and Evolution","id":"ITEM-1","issue":"3","issued":{"date-parts":[["2006","12","5"]]},"page":"792-804","title":"Toll-like receptors are part of the innate immune defense system of sponges (Demospongiae: Porifera)","type":"article-journal","volume":"24"},"uris":["http://www.mendeley.com/documents/?uuid=dfe0da17-9fe6-47ba-823e-4b83842c7624"]},{"id":"ITEM-2","itemData":{"DOI":"10.1111/j.1525-142X.2010.00436.x","ISSN":"1520541X","abstract":"Members of the Toll-like receptor (TLR) and the interleukin 1 receptor (IL1R) superfamilies activate various signaling cascades that are evolutionarily conserved in eumetazoans. In this study, we have searched the genome and expressed sequence tags of the demosponge Amphimedon queenslandica for molecules involved in TLR and IL1R signaling. Although we did not identify a conventional TLR or ILR, the Amphimedon genome encodes two related receptors, AmqIgTIRs, which are comprised of at least three extracellular IL1R-like immunoglobulins (Ig) and an intracellular TLR-like Toll/interleukin1 receptor/resistance (TIR) domain. The remainder of the TLR/IL1R pathway is mostly conserved in Amphimedon and includes genes known to interact with TLRs and IL1Rs in bilaterians, such as Toll-interacting protein (Tollip) and myeloid differentiation factor 88 (MyD88). By comparing the sponge genome to that of nonmetazoan eukaryotes and other basal animal phyla (i.e., placozoan and cnidarian representatives) we can infer that most components of the signaling cascade, including the receptors, evolved after the divergence of metazoan, and choanoflagellate lineages. In most cases, these proteins are composed of metazoan-specific domains (e.g., Pellino) or architectures (e.g., the association of a death domain with a TIR domain in the MyD88). The dynamic expression of the two AmqIgTIRs, AmqMyD88, AmqTollip, and AmqPellino during Amphimedon embryogenesis and larval development is consistent with the TLR/IL1R pathway having a role in both development and immunity in the last common metazoan ancestor. © 2010 Wiley Periodicals, Inc.","author":[{"dropping-particle":"","family":"Gauthier","given":"Marie E. A.","non-dropping-particle":"","parse-names":false,"suffix":""},{"dropping-particle":"","family":"Pasquier","given":"Louis","non-dropping-particle":"Du","parse-names":false,"suffix":""},{"dropping-particle":"","family":"Degnan","given":"Bernard M.","non-dropping-particle":"","parse-names":false,"suffix":""}],"container-title":"Evolution &amp; Development","id":"ITEM-2","issue":"5","issued":{"date-parts":[["2010","9","23"]]},"note":"- TLR-like in porifera","page":"519-533","title":"The genome of the sponge &lt;i&gt;Amphimedon queenslandica&lt;/i&gt; provides new perspectives into the origin of Toll-like and interleukin 1 receptor pathways","type":"article-journal","volume":"12"},"uris":["http://www.mendeley.com/documents/?uuid=51c166d8-43f2-4f3f-bfe7-bf897c4a9f7b"]}],"mendeley":{"formattedCitation":"(Wiens &lt;i&gt;et al.&lt;/i&gt;, 2006; Gauthier &lt;i&gt;et al.&lt;/i&gt;, 2010)","plainTextFormattedCitation":"(Wiens et al., 2006; Gauthier et al., 2010)","previouslyFormattedCitation":"(Wiens &lt;i&gt;et al.&lt;/i&gt;, 2006; Gauthier &lt;i&gt;et al.&lt;/i&gt;, 2010)"},"properties":{"noteIndex":0},"schema":"https://github.com/citation-style-language/schema/raw/master/csl-citation.json"}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(Wiens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2006; Gauthier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2010)</w:t>
            </w:r>
            <w:r w:rsidRPr="005A2E25">
              <w:rPr>
                <w:rFonts w:ascii="Arial" w:hAnsi="Arial" w:cs="Arial"/>
                <w:color w:val="000000" w:themeColor="text1"/>
                <w:sz w:val="18"/>
                <w:szCs w:val="18"/>
              </w:rPr>
              <w:fldChar w:fldCharType="end"/>
            </w:r>
          </w:p>
        </w:tc>
        <w:tc>
          <w:tcPr>
            <w:tcW w:w="572" w:type="pct"/>
            <w:vAlign w:val="center"/>
          </w:tcPr>
          <w:p w14:paraId="07835BB1"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459" w:type="pct"/>
            <w:vAlign w:val="center"/>
          </w:tcPr>
          <w:p w14:paraId="5561566A"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{"citationItems":[{"id":"ITEM-1","itemData":{"DOI":"10.1016/j.dci.2007.11.004","ISBN":"1028363621","ISSN":"0145305X","abstract":"Toll-like receptors (TLRs) are an important part of the innate immunity system and are found throughout the animal kingdom, but have not yet been reported in annelids. We searched shotgun reads of the genomes of the leech Helobdella and polychaete Capitella for TLR homologs. We found 105 TLR homologs in Capitella and 16 in Helobdella. The deduced phylogeny of these sequences, together with TLRs from other animal phyla, reveals three major clades. One clade consists of a mixture of both vertebrates and invertebrates, including sequences from Capitella and Helobdella, while the other two clades contain only invertebrate TLRs. © 2007 Elsevier Ltd. All rights reserved.","author":[{"dropping-particle":"","family":"Davidson","given":"Charis R.","non-dropping-particle":"","parse-names":false,"suffix":""},{"dropping-particle":"","family":"Best","given":"Natalie M.","non-dropping-particle":"","parse-names":false,"suffix":""},{"dropping-particle":"","family":"Francis","given":"Joseph W.","non-dropping-particle":"","parse-names":false,"suffix":""},{"dropping-particle":"","family":"Cooper","given":"Edwin L.","non-dropping-particle":"","parse-names":false,"suffix":""},{"dropping-particle":"","family":"Wood","given":"Todd Charles","non-dropping-particle":"","parse-names":false,"suffix":""}],"container-title":"Developmental &amp; Comparative Immunology","id":"ITEM-1","issue":"6","issued":{"date-parts":[["2008"]]},"note":"- P-type/V-type classification","page":"608-612","title":"&lt;i&gt;Toll-like receptor&lt;/i&gt; genes (TLRs) from &lt;i&gt;Capitella capitata&lt;/i&gt; and &lt;i&gt;Helobdella robusta &lt;/i&gt;(Annelida)","type":"article-journal","volume":"32"},"uris":["http://www.mendeley.com/documents/?uuid=21cec692-cd6b-4599-91b8-08aedacc1af7"]}],"mendeley":{"formattedCitation":"(Davidson &lt;i&gt;et al.&lt;/i&gt;, 2008)","plainTextFormattedCitation":"(Davidson et al., 2008)","previouslyFormattedCitation":"(Davidson &lt;i&gt;et al.&lt;/i&gt;, 2008)"},"properties":{"noteIndex":0},"schema":"https://github.com/citation-style-language/schema/raw/master/csl-citation.json"}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(Davidson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2008)</w:t>
            </w:r>
            <w:r w:rsidRPr="005A2E25">
              <w:rPr>
                <w:rFonts w:ascii="Arial" w:hAnsi="Arial" w:cs="Arial"/>
                <w:color w:val="000000" w:themeColor="text1"/>
                <w:sz w:val="18"/>
                <w:szCs w:val="18"/>
              </w:rPr>
              <w:fldChar w:fldCharType="end"/>
            </w:r>
          </w:p>
        </w:tc>
        <w:tc>
          <w:tcPr>
            <w:tcW w:w="587" w:type="pct"/>
            <w:vAlign w:val="center"/>
          </w:tcPr>
          <w:p w14:paraId="123CF46E"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{"citationItems":[{"id":"ITEM-1","itemData":{"DOI":"10.1016/j.dci.2014.03.021","ISSN":"0145305X","abstract":"Based on protein domain structure and organization deduced from mRNA contigs, 15 transcripts of the Toll signaling pathway have been identified in the bivalve, Mytilus galloprovincialis. Identical searches performed on publicly available Mytilus edulis ESTs revealed 11 transcripts, whereas searches performed in genomic and new transcriptome sequences of the Pacific oyster, Crassostrea gigas, identified 21 Toll-related transcripts. The remarkable molecular diversity of TRAF and IKK coding sequences of C. gigas, suggests that the sequence data inferred from Mytilus cDNAs may not be exhaustive. Most of the Toll pathway genes were constitutively and ubiquitously expressed in M. galloprovincialis, although at different levels, and clearly induced after in vivo injection with bacteria. Such over-transcription was more rapid and intense with Gram-negative than with Gram-positive bacteria. Injection of a fungus modulated the transcription of few Toll pathway genes, with the induction levels of TLR/MyD88 complex being always less intense. Purified LPS and β-glucans had marginal effect whereas peptidoglycans were ineffective. At the moment, we found no evidence of an IMD transcript in bivalves. In conclusion, mussels possess a complete Toll pathway which can be triggered either by Gram-positive or Gram-negative bacteria. © 2014 Elsevier Ltd.","author":[{"dropping-particle":"","family":"Toubiana","given":"Mylène","non-dropping-particle":"","parse-names":false,"suffix":""},{"dropping-particle":"","family":"Rosani","given":"Umberto","non-dropping-particle":"","parse-names":false,"suffix":""},{"dropping-particle":"","family":"Giambelluca","given":"Sonia","non-dropping-particle":"","parse-names":false,"suffix":""},{"dropping-particle":"","family":"Cammarata","given":"Matteo","non-dropping-particle":"","parse-names":false,"suffix":""},{"dropping-particle":"","family":"Gerdol","given":"Marco","non-dropping-particle":"","parse-names":false,"suffix":""},{"dropping-particle":"","family":"Pallavicini","given":"Alberto","non-dropping-particle":"","parse-names":false,"suffix":""},{"dropping-particle":"","family":"Venier","given":"Paola","non-dropping-particle":"","parse-names":false,"suffix":""},{"dropping-particle":"","family":"Roch","given":"Philippe","non-dropping-particle":"","parse-names":false,"suffix":""}],"container-title":"Developmental &amp; Comparative Immunology","id":"ITEM-1","issue":"2","issued":{"date-parts":[["2014","8"]]},"page":"300-312","title":"Toll signal transduction pathway in bivalves: Complete cds of intermediate elements and related gene transcription levels in hemocytes of immune stimulated &lt;i&gt;Mytilus galloprovincialis&lt;/i&gt;","type":"article-journal","volume":"45"},"uris":["http://www.mendeley.com/documents/?uuid=a27460b3-ca90-4f68-a7c9-de2c8adeced3"]},{"id":"ITEM-2","itemData":{"DOI":"10.1016/j.fsi.2015.02.013","ISSN":"10504648","abstract":"Non-self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Immunology","id":"ITEM-2","issue":"1","issued":{"date-parts":[["2015","9"]]},"page":"17-38","publisher":"Elsevier Ltd","title":"An updated molecular basis for mussel immunity","type":"article-journal","volume":"46"},"uris":["http://www.mendeley.com/documents/?uuid=23bb3a0d-da3c-4a02-ab79-4fbec127ab5e"]}],"mendeley":{"formattedCitation":"(Toubiana &lt;i&gt;et al.&lt;/i&gt;, 2014; Gerdol and Venier, 2015)","plainTextFormattedCitation":"(Toubiana et al., 2014; Gerdol and Venier, 2015)","previouslyFormattedCitation":"(Toubiana &lt;i&gt;et al.&lt;/i&gt;, 2014; Gerdol and Venier, 2015)"},"properties":{"noteIndex":0},"schema":"https://github.com/citation-style-language/schema/raw/master/csl-citation.json"}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(Toubiana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2014; Gerdol and Venier, 2015)</w:t>
            </w:r>
            <w:r w:rsidRPr="005A2E25">
              <w:rPr>
                <w:rFonts w:ascii="Arial" w:hAnsi="Arial" w:cs="Arial"/>
                <w:color w:val="000000" w:themeColor="text1"/>
                <w:sz w:val="18"/>
                <w:szCs w:val="18"/>
              </w:rPr>
              <w:fldChar w:fldCharType="end"/>
            </w:r>
          </w:p>
        </w:tc>
        <w:tc>
          <w:tcPr>
            <w:tcW w:w="573" w:type="pct"/>
            <w:vAlign w:val="center"/>
          </w:tcPr>
          <w:p w14:paraId="4779E438"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582" w:type="pct"/>
            <w:vMerge/>
            <w:vAlign w:val="center"/>
          </w:tcPr>
          <w:p w14:paraId="2A352464" w14:textId="77777777" w:rsidR="001D7AD3" w:rsidRPr="005A2E25" w:rsidRDefault="001D7AD3" w:rsidP="00605F18">
            <w:pPr>
              <w:jc w:val="center"/>
              <w:rPr>
                <w:rFonts w:ascii="Arial" w:hAnsi="Arial" w:cs="Arial"/>
                <w:color w:val="000000" w:themeColor="text1"/>
                <w:sz w:val="18"/>
                <w:szCs w:val="18"/>
              </w:rPr>
            </w:pPr>
          </w:p>
        </w:tc>
        <w:tc>
          <w:tcPr>
            <w:tcW w:w="716" w:type="pct"/>
            <w:vMerge/>
            <w:vAlign w:val="center"/>
          </w:tcPr>
          <w:p w14:paraId="53C1E752" w14:textId="77777777" w:rsidR="001D7AD3" w:rsidRPr="005A2E25" w:rsidRDefault="001D7AD3" w:rsidP="00605F18">
            <w:pPr>
              <w:jc w:val="center"/>
              <w:rPr>
                <w:rFonts w:ascii="Arial" w:hAnsi="Arial" w:cs="Arial"/>
                <w:color w:val="000000" w:themeColor="text1"/>
                <w:sz w:val="18"/>
                <w:szCs w:val="18"/>
              </w:rPr>
            </w:pPr>
          </w:p>
        </w:tc>
        <w:tc>
          <w:tcPr>
            <w:tcW w:w="479" w:type="pct"/>
            <w:vMerge w:val="restart"/>
            <w:vAlign w:val="center"/>
          </w:tcPr>
          <w:p w14:paraId="50D40A35"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(Mapalo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2020)</w:t>
            </w:r>
            <w:r w:rsidRPr="005A2E25">
              <w:rPr>
                <w:rFonts w:ascii="Arial" w:hAnsi="Arial" w:cs="Arial"/>
                <w:color w:val="000000" w:themeColor="text1"/>
                <w:sz w:val="18"/>
                <w:szCs w:val="18"/>
              </w:rPr>
              <w:fldChar w:fldCharType="end"/>
            </w:r>
          </w:p>
        </w:tc>
      </w:tr>
      <w:tr w:rsidR="001D7AD3" w:rsidRPr="005A2E25" w14:paraId="4389BD2B" w14:textId="77777777" w:rsidTr="00605F18">
        <w:tc>
          <w:tcPr>
            <w:tcW w:w="539" w:type="pct"/>
          </w:tcPr>
          <w:p w14:paraId="00057EBD"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NF</w:t>
            </w:r>
            <w:r w:rsidRPr="005A2E25">
              <w:rPr>
                <w:rFonts w:ascii="Arial" w:hAnsi="Arial" w:cs="Arial"/>
                <w:b/>
                <w:bCs/>
                <w:color w:val="000000" w:themeColor="text1"/>
                <w:sz w:val="18"/>
                <w:szCs w:val="18"/>
                <w:lang w:val="en-US"/>
              </w:rPr>
              <w:sym w:font="Symbol" w:char="F06B"/>
            </w:r>
            <w:r w:rsidRPr="005A2E25">
              <w:rPr>
                <w:rFonts w:ascii="Arial" w:hAnsi="Arial" w:cs="Arial"/>
                <w:b/>
                <w:bCs/>
                <w:color w:val="000000" w:themeColor="text1"/>
                <w:sz w:val="18"/>
                <w:szCs w:val="18"/>
                <w:lang w:val="en-US"/>
              </w:rPr>
              <w:t>B-p65</w:t>
            </w:r>
          </w:p>
        </w:tc>
        <w:tc>
          <w:tcPr>
            <w:tcW w:w="493" w:type="pct"/>
            <w:vAlign w:val="center"/>
          </w:tcPr>
          <w:p w14:paraId="6DDBD0EE"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lang w:val="en-US"/>
              </w:rPr>
              <w:fldChar w:fldCharType="begin" w:fldLock="1"/>
            </w:r>
            <w:r w:rsidRPr="005A2E25">
              <w:rPr>
                <w:rFonts w:ascii="Arial" w:hAnsi="Arial" w:cs="Arial"/>
                <w:color w:val="000000" w:themeColor="text1"/>
                <w:sz w:val="18"/>
                <w:szCs w:val="18"/>
                <w:lang w:val="en-US"/>
              </w:rPr>
              <w:instrText>ADDIN CSL_CITATION {"citationItems":[{"id":"ITEM-1","itemData":{"DOI":"10.1111/j.1525-142X.2010.00436.x","ISSN":"1520541X","abstract":"Members of the Toll-like receptor (TLR) and the interleukin 1 receptor (IL1R) superfamilies activate various signaling cascades that are evolutionarily conserved in eumetazoans. In this study, we have searched the genome and expressed sequence tags of the demosponge Amphimedon queenslandica for molecules involved in TLR and IL1R signaling. Although we did not identify a conventional TLR or ILR, the Amphimedon genome encodes two related receptors, AmqIgTIRs, which are comprised of at least three extracellular IL1R-like immunoglobulins (Ig) and an intracellular TLR-like Toll/interleukin1 receptor/resistance (TIR) domain. The remainder of the TLR/IL1R pathway is mostly conserved in Amphimedon and includes genes known to interact with TLRs and IL1Rs in bilaterians, such as Toll-interacting protein (Tollip) and myeloid differentiation factor 88 (MyD88). By comparing the sponge genome to that of nonmetazoan eukaryotes and other basal animal phyla (i.e., placozoan and cnidarian representatives) we can infer that most components of the signaling cascade, including the receptors, evolved after the divergence of metazoan, and choanoflagellate lineages. In most cases, these proteins are composed of metazoan-specific domains (e.g., Pellino) or architectures (e.g., the association of a death domain with a TIR domain in the MyD88). The dynamic expression of the two AmqIgTIRs, AmqMyD88, AmqTollip, and AmqPellino during Amphimedon embryogenesis and larval development is consistent with the TLR/IL1R pathway having a role in both development and immunity in the last common metazoan ancestor. © 2010 Wiley Periodicals, Inc.","author":[{"dropping-particle":"","family":"Gauthier","given":"Marie E. A.","non-dropping-particle":"","parse-names":false,"suffix":""},{"dropping-particle":"","family":"Pasquier","given":"Louis","non-dropping-particle":"Du","parse-names":false,"suffix":""},{"dropping-particle":"","family":"Degnan","given":"Bernard M.","non-dropping-particle":"","parse-names":false,"suffix":""}],"container-title":"Evolution &amp; Development","id":"ITEM-1","issue":"5","issued":{"date-parts":[["2010","9","23"]]},"note":"- TLR-like in porifera","page":"519-533","title":"The genome of the sponge &lt;i&gt;Amphimedon queenslandica&lt;/i&gt; provides new perspectives into the origin of Toll-like and interleukin 1 receptor pathways","type":"article-journal","volume":"12"},"uris":["http://www.mendeley.com/documents/?uuid=51c166d8-43f2-4f3f-bfe7-bf897c4a9f7b"]}],"mendeley":{"formattedCitation":"(Gauthier &lt;i&gt;et al.&lt;/i&gt;, 2010)","plainTextFormattedCitation":"(Gauthier et al., 2010)","previouslyFormattedCitation":"(Gauthier &lt;i&gt;et al.&lt;/i&gt;, 2010)"},"properties":{"noteIndex":0},"schema":"https://github.com/citation-style-language/schema/raw/master/csl-citation.json"}</w:instrText>
            </w:r>
            <w:r w:rsidRPr="005A2E25">
              <w:rPr>
                <w:rFonts w:ascii="Arial" w:hAnsi="Arial" w:cs="Arial"/>
                <w:color w:val="000000" w:themeColor="text1"/>
                <w:sz w:val="18"/>
                <w:szCs w:val="18"/>
                <w:lang w:val="en-US"/>
              </w:rPr>
              <w:fldChar w:fldCharType="separate"/>
            </w:r>
            <w:r w:rsidRPr="005A2E25">
              <w:rPr>
                <w:rFonts w:ascii="Arial" w:hAnsi="Arial" w:cs="Arial"/>
                <w:noProof/>
                <w:color w:val="000000" w:themeColor="text1"/>
                <w:sz w:val="18"/>
                <w:szCs w:val="18"/>
                <w:lang w:val="en-US"/>
              </w:rPr>
              <w:t xml:space="preserve">(Gauthier </w:t>
            </w:r>
            <w:r w:rsidRPr="005A2E25">
              <w:rPr>
                <w:rFonts w:ascii="Arial" w:hAnsi="Arial" w:cs="Arial"/>
                <w:i/>
                <w:noProof/>
                <w:color w:val="000000" w:themeColor="text1"/>
                <w:sz w:val="18"/>
                <w:szCs w:val="18"/>
                <w:lang w:val="en-US"/>
              </w:rPr>
              <w:t>et al.</w:t>
            </w:r>
            <w:r w:rsidRPr="005A2E25">
              <w:rPr>
                <w:rFonts w:ascii="Arial" w:hAnsi="Arial" w:cs="Arial"/>
                <w:noProof/>
                <w:color w:val="000000" w:themeColor="text1"/>
                <w:sz w:val="18"/>
                <w:szCs w:val="18"/>
                <w:lang w:val="en-US"/>
              </w:rPr>
              <w:t>, 2010)</w:t>
            </w:r>
            <w:r w:rsidRPr="005A2E25">
              <w:rPr>
                <w:rFonts w:ascii="Arial" w:hAnsi="Arial" w:cs="Arial"/>
                <w:color w:val="000000" w:themeColor="text1"/>
                <w:sz w:val="18"/>
                <w:szCs w:val="18"/>
                <w:lang w:val="en-US"/>
              </w:rPr>
              <w:fldChar w:fldCharType="end"/>
            </w:r>
          </w:p>
        </w:tc>
        <w:tc>
          <w:tcPr>
            <w:tcW w:w="572" w:type="pct"/>
            <w:vAlign w:val="center"/>
          </w:tcPr>
          <w:p w14:paraId="24EB241D"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{"citationItems":[{"id":"ITEM-1","itemData":{"DOI":"10.1073/pnas.1711530114","ISSN":"0027-8424","abstract":"In organisms from insects to vertebrates, Toll-like receptors (TLRs) are primary pathogen detectors that activate downstream pathways, specifically those that direct expression of innate immune effector genes. TLRs also have roles in development in many species. The sea anemone Nematostella vectensis is a useful cnidarian model to study the origins of TLR signaling because its genome encodes a single TLR and homologs of many downstream signaling components, including the NF-κB pathway. We have characterized the single N. vectensis TLR (Nv-TLR) and demonstrated that it can activate canonical NF-κB signaling in human cells. Furthermore, we show that the intracellular Toll/IL-1 receptor (TIR) domain of Nv-TLR can interact with the human TLR adapter proteins MAL and MYD88. We demonstrate that the coral pathogen Vibrio coralliilyticus causes a rapidly lethal disease in N. vectensis and that heat-inactivated V. coralliilyticus and bacterial flagellin can activate a reconstituted Nv-TLR–to–NF-κB pathway in human cells. By immunostaining of anemones, we show that Nv-TLR is expressed in a subset of cnidocytes and that many of these Nv-TLR–expressing cells also express Nv-NF-κB. Additionally, the nematosome, which is a Nematostella -specific multicellular structure, expresses Nv-TLR and many innate immune pathway homologs and can engulf V. coralliilyticus . Morpholino knockdown indicates that Nv-TLR also has an essential role during early embryonic development. Our characterization of this primitive TLR and identification of a bacterial pathogen for N. vectensis reveal ancient TLR functions and provide a model for studying the molecular basis of cnidarian disease and immunity.","author":[{"dropping-particle":"","family":"Brennan","given":"Joseph J.","non-dropping-particle":"","parse-names":false,"suffix":""},{"dropping-particle":"","family":"Messerschmidt","given":"Jonathan L.","non-dropping-particle":"","parse-names":false,"suffix":""},{"dropping-particle":"","family":"Williams","given":"Leah M.","non-dropping-particle":"","parse-names":false,"suffix":""},{"dropping-particle":"","family":"Matthews","given":"Bryan J.","non-dropping-particle":"","parse-names":false,"suffix":""},{"dropping-particle":"","family":"Reynoso","given":"Marinaliz","non-dropping-particle":"","parse-names":false,"suffix":""},{"dropping-particle":"","family":"Gilmore","given":"Thomas D.","non-dropping-particle":"","parse-names":false,"suffix":""}],"container-title":"Proceedings of the National Academy of Sciences","id":"ITEM-1","issue":"47","issued":{"date-parts":[["2017","11","21"]]},"note":"TLR Nematostella vectensis","page":"E10122-E10131","title":"Sea anemone model has a single Toll-like receptor that can function in pathogen detection, NF-κB signal transduction, and development","type":"article-journal","volume":"114"},"uris":["http://www.mendeley.com/documents/?uuid=d2703153-9c99-4de7-b31c-5f75de00feb1"]},{"id":"ITEM-2","itemData":{"DOI":"10.1007/s00427-006-0111-6","ISSN":"0949-944X","PMID":"17120026","abstract":"The Rel/NF-kB and NFAT families of transcription factors are related through an N-terminal DNA-binding domain called the Rel Homology domain (RHD). Neither the RHD nor the NF-κB pathway has been identified in a basal (i.e., nonbilaterian) animal phylum. Using genomic and cDNA databases, we have identified two RHD domain-containing proteins from the cnidarian Nematostella vectensis: an NF-κB-like protein (Nv-NF-κB) and an NFAT-like protein (Nv-NFAT). The gene structure and RHD predicted amino acid sequence of Nv-nfkb are similar to those of the vertebrate NF-κB p50/p52 proteins, whereas the sequence of Nv-NFAT allows only ambiguous assignment to the NFAT family. Nv-NF-κB lacks the C-terminal IκB-like sequences present in all other NF-κB proteins. There are, however, two IκB-like genes in Nematostella encoded by loci distinct from Nv-nfkb. The separate nfkb and ikb genes of Nematostella may reflect the ancestral metazoan condition, suggesting that a gene fusion event created the nfkb genes in Drosophila and vertebrates. Nematostella also has genes that encode upstream and downstream components of the vertebrate NF-κB signaling pathway. Upstream components include Toll- and tumor necrosis-like receptors and ligands, adaptor proteins (Trafs, Myd88), caspases, and a TBK-like kinase. Downstream components include the NF-κB coactivator protein Bcl-3 and several NF-κB target genes. These results demonstrate that RHD-containing transcription factors and associated pathways are evolutionarily more ancient than previously known. Moreover, they suggest models for the evolutionary diversification of the insect and vertebrate Rel/NF-κB/IκB and NFAT gene families and suggest that cnidarians possess an NF-κB-regulated developmental or stress response pathway. © Springer-Verlag 2006.","author":[{"dropping-particle":"","family":"Sullivan","given":"James C.","non-dropping-particle":"","parse-names":false,"suffix":""},{"dropping-particle":"","family":"Kalaitzidis","given":"Demetrios","non-dropping-particle":"","parse-names":false,"suffix":""},{"dropping-particle":"","family":"Gilmore","given":"Thomas D.","non-dropping-particle":"","parse-names":false,"suffix":""},{"dropping-particle":"","family":"Finnerty","given":"John R.","non-dropping-particle":"","parse-names":false,"suffix":""}],"container-title":"Development Genes and Evolution","id":"ITEM-2","issue":"1","issued":{"date-parts":[["2007","1","4"]]},"page":"63-72","title":"Rel homology domain-containing transcription factors in the cnidarian &lt;i&gt;Nematostella vectensis&lt;/i&gt;","type":"article-journal","volume":"217"},"uris":["http://www.mendeley.com/documents/?uuid=6c1dfd04-e658-4bd2-a376-b0da4a28ecca"]},{"id":"ITEM-3","itemData":{"DOI":"10.1111/j.1525-142X.2010.00436.x","ISSN":"1520541X","abstract":"Members of the Toll-like receptor (TLR) and the interleukin 1 receptor (IL1R) superfamilies activate various signaling cascades that are evolutionarily conserved in eumetazoans. In this study, we have searched the genome and expressed sequence tags of the demosponge Amphimedon queenslandica for molecules involved in TLR and IL1R signaling. Although we did not identify a conventional TLR or ILR, the Amphimedon genome encodes two related receptors, AmqIgTIRs, which are comprised of at least three extracellular IL1R-like immunoglobulins (Ig) and an intracellular TLR-like Toll/interleukin1 receptor/resistance (TIR) domain. The remainder of the TLR/IL1R pathway is mostly conserved in Amphimedon and includes genes known to interact with TLRs and IL1Rs in bilaterians, such as Toll-interacting protein (Tollip) and myeloid differentiation factor 88 (MyD88). By comparing the sponge genome to that of nonmetazoan eukaryotes and other basal animal phyla (i.e., placozoan and cnidarian representatives) we can infer that most components of the signaling cascade, including the receptors, evolved after the divergence of metazoan, and choanoflagellate lineages. In most cases, these proteins are composed of metazoan-specific domains (e.g., Pellino) or architectures (e.g., the association of a death domain with a TIR domain in the MyD88). The dynamic expression of the two AmqIgTIRs, AmqMyD88, AmqTollip, and AmqPellino during Amphimedon embryogenesis and larval development is consistent with the TLR/IL1R pathway having a role in both development and immunity in the last common metazoan ancestor. © 2010 Wiley Periodicals, Inc.","author":[{"dropping-particle":"","family":"Gauthier","given":"Marie E. A.","non-dropping-particle":"","parse-names":false,"suffix":""},{"dropping-particle":"","family":"Pasquier","given":"Louis","non-dropping-particle":"Du","parse-names":false,"suffix":""},{"dropping-particle":"","family":"Degnan","given":"Bernard M.","non-dropping-particle":"","parse-names":false,"suffix":""}],"container-title":"Evolution &amp; Development","id":"ITEM-3","issue":"5","issued":{"date-parts":[["2010","9","23"]]},"note":"- TLR-like in porifera","page":"519-533","title":"The genome of the sponge &lt;i&gt;Amphimedon queenslandica&lt;/i&gt; provides new perspectives into the origin of Toll-like and interleukin 1 receptor pathways","type":"article-journal","volume":"12"},"uris":["http://www.mendeley.com/documents/?uuid=51c166d8-43f2-4f3f-bfe7-bf897c4a9f7b"]}],"mendeley":{"formattedCitation":"(Sullivan &lt;i&gt;et al.&lt;/i&gt;, 2007; Gauthier &lt;i&gt;et al.&lt;/i&gt;, 2010; Brennan &lt;i&gt;et al.&lt;/i&gt;, 2017)","plainTextFormattedCitation":"(Sullivan et al., 2007; Gauthier et al., 2010; Brennan et al., 2017)","previouslyFormattedCitation":"(Sullivan &lt;i&gt;et al.&lt;/i&gt;, 2007; Gauthier &lt;i&gt;et al.&lt;/i&gt;, 2010; Brennan &lt;i&gt;et al.&lt;/i&gt;, 2017)"},"properties":{"noteIndex":0},"schema":"https://github.com/citation-style-language/schema/raw/master/csl-citation.json"}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(Sullivan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2007; Gauthier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2010; Brennan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w:t>
            </w:r>
            <w:r w:rsidRPr="005A2E25">
              <w:rPr>
                <w:rFonts w:ascii="Arial" w:hAnsi="Arial" w:cs="Arial"/>
                <w:color w:val="000000" w:themeColor="text1"/>
                <w:sz w:val="18"/>
                <w:szCs w:val="18"/>
              </w:rPr>
              <w:fldChar w:fldCharType="end"/>
            </w:r>
          </w:p>
        </w:tc>
        <w:tc>
          <w:tcPr>
            <w:tcW w:w="459" w:type="pct"/>
            <w:vAlign w:val="center"/>
          </w:tcPr>
          <w:p w14:paraId="6BD5324B"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{"citationItems":[{"id":"ITEM-1","itemData":{"DOI":"10.1016/j.dci.2007.11.004","ISBN":"1028363621","ISSN":"0145305X","abstract":"Toll-like receptors (TLRs) are an important part of the innate immunity system and are found throughout the animal kingdom, but have not yet been reported in annelids. We searched shotgun reads of the genomes of the leech Helobdella and polychaete Capitella for TLR homologs. We found 105 TLR homologs in Capitella and 16 in Helobdella. The deduced phylogeny of these sequences, together with TLRs from other animal phyla, reveals three major clades. One clade consists of a mixture of both vertebrates and invertebrates, including sequences from Capitella and Helobdella, while the other two clades contain only invertebrate TLRs. © 2007 Elsevier Ltd. All rights reserved.","author":[{"dropping-particle":"","family":"Davidson","given":"Charis R.","non-dropping-particle":"","parse-names":false,"suffix":""},{"dropping-particle":"","family":"Best","given":"Natalie M.","non-dropping-particle":"","parse-names":false,"suffix":""},{"dropping-particle":"","family":"Francis","given":"Joseph W.","non-dropping-particle":"","parse-names":false,"suffix":""},{"dropping-particle":"","family":"Cooper","given":"Edwin L.","non-dropping-particle":"","parse-names":false,"suffix":""},{"dropping-particle":"","family":"Wood","given":"Todd Charles","non-dropping-particle":"","parse-names":false,"suffix":""}],"container-title":"Developmental &amp; Comparative Immunology","id":"ITEM-1","issue":"6","issued":{"date-parts":[["2008"]]},"note":"- P-type/V-type classification","page":"608-612","title":"&lt;i&gt;Toll-like receptor&lt;/i&gt; genes (TLRs) from &lt;i&gt;Capitella capitata&lt;/i&gt; and &lt;i&gt;Helobdella robusta &lt;/i&gt;(Annelida)","type":"article-journal","volume":"32"},"uris":["http://www.mendeley.com/documents/?uuid=21cec692-cd6b-4599-91b8-08aedacc1af7"]}],"mendeley":{"formattedCitation":"(Davidson &lt;i&gt;et al.&lt;/i&gt;, 2008)","plainTextFormattedCitation":"(Davidson et al., 2008)","previouslyFormattedCitation":"(Davidson &lt;i&gt;et al.&lt;/i&gt;, 2008)"},"properties":{"noteIndex":0},"schema":"https://github.com/citation-style-language/schema/raw/master/csl-citation.json"}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(Davidson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2008)</w:t>
            </w:r>
            <w:r w:rsidRPr="005A2E25">
              <w:rPr>
                <w:rFonts w:ascii="Arial" w:hAnsi="Arial" w:cs="Arial"/>
                <w:color w:val="000000" w:themeColor="text1"/>
                <w:sz w:val="18"/>
                <w:szCs w:val="18"/>
              </w:rPr>
              <w:fldChar w:fldCharType="end"/>
            </w:r>
          </w:p>
        </w:tc>
        <w:tc>
          <w:tcPr>
            <w:tcW w:w="587" w:type="pct"/>
            <w:vAlign w:val="center"/>
          </w:tcPr>
          <w:p w14:paraId="6CF74534"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Immunology","id":"ITEM-1","issue":"1","issued":{"date-parts":[["2015","9"]]},"page":"17-38","publisher":"Elsevier Ltd","title":"An updated molecular basis for mussel immunity","type":"article-journal","volume":"46"},"uris":["http://www.mendeley.com/documents/?uuid=23bb3a0d-da3c-4a02-ab79-4fbec127ab5e"]}],"mendeley":{"formattedCitation":"(Gerdol and Venier, 2015)","plainTextFormattedCitation":"(Gerdol and Venier, 2015)","previouslyFormattedCitation":"(Gerdol and Venier, 2015)"},"properties":{"noteIndex":0},"schema":"https://github.com/citation-style-language/schema/raw/master/csl-citation.json"}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(Gerdol and Venier, 2015)</w:t>
            </w:r>
            <w:r w:rsidRPr="005A2E25">
              <w:rPr>
                <w:rFonts w:ascii="Arial" w:hAnsi="Arial" w:cs="Arial"/>
                <w:color w:val="000000" w:themeColor="text1"/>
                <w:sz w:val="18"/>
                <w:szCs w:val="18"/>
              </w:rPr>
              <w:fldChar w:fldCharType="end"/>
            </w:r>
          </w:p>
        </w:tc>
        <w:tc>
          <w:tcPr>
            <w:tcW w:w="573" w:type="pct"/>
            <w:vAlign w:val="center"/>
          </w:tcPr>
          <w:p w14:paraId="6526D3B3"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582" w:type="pct"/>
            <w:vMerge/>
            <w:vAlign w:val="center"/>
          </w:tcPr>
          <w:p w14:paraId="1D9464F4" w14:textId="77777777" w:rsidR="001D7AD3" w:rsidRPr="005A2E25" w:rsidRDefault="001D7AD3" w:rsidP="00605F18">
            <w:pPr>
              <w:jc w:val="center"/>
              <w:rPr>
                <w:rFonts w:ascii="Arial" w:hAnsi="Arial" w:cs="Arial"/>
                <w:color w:val="000000" w:themeColor="text1"/>
                <w:sz w:val="18"/>
                <w:szCs w:val="18"/>
              </w:rPr>
            </w:pPr>
          </w:p>
        </w:tc>
        <w:tc>
          <w:tcPr>
            <w:tcW w:w="716" w:type="pct"/>
            <w:vAlign w:val="center"/>
          </w:tcPr>
          <w:p w14:paraId="60F19FD5"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{"citationItems":[{"id":"ITEM-1","itemData":{"DOI":"10.1016/j.devcel.2012.09.008","ISSN":"15345807","PMID":"23079596","abstract":"Planarians grow and regenerate organs by coordinating proliferation and differentiation of pluripotent stem cells with remodeling of postmitotic tissues. Understanding how these processes are orchestrated requires characterizing cell-type-specific gene expression programs and their regulation during regeneration and homeostasis. To this end, we analyzed the expression profile of planarian intestinal phagocytes, cells responsible for digestion and nutrient storage/distribution. Utilizing RNA interference, we identified cytoskeletal regulators required for intestinal branching morphogenesis and a modulator of bioactive sphingolipid metabolism, ceramide synthase, required for the production of functional phagocytes. Additionally, we found that a gut-enriched homeobox transcription factor, nkx-2.2, is required for somatic stem cell proliferation, suggesting a niche-like role for phagocytes. Identification of evolutionarily conserved regulators of intestinal branching, differentiation, and stem cell dynamics demonstrates the utility of the planarian digestive system as a model for elucidating the mechanisms controlling postembryonic organogenesis. Organ regeneration coordinates stem cell proliferation and differentiation with remodeling of postmitotic tissues. Forsthoefel et al. purify planarian intestinal cells, characterize their expression profile, and perform a targeted RNAi screen. Their work on transcription factor Nkx2.2 suggests that intestinal phagocytes play a niche-like role to maintain neighboring pluripotent stem cells. © 2012 Elsevier Inc.","author":[{"dropping-particle":"","family":"Forsthoefel","given":"David J.","non-dropping-particle":"","parse-names":false,"suffix":""},{"dropping-particle":"","family":"James","given":"Noëlle P.","non-dropping-particle":"","parse-names":false,"suffix":""},{"dropping-particle":"","family":"Escobar","given":"David J.","non-dropping-particle":"","parse-names":false,"suffix":""},{"dropping-particle":"","family":"Stary","given":"Joel M.","non-dropping-particle":"","parse-names":false,"suffix":""},{"dropping-particle":"","family":"Vieira","given":"Ana P.","non-dropping-particle":"","parse-names":false,"suffix":""},{"dropping-particle":"","family":"Waters","given":"Forrest A.","non-dropping-particle":"","parse-names":false,"suffix":""},{"dropping-particle":"","family":"Newmark","given":"Phillip A.","non-dropping-particle":"","parse-names":false,"suffix":""}],"container-title":"Developmental Cell","id":"ITEM-1","issue":"4","issued":{"date-parts":[["2012","10"]]},"page":"691-704","title":"An RNAi Screen Reveals Intestinal Regulators of Branching Morphogenesis, Differentiation, and Stem Cell Proliferation in Planarians","type":"article-journal","volume":"23"},"uris":["http://www.mendeley.com/documents/?uuid=ea098f0e-cab2-40a0-97a8-f63e1542bf63"]}],"mendeley":{"formattedCitation":"(Forsthoefel &lt;i&gt;et al.&lt;/i&gt;, 2012)","plainTextFormattedCitation":"(Forsthoefel et al., 2012)","previouslyFormattedCitation":"(Forsthoefel &lt;i&gt;et al.&lt;/i&gt;, 2012)"},"properties":{"noteIndex":0},"schema":"https://github.com/citation-style-language/schema/raw/master/csl-citation.json"}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(Forsthoefel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2012)</w:t>
            </w:r>
            <w:r w:rsidRPr="005A2E25">
              <w:rPr>
                <w:rFonts w:ascii="Arial" w:hAnsi="Arial" w:cs="Arial"/>
                <w:color w:val="000000" w:themeColor="text1"/>
                <w:sz w:val="18"/>
                <w:szCs w:val="18"/>
              </w:rPr>
              <w:fldChar w:fldCharType="end"/>
            </w:r>
          </w:p>
        </w:tc>
        <w:tc>
          <w:tcPr>
            <w:tcW w:w="479" w:type="pct"/>
            <w:vMerge/>
            <w:vAlign w:val="center"/>
          </w:tcPr>
          <w:p w14:paraId="308D9B40" w14:textId="77777777" w:rsidR="001D7AD3" w:rsidRPr="005A2E25" w:rsidRDefault="001D7AD3" w:rsidP="00605F18">
            <w:pPr>
              <w:jc w:val="center"/>
              <w:rPr>
                <w:rFonts w:ascii="Arial" w:hAnsi="Arial" w:cs="Arial"/>
                <w:color w:val="000000" w:themeColor="text1"/>
                <w:sz w:val="18"/>
                <w:szCs w:val="18"/>
              </w:rPr>
            </w:pPr>
          </w:p>
        </w:tc>
      </w:tr>
      <w:tr w:rsidR="001D7AD3" w:rsidRPr="005A2E25" w14:paraId="5DE6FA82" w14:textId="77777777" w:rsidTr="00605F18">
        <w:tc>
          <w:tcPr>
            <w:tcW w:w="539" w:type="pct"/>
          </w:tcPr>
          <w:p w14:paraId="162AE913"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Imd</w:t>
            </w:r>
          </w:p>
        </w:tc>
        <w:tc>
          <w:tcPr>
            <w:tcW w:w="493" w:type="pct"/>
            <w:vAlign w:val="center"/>
          </w:tcPr>
          <w:p w14:paraId="073C3833"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572" w:type="pct"/>
            <w:vAlign w:val="center"/>
          </w:tcPr>
          <w:p w14:paraId="2C44BC25"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459" w:type="pct"/>
            <w:vAlign w:val="center"/>
          </w:tcPr>
          <w:p w14:paraId="63F29315"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587" w:type="pct"/>
            <w:vAlign w:val="center"/>
          </w:tcPr>
          <w:p w14:paraId="6C017CF2"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{"citationItems":[{"id":"ITEM-1","itemData":{"DOI":"10.1016/j.dci.2014.03.021","ISSN":"0145305X","abstract":"Based on protein domain structure and organization deduced from mRNA contigs, 15 transcripts of the Toll signaling pathway have been identified in the bivalve, Mytilus galloprovincialis. Identical searches performed on publicly available Mytilus edulis ESTs revealed 11 transcripts, whereas searches performed in genomic and new transcriptome sequences of the Pacific oyster, Crassostrea gigas, identified 21 Toll-related transcripts. The remarkable molecular diversity of TRAF and IKK coding sequences of C. gigas, suggests that the sequence data inferred from Mytilus cDNAs may not be exhaustive. Most of the Toll pathway genes were constitutively and ubiquitously expressed in M. galloprovincialis, although at different levels, and clearly induced after in vivo injection with bacteria. Such over-transcription was more rapid and intense with Gram-negative than with Gram-positive bacteria. Injection of a fungus modulated the transcription of few Toll pathway genes, with the induction levels of TLR/MyD88 complex being always less intense. Purified LPS and β-glucans had marginal effect whereas peptidoglycans were ineffective. At the moment, we found no evidence of an IMD transcript in bivalves. In conclusion, mussels possess a complete Toll pathway which can be triggered either by Gram-positive or Gram-negative bacteria. © 2014 Elsevier Ltd.","author":[{"dropping-particle":"","family":"Toubiana","given":"Mylène","non-dropping-particle":"","parse-names":false,"suffix":""},{"dropping-particle":"","family":"Rosani","given":"Umberto","non-dropping-particle":"","parse-names":false,"suffix":""},{"dropping-particle":"","family":"Giambelluca","given":"Sonia","non-dropping-particle":"","parse-names":false,"suffix":""},{"dropping-particle":"","family":"Cammarata","given":"Matteo","non-dropping-particle":"","parse-names":false,"suffix":""},{"dropping-particle":"","family":"Gerdol","given":"Marco","non-dropping-particle":"","parse-names":false,"suffix":""},{"dropping-particle":"","family":"Pallavicini","given":"Alberto","non-dropping-particle":"","parse-names":false,"suffix":""},{"dropping-particle":"","family":"Venier","given":"Paola","non-dropping-particle":"","parse-names":false,"suffix":""},{"dropping-particle":"","family":"Roch","given":"Philippe","non-dropping-particle":"","parse-names":false,"suffix":""}],"container-title":"Developmental &amp; Comparative Immunology","id":"ITEM-1","issue":"2","issued":{"date-parts":[["2014","8"]]},"page":"300-312","title":"Toll signal transduction pathway in bivalves: Complete cds of intermediate elements and related gene transcription levels in hemocytes of immune stimulated &lt;i&gt;Mytilus galloprovincialis&lt;/i&gt;","type":"article-journal","volume":"45"},"uris":["http://www.mendeley.com/documents/?uuid=a27460b3-ca90-4f68-a7c9-de2c8adeced3"]}],"mendeley":{"formattedCitation":"(Toubiana &lt;i&gt;et al.&lt;/i&gt;, 2014)","plainTextFormattedCitation":"(Toubiana et al., 2014)","previouslyFormattedCitation":"(Toubiana &lt;i&gt;et al.&lt;/i&gt;, 2014)"},"properties":{"noteIndex":0},"schema":"https://github.com/citation-style-language/schema/raw/master/csl-citation.json"}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(Toubiana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2014)</w:t>
            </w:r>
            <w:r w:rsidRPr="005A2E25">
              <w:rPr>
                <w:rFonts w:ascii="Arial" w:hAnsi="Arial" w:cs="Arial"/>
                <w:color w:val="000000" w:themeColor="text1"/>
                <w:sz w:val="18"/>
                <w:szCs w:val="18"/>
              </w:rPr>
              <w:fldChar w:fldCharType="end"/>
            </w:r>
          </w:p>
        </w:tc>
        <w:tc>
          <w:tcPr>
            <w:tcW w:w="573" w:type="pct"/>
            <w:vAlign w:val="center"/>
          </w:tcPr>
          <w:p w14:paraId="10233479"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582" w:type="pct"/>
            <w:vAlign w:val="center"/>
          </w:tcPr>
          <w:p w14:paraId="31A0B07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2017.12.021","ISSN":"0145305X","author":[{"dropping-particle":"","family":"Gerdol","given":"Marco","non-dropping-particle":"","parse-names":false,"suffix":""},{"dropping-particle":"","family":"Luo","given":"Yi-Jyun","non-dropping-particle":"","parse-names":false,"suffix":""},{"dropping-particle":"","family":"Satoh","given":"Noriyuki","non-dropping-particle":"","parse-names":false,"suffix":""},{"dropping-particle":"","family":"Pallavicini","given":"Alberto","non-dropping-particle":"","parse-names":false,"suffix":""}],"container-title":"Developmental &amp; Comparative Immunology","id":"ITEM-1","issued":{"date-parts":[["2018","5"]]},"page":"7-30","title":"Genetic and molecular basis of the immune system in the brachiopod &lt;i&gt;Lingula anatina&lt;/i&gt;","type":"article-journal","volume":"82"},"uris":["http://www.mendeley.com/documents/?uuid=45ef2341-e661-4554-8f24-5dc865368999"]}],"mendeley":{"formattedCitation":"(Gerdol &lt;i&gt;et al.&lt;/i&gt;, 2018)","plainTextFormattedCitation":"(Gerdol et al., 2018)","previouslyFormattedCitation":"(Gerdol &lt;i&gt;et al.&lt;/i&gt;,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2018)</w:t>
            </w:r>
            <w:r w:rsidRPr="005A2E25">
              <w:rPr>
                <w:rFonts w:ascii="Arial" w:hAnsi="Arial" w:cs="Arial"/>
                <w:color w:val="000000" w:themeColor="text1"/>
                <w:sz w:val="18"/>
                <w:szCs w:val="18"/>
              </w:rPr>
              <w:fldChar w:fldCharType="end"/>
            </w:r>
          </w:p>
        </w:tc>
        <w:tc>
          <w:tcPr>
            <w:tcW w:w="716" w:type="pct"/>
            <w:vAlign w:val="center"/>
          </w:tcPr>
          <w:p w14:paraId="7C9DB883"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479" w:type="pct"/>
            <w:vMerge w:val="restart"/>
            <w:vAlign w:val="center"/>
          </w:tcPr>
          <w:p w14:paraId="49BC7525"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(Mapalo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2020)</w:t>
            </w:r>
            <w:r w:rsidRPr="005A2E25">
              <w:rPr>
                <w:rFonts w:ascii="Arial" w:hAnsi="Arial" w:cs="Arial"/>
                <w:color w:val="000000" w:themeColor="text1"/>
                <w:sz w:val="18"/>
                <w:szCs w:val="18"/>
              </w:rPr>
              <w:fldChar w:fldCharType="end"/>
            </w:r>
          </w:p>
        </w:tc>
      </w:tr>
      <w:tr w:rsidR="001D7AD3" w:rsidRPr="005A2E25" w14:paraId="08FA4F32" w14:textId="77777777" w:rsidTr="00605F18">
        <w:tc>
          <w:tcPr>
            <w:tcW w:w="539" w:type="pct"/>
          </w:tcPr>
          <w:p w14:paraId="012546EA"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Fadd</w:t>
            </w:r>
          </w:p>
        </w:tc>
        <w:tc>
          <w:tcPr>
            <w:tcW w:w="493" w:type="pct"/>
            <w:vAlign w:val="center"/>
          </w:tcPr>
          <w:p w14:paraId="0E1E31E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72" w:type="pct"/>
            <w:vAlign w:val="center"/>
          </w:tcPr>
          <w:p w14:paraId="376C91C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59" w:type="pct"/>
            <w:vAlign w:val="center"/>
          </w:tcPr>
          <w:p w14:paraId="5B20789C"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7" w:type="pct"/>
            <w:vAlign w:val="center"/>
          </w:tcPr>
          <w:p w14:paraId="07BFD297"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{"citationItems":[{"id":"ITEM-1","itemData":{"DOI":"10.1016/j.dci.2011.01.005","ISSN":"0145305X","PMID":"21237195","abstract":"Apoptosis system was reported to play important role in organism immunity, but it was a currently understudied respect in molluscan immunity studies. Base on the recent generation of ESTs in the pacific oyster, Crassostrea gigas, a survey of apoptosis-related molecules was conducted in the assembled unigenes, we found that the basic genes and domains in apoptosis-associated proteins were conserved, the overall apoptotic machinery was complex in C. gigas and that the organism had an expanded number of putative baculovirus inhibitor of apoptosis repeat domains. Moreover, four typical apoptosis-related genes were cloned in C. gigas and compared with the sequences of these genes in Drosophila melanogaster and Homo sapiens. The expression level of these four apoptosis-related genes in the hemolymph increased dramatically in the presence of the bacteria, Vibrio anguillarum, indicating their role in bacterial defense. Our results suggest that the oyster apoptosis system is not simple and cannot be represented by model invertebrates. © 2011 Elsevier Ltd.","author":[{"dropping-particle":"","family":"Zhang","given":"Linlin","non-dropping-particle":"","parse-names":false,"suffix":""},{"dropping-particle":"","family":"Li","given":"Li","non-dropping-particle":"","parse-names":false,"suffix":""},{"dropping-particle":"","family":"Zhang","given":"Guofan","non-dropping-particle":"","parse-names":false,"suffix":""}],"container-title":"Developmental &amp; Comparative Immunology","id":"ITEM-1","issue":"5","issued":{"date-parts":[["2011","5"]]},"page":"603-610","title":"Gene discovery, comparative analysis and expression profile reveal the complexity of the &lt;i&gt;Crassostrea gigas&lt;/i&gt; apoptosis system","type":"article-journal","volume":"35"},"uris":["http://www.mendeley.com/documents/?uuid=b6098fc6-25b6-4f38-8ce1-47882de057d7"]},{"id":"ITEM-2","itemData":{"DOI":"10.1016/j.fsi.2019.03.033","ISSN":"10504648","PMID":"30885740","abstract":"Fas-associated protein with death domain (FADD) is an essential element in cell death, and also implicates in cell cycle progression, inflammation and innate immunity. In the study, an FADD (designated as RpFADD) was identified and characterized from manila clam, Ruditapes philippinarum. Multiple alignments and phylogenetic analysis strongly suggested that RpFADD was a new member of the FADD family. The RpFADD transcripts were constitutively expressed in a wide range of tissues, and dominantly expressed in hemocytes. After challenged with Vibrio anguillarum or Micrococcus luteus, the expression level of RpFADD transcripts was significantly induced and reached the maximum level at 72 h and 48 h, respectively. Knockdown of RpFADD down-regulated the transcript levels of RpIKK, RpTAK1 and RpNF-κB with the exception of RpIκB. Moreover, RpFADD primarily localized in the cell cytoplasm, and its over-expression promoted the apoptosis of HeLa cells. These results revealed that RpFADD perhaps regulated the NF-κB signaling pathways positively, which provided a better understanding of RpFADD in innate immunity.","author":[{"dropping-particle":"","family":"Hu","given":"Gege","non-dropping-particle":"","parse-names":false,"suffix":""},{"dropping-particle":"","family":"Han","given":"Yijing","non-dropping-particle":"","parse-names":false,"suffix":""},{"dropping-particle":"","family":"Yang","given":"Dinglong","non-dropping-particle":"","parse-names":false,"suffix":""},{"dropping-particle":"","family":"Cao","given":"Ruiwen","non-dropping-particle":"","parse-names":false,"suffix":""},{"dropping-particle":"","family":"Wang","given":"Qing","non-dropping-particle":"","parse-names":false,"suffix":""},{"dropping-particle":"","family":"Liu","given":"Hui","non-dropping-particle":"","parse-names":false,"suffix":""},{"dropping-particle":"","family":"Dong","given":"Zhijun","non-dropping-particle":"","parse-names":false,"suffix":""},{"dropping-particle":"","family":"Zhang","given":"Xiaoli","non-dropping-particle":"","parse-names":false,"suffix":""},{"dropping-particle":"","family":"Zhang","given":"Qianqian","non-dropping-particle":"","parse-names":false,"suffix":""},{"dropping-particle":"","family":"Zhao","given":"Jianmin","non-dropping-particle":"","parse-names":false,"suffix":""}],"container-title":"Fish &amp; Shellfish Immunology","id":"ITEM-2","issue":"March","issued":{"date-parts":[["2019","5"]]},"page":"556-566","publisher":"Elsevier","title":"Molecular cloning and characterization of FADD from the manila clam &lt;i&gt;Ruditapes philippinarum&lt;/i&gt;","type":"article-journal","volume":"88"},"uris":["http://www.mendeley.com/documents/?uuid=64a30155-1c14-4ff0-96f5-94789af63421"]}],"mendeley":{"formattedCitation":"(Zhang &lt;i&gt;et al.&lt;/i&gt;, 2011; Hu &lt;i&gt;et al.&lt;/i&gt;, 2019)","plainTextFormattedCitation":"(Zhang et al., 2011; Hu et al., 2019)","previouslyFormattedCitation":"(Zhang &lt;i&gt;et al.&lt;/i&gt;, 2011; Hu &lt;i&gt;et al.&lt;/i&gt;, 2019)"},"properties":{"noteIndex":0},"schema":"https://github.com/citation-style-language/schema/raw/master/csl-citation.json"}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(Zhang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2011; Hu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2019)</w:t>
            </w:r>
            <w:r w:rsidRPr="005A2E25">
              <w:rPr>
                <w:rFonts w:ascii="Arial" w:hAnsi="Arial" w:cs="Arial"/>
                <w:color w:val="000000" w:themeColor="text1"/>
                <w:sz w:val="18"/>
                <w:szCs w:val="18"/>
              </w:rPr>
              <w:fldChar w:fldCharType="end"/>
            </w:r>
          </w:p>
        </w:tc>
        <w:tc>
          <w:tcPr>
            <w:tcW w:w="573" w:type="pct"/>
            <w:vAlign w:val="center"/>
          </w:tcPr>
          <w:p w14:paraId="64FE9D2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Merge w:val="restart"/>
            <w:vAlign w:val="center"/>
          </w:tcPr>
          <w:p w14:paraId="16DEF69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2017.12.021","ISSN":"0145305X","author":[{"dropping-particle":"","family":"Gerdol","given":"Marco","non-dropping-particle":"","parse-names":false,"suffix":""},{"dropping-particle":"","family":"Luo","given":"Yi-Jyun","non-dropping-particle":"","parse-names":false,"suffix":""},{"dropping-particle":"","family":"Satoh","given":"Noriyuki","non-dropping-particle":"","parse-names":false,"suffix":""},{"dropping-particle":"","family":"Pallavicini","given":"Alberto","non-dropping-particle":"","parse-names":false,"suffix":""}],"container-title":"Developmental &amp; Comparative Immunology","id":"ITEM-1","issued":{"date-parts":[["2018","5"]]},"page":"7-30","title":"Genetic and molecular basis of the immune system in the brachiopod &lt;i&gt;Lingula anatina&lt;/i&gt;","type":"article-journal","volume":"82"},"uris":["http://www.mendeley.com/documents/?uuid=45ef2341-e661-4554-8f24-5dc865368999"]}],"mendeley":{"formattedCitation":"(Gerdol &lt;i&gt;et al.&lt;/i&gt;, 2018)","plainTextFormattedCitation":"(Gerdol et al., 2018)","previouslyFormattedCitation":"(Gerdol &lt;i&gt;et al.&lt;/i&gt;,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2018)</w:t>
            </w:r>
            <w:r w:rsidRPr="005A2E25">
              <w:rPr>
                <w:rFonts w:ascii="Arial" w:hAnsi="Arial" w:cs="Arial"/>
                <w:color w:val="000000" w:themeColor="text1"/>
                <w:sz w:val="18"/>
                <w:szCs w:val="18"/>
              </w:rPr>
              <w:fldChar w:fldCharType="end"/>
            </w:r>
          </w:p>
        </w:tc>
        <w:tc>
          <w:tcPr>
            <w:tcW w:w="716" w:type="pct"/>
            <w:vAlign w:val="center"/>
          </w:tcPr>
          <w:p w14:paraId="02A8005E"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Merge/>
            <w:vAlign w:val="center"/>
          </w:tcPr>
          <w:p w14:paraId="0222B805" w14:textId="77777777" w:rsidR="001D7AD3" w:rsidRPr="005A2E25" w:rsidRDefault="001D7AD3" w:rsidP="00605F18">
            <w:pPr>
              <w:jc w:val="center"/>
              <w:rPr>
                <w:rFonts w:ascii="Arial" w:hAnsi="Arial" w:cs="Arial"/>
                <w:color w:val="000000" w:themeColor="text1"/>
                <w:sz w:val="18"/>
                <w:szCs w:val="18"/>
              </w:rPr>
            </w:pPr>
          </w:p>
        </w:tc>
      </w:tr>
      <w:tr w:rsidR="001D7AD3" w:rsidRPr="005A2E25" w14:paraId="21D3896A" w14:textId="77777777" w:rsidTr="00605F18">
        <w:tc>
          <w:tcPr>
            <w:tcW w:w="539" w:type="pct"/>
          </w:tcPr>
          <w:p w14:paraId="05BCDE32"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Dredd</w:t>
            </w:r>
          </w:p>
        </w:tc>
        <w:tc>
          <w:tcPr>
            <w:tcW w:w="493" w:type="pct"/>
            <w:vAlign w:val="center"/>
          </w:tcPr>
          <w:p w14:paraId="39A4D66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72" w:type="pct"/>
            <w:vAlign w:val="center"/>
          </w:tcPr>
          <w:p w14:paraId="03C15A6C"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59" w:type="pct"/>
            <w:vAlign w:val="center"/>
          </w:tcPr>
          <w:p w14:paraId="2BB682F4"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7" w:type="pct"/>
            <w:vAlign w:val="center"/>
          </w:tcPr>
          <w:p w14:paraId="13CA9A7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{"citationItems":[{"id":"ITEM-1","itemData":{"DOI":"10.1371/journal.pone.0017003","ISSN":"1932-6203","PMID":"21347300","abstract":"Apoptosis is an essential biological process in the development and maintenance of immune system homeostasis. Caspase proteins constitute the core of the apoptotic machinery and can be categorized as either initiators or effectors of apoptosis. Although the genes encoding caspase proteins have been described in vertebrates and in almost all invertebrate phyla, there are few reports describing the initiator and executioner caspases or the modulation of their expression by different stimuli in different apoptotic pathways in bivalves. In the present work, we characterized two initiator and four executioner caspases in the mussel Mytilus galloprovincialis. Both initiators and executioners showed structural features that make them different from other caspase proteins already described. Evaluation of the genes' tissue expression patterns revealed extremely high expression levels within the gland and gills, where the apoptotic process is highly active due to the clearance of damaged cells. Hemocytes also showed high expression values, probably due to of the role of apoptosis in the defense against pathogens. To understand the mechanisms of caspase gene regulation, hemocytes were treated with UV-light, environmental pollutants and pathogen-associated molecular patterns (PAMPs) and apoptosis was evaluated by microscopy, flow cytometry and qPCR techniques. Our results suggest that the apoptotic process could be tightly regulated in bivalve mollusks by overexpression/suppression of caspase genes; additionally, there is evidence of caspase-specific responses to pathogens and pollutants. The apoptotic process in mollusks has a similar complexity to that of vertebrates, but presents unique features that may be related to recurrent exposure to environmental changes, pollutants and pathogens imposed by their sedentary nature. © 2011 Romero et al.","author":[{"dropping-particle":"","family":"Romero","given":"Alejandro","non-dropping-particle":"","parse-names":false,"suffix":""},{"dropping-particle":"","family":"Estévez-Calvar","given":"Noelia","non-dropping-particle":"","parse-names":false,"suffix":""},{"dropping-particle":"","family":"Dios","given":"Sonia","non-dropping-particle":"","parse-names":false,"suffix":""},{"dropping-particle":"","family":"Figueras","given":"Antonio","non-dropping-particle":"","parse-names":false,"suffix":""},{"dropping-particle":"","family":"Novoa","given":"Beatriz","non-dropping-particle":"","parse-names":false,"suffix":""}],"container-title":"PLoS ONE","editor":[{"dropping-particle":"","family":"Bergmann","given":"Andreas","non-dropping-particle":"","parse-names":false,"suffix":""}],"id":"ITEM-1","issue":"2","issued":{"date-parts":[["2011","2","11"]]},"page":"e17003","title":"New Insights into the Apoptotic Process in Mollusks: Characterization of Caspase Genes in &lt;i&gt;Mytilus galloprovincialis&lt;/i&gt;","type":"article-journal","volume":"6"},"uris":["http://www.mendeley.com/documents/?uuid=137d916d-7968-476d-9081-cce2b461aea4"]}],"mendeley":{"formattedCitation":"(Romero &lt;i&gt;et al.&lt;/i&gt;, 2011)","plainTextFormattedCitation":"(Romero et al., 2011)","previouslyFormattedCitation":"(Romero &lt;i&gt;et al.&lt;/i&gt;, 2011)"},"properties":{"noteIndex":0},"schema":"https://github.com/citation-style-language/schema/raw/master/csl-citation.json"}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(Romero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2011)</w:t>
            </w:r>
            <w:r w:rsidRPr="005A2E25">
              <w:rPr>
                <w:rFonts w:ascii="Arial" w:hAnsi="Arial" w:cs="Arial"/>
                <w:color w:val="000000" w:themeColor="text1"/>
                <w:sz w:val="18"/>
                <w:szCs w:val="18"/>
              </w:rPr>
              <w:fldChar w:fldCharType="end"/>
            </w:r>
          </w:p>
        </w:tc>
        <w:tc>
          <w:tcPr>
            <w:tcW w:w="573" w:type="pct"/>
            <w:vAlign w:val="center"/>
          </w:tcPr>
          <w:p w14:paraId="5E93A5A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Merge/>
            <w:vAlign w:val="center"/>
          </w:tcPr>
          <w:p w14:paraId="61481319" w14:textId="77777777" w:rsidR="001D7AD3" w:rsidRPr="005A2E25" w:rsidRDefault="001D7AD3" w:rsidP="00605F18">
            <w:pPr>
              <w:jc w:val="center"/>
              <w:rPr>
                <w:rFonts w:ascii="Arial" w:hAnsi="Arial" w:cs="Arial"/>
                <w:color w:val="000000" w:themeColor="text1"/>
                <w:sz w:val="18"/>
                <w:szCs w:val="18"/>
              </w:rPr>
            </w:pPr>
          </w:p>
        </w:tc>
        <w:tc>
          <w:tcPr>
            <w:tcW w:w="716" w:type="pct"/>
            <w:vAlign w:val="center"/>
          </w:tcPr>
          <w:p w14:paraId="25118ED5"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Merge/>
            <w:vAlign w:val="center"/>
          </w:tcPr>
          <w:p w14:paraId="2DA158AC" w14:textId="77777777" w:rsidR="001D7AD3" w:rsidRPr="005A2E25" w:rsidRDefault="001D7AD3" w:rsidP="00605F18">
            <w:pPr>
              <w:jc w:val="center"/>
              <w:rPr>
                <w:rFonts w:ascii="Arial" w:hAnsi="Arial" w:cs="Arial"/>
                <w:color w:val="000000" w:themeColor="text1"/>
                <w:sz w:val="18"/>
                <w:szCs w:val="18"/>
              </w:rPr>
            </w:pPr>
          </w:p>
        </w:tc>
      </w:tr>
      <w:tr w:rsidR="001D7AD3" w:rsidRPr="005A2E25" w14:paraId="51A7C78C" w14:textId="77777777" w:rsidTr="00605F18">
        <w:tc>
          <w:tcPr>
            <w:tcW w:w="539" w:type="pct"/>
          </w:tcPr>
          <w:p w14:paraId="4B4B738F"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Relish</w:t>
            </w:r>
          </w:p>
        </w:tc>
        <w:tc>
          <w:tcPr>
            <w:tcW w:w="493" w:type="pct"/>
            <w:vAlign w:val="center"/>
          </w:tcPr>
          <w:p w14:paraId="289D1CCD"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72" w:type="pct"/>
            <w:vAlign w:val="center"/>
          </w:tcPr>
          <w:p w14:paraId="2E66B4D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59" w:type="pct"/>
            <w:vAlign w:val="center"/>
          </w:tcPr>
          <w:p w14:paraId="3535A508"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{"citationItems":[{"id":"ITEM-1","itemData":{"DOI":"10.1016/j.dci.2007.11.004","ISBN":"1028363621","ISSN":"0145305X","abstract":"Toll-like receptors (TLRs) are an important part of the innate immunity system and are found throughout the animal kingdom, but have not yet been reported in annelids. We searched shotgun reads of the genomes of the leech Helobdella and polychaete Capitella for TLR homologs. We found 105 TLR homologs in Capitella and 16 in Helobdella. The deduced phylogeny of these sequences, together with TLRs from other animal phyla, reveals three major clades. One clade consists of a mixture of both vertebrates and invertebrates, including sequences from Capitella and Helobdella, while the other two clades contain only invertebrate TLRs. © 2007 Elsevier Ltd. All rights reserved.","author":[{"dropping-particle":"","family":"Davidson","given":"Charis R.","non-dropping-particle":"","parse-names":false,"suffix":""},{"dropping-particle":"","family":"Best","given":"Natalie M.","non-dropping-particle":"","parse-names":false,"suffix":""},{"dropping-particle":"","family":"Francis","given":"Joseph W.","non-dropping-particle":"","parse-names":false,"suffix":""},{"dropping-particle":"","family":"Cooper","given":"Edwin L.","non-dropping-particle":"","parse-names":false,"suffix":""},{"dropping-particle":"","family":"Wood","given":"Todd Charles","non-dropping-particle":"","parse-names":false,"suffix":""}],"container-title":"Developmental &amp; Comparative Immunology","id":"ITEM-1","issue":"6","issued":{"date-parts":[["2008"]]},"note":"- P-type/V-type classification","page":"608-612","title":"&lt;i&gt;Toll-like receptor&lt;/i&gt; genes (TLRs) from &lt;i&gt;Capitella capitata&lt;/i&gt; and &lt;i&gt;Helobdella robusta &lt;/i&gt;(Annelida)","type":"article-journal","volume":"32"},"uris":["http://www.mendeley.com/documents/?uuid=21cec692-cd6b-4599-91b8-08aedacc1af7"]}],"mendeley":{"formattedCitation":"(Davidson &lt;i&gt;et al.&lt;/i&gt;, 2008)","plainTextFormattedCitation":"(Davidson et al., 2008)","previouslyFormattedCitation":"(Davidson &lt;i&gt;et al.&lt;/i&gt;, 2008)"},"properties":{"noteIndex":0},"schema":"https://github.com/citation-style-language/schema/raw/master/csl-citation.json"}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(Davidson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2008)</w:t>
            </w:r>
            <w:r w:rsidRPr="005A2E25">
              <w:rPr>
                <w:rFonts w:ascii="Arial" w:hAnsi="Arial" w:cs="Arial"/>
                <w:color w:val="000000" w:themeColor="text1"/>
                <w:sz w:val="18"/>
                <w:szCs w:val="18"/>
              </w:rPr>
              <w:fldChar w:fldCharType="end"/>
            </w:r>
          </w:p>
        </w:tc>
        <w:tc>
          <w:tcPr>
            <w:tcW w:w="587" w:type="pct"/>
            <w:vAlign w:val="center"/>
          </w:tcPr>
          <w:p w14:paraId="6608EB76"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{"citationItems":[{"id":"ITEM-1","itemData":{"DOI":"10.1016/j.dci.2014.03.021","ISSN":"0145305X","abstract":"Based on protein domain structure and organization deduced from mRNA contigs, 15 transcripts of the Toll signaling pathway have been identified in the bivalve, Mytilus galloprovincialis. Identical searches performed on publicly available Mytilus edulis ESTs revealed 11 transcripts, whereas searches performed in genomic and new transcriptome sequences of the Pacific oyster, Crassostrea gigas, identified 21 Toll-related transcripts. The remarkable molecular diversity of TRAF and IKK coding sequences of C. gigas, suggests that the sequence data inferred from Mytilus cDNAs may not be exhaustive. Most of the Toll pathway genes were constitutively and ubiquitously expressed in M. galloprovincialis, although at different levels, and clearly induced after in vivo injection with bacteria. Such over-transcription was more rapid and intense with Gram-negative than with Gram-positive bacteria. Injection of a fungus modulated the transcription of few Toll pathway genes, with the induction levels of TLR/MyD88 complex being always less intense. Purified LPS and β-glucans had marginal effect whereas peptidoglycans were ineffective. At the moment, we found no evidence of an IMD transcript in bivalves. In conclusion, mussels possess a complete Toll pathway which can be triggered either by Gram-positive or Gram-negative bacteria. © 2014 Elsevier Ltd.","author":[{"dropping-particle":"","family":"Toubiana","given":"Mylène","non-dropping-particle":"","parse-names":false,"suffix":""},{"dropping-particle":"","family":"Rosani","given":"Umberto","non-dropping-particle":"","parse-names":false,"suffix":""},{"dropping-particle":"","family":"Giambelluca","given":"Sonia","non-dropping-particle":"","parse-names":false,"suffix":""},{"dropping-particle":"","family":"Cammarata","given":"Matteo","non-dropping-particle":"","parse-names":false,"suffix":""},{"dropping-particle":"","family":"Gerdol","given":"Marco","non-dropping-particle":"","parse-names":false,"suffix":""},{"dropping-particle":"","family":"Pallavicini","given":"Alberto","non-dropping-particle":"","parse-names":false,"suffix":""},{"dropping-particle":"","family":"Venier","given":"Paola","non-dropping-particle":"","parse-names":false,"suffix":""},{"dropping-particle":"","family":"Roch","given":"Philippe","non-dropping-particle":"","parse-names":false,"suffix":""}],"container-title":"Developmental &amp; Comparative Immunology","id":"ITEM-1","issue":"2","issued":{"date-parts":[["2014","8"]]},"page":"300-312","title":"Toll signal transduction pathway in bivalves: Complete cds of intermediate elements and related gene transcription levels in hemocytes of immune stimulated &lt;i&gt;Mytilus galloprovincialis&lt;/i&gt;","type":"article-journal","volume":"45"},"uris":["http://www.mendeley.com/documents/?uuid=a27460b3-ca90-4f68-a7c9-de2c8adeced3"]}],"mendeley":{"formattedCitation":"(Toubiana &lt;i&gt;et al.&lt;/i&gt;, 2014)","plainTextFormattedCitation":"(Toubiana et al., 2014)","previouslyFormattedCitation":"(Toubiana &lt;i&gt;et al.&lt;/i&gt;, 2014)"},"properties":{"noteIndex":0},"schema":"https://github.com/citation-style-language/schema/raw/master/csl-citation.json"}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(Toubiana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2014)</w:t>
            </w:r>
            <w:r w:rsidRPr="005A2E25">
              <w:rPr>
                <w:rFonts w:ascii="Arial" w:hAnsi="Arial" w:cs="Arial"/>
                <w:color w:val="000000" w:themeColor="text1"/>
                <w:sz w:val="18"/>
                <w:szCs w:val="18"/>
              </w:rPr>
              <w:fldChar w:fldCharType="end"/>
            </w:r>
          </w:p>
        </w:tc>
        <w:tc>
          <w:tcPr>
            <w:tcW w:w="573" w:type="pct"/>
            <w:vAlign w:val="center"/>
          </w:tcPr>
          <w:p w14:paraId="7F3DF99C"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Merge/>
            <w:vAlign w:val="center"/>
          </w:tcPr>
          <w:p w14:paraId="079DDD85" w14:textId="77777777" w:rsidR="001D7AD3" w:rsidRPr="005A2E25" w:rsidRDefault="001D7AD3" w:rsidP="00605F18">
            <w:pPr>
              <w:jc w:val="center"/>
              <w:rPr>
                <w:rFonts w:ascii="Arial" w:hAnsi="Arial" w:cs="Arial"/>
                <w:color w:val="000000" w:themeColor="text1"/>
                <w:sz w:val="18"/>
                <w:szCs w:val="18"/>
              </w:rPr>
            </w:pPr>
          </w:p>
        </w:tc>
        <w:tc>
          <w:tcPr>
            <w:tcW w:w="716" w:type="pct"/>
            <w:vAlign w:val="center"/>
          </w:tcPr>
          <w:p w14:paraId="4E47F6EE"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Merge/>
            <w:vAlign w:val="center"/>
          </w:tcPr>
          <w:p w14:paraId="39D8EA78" w14:textId="77777777" w:rsidR="001D7AD3" w:rsidRPr="005A2E25" w:rsidRDefault="001D7AD3" w:rsidP="00605F18">
            <w:pPr>
              <w:jc w:val="center"/>
              <w:rPr>
                <w:rFonts w:ascii="Arial" w:hAnsi="Arial" w:cs="Arial"/>
                <w:color w:val="000000" w:themeColor="text1"/>
                <w:sz w:val="18"/>
                <w:szCs w:val="18"/>
              </w:rPr>
            </w:pPr>
          </w:p>
        </w:tc>
      </w:tr>
      <w:tr w:rsidR="001D7AD3" w:rsidRPr="005A2E25" w14:paraId="785B4F0F" w14:textId="77777777" w:rsidTr="00605F18">
        <w:tc>
          <w:tcPr>
            <w:tcW w:w="539" w:type="pct"/>
          </w:tcPr>
          <w:p w14:paraId="2C9F2A6A"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tPGRP</w:t>
            </w:r>
          </w:p>
        </w:tc>
        <w:tc>
          <w:tcPr>
            <w:tcW w:w="493" w:type="pct"/>
            <w:vAlign w:val="center"/>
          </w:tcPr>
          <w:p w14:paraId="712AF534"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72" w:type="pct"/>
            <w:vAlign w:val="center"/>
          </w:tcPr>
          <w:p w14:paraId="180DBDC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59" w:type="pct"/>
            <w:vAlign w:val="center"/>
          </w:tcPr>
          <w:p w14:paraId="62367F17"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7" w:type="pct"/>
            <w:vAlign w:val="center"/>
          </w:tcPr>
          <w:p w14:paraId="5FB6829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Immunology","id":"ITEM-1","issue":"1","issued":{"date-parts":[["2015","9"]]},"page":"17-38","publisher":"Elsevier Ltd","title":"An updated molecular basis for mussel immunity","type":"article-journal","volume":"46"},"uris":["http://www.mendeley.com/documents/?uuid=23bb3a0d-da3c-4a02-ab79-4fbec127ab5e"]}],"mendeley":{"formattedCitation":"(Gerdol and Venier, 2015)","plainTextFormattedCitation":"(Gerdol and Venier, 2015)","previouslyFormattedCitation":"(Gerdol and Venier, 2015)"},"properties":{"noteIndex":0},"schema":"https://github.com/citation-style-language/schema/raw/master/csl-citation.json"}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(Gerdol and Venier, 2015)</w:t>
            </w:r>
            <w:r w:rsidRPr="005A2E25">
              <w:rPr>
                <w:rFonts w:ascii="Arial" w:hAnsi="Arial" w:cs="Arial"/>
                <w:color w:val="000000" w:themeColor="text1"/>
                <w:sz w:val="18"/>
                <w:szCs w:val="18"/>
              </w:rPr>
              <w:fldChar w:fldCharType="end"/>
            </w:r>
          </w:p>
        </w:tc>
        <w:tc>
          <w:tcPr>
            <w:tcW w:w="573" w:type="pct"/>
            <w:vAlign w:val="center"/>
          </w:tcPr>
          <w:p w14:paraId="77BD2156"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Merge/>
            <w:vAlign w:val="center"/>
          </w:tcPr>
          <w:p w14:paraId="2DB4E6D1" w14:textId="77777777" w:rsidR="001D7AD3" w:rsidRPr="005A2E25" w:rsidRDefault="001D7AD3" w:rsidP="00605F18">
            <w:pPr>
              <w:jc w:val="center"/>
              <w:rPr>
                <w:rFonts w:ascii="Arial" w:hAnsi="Arial" w:cs="Arial"/>
                <w:color w:val="000000" w:themeColor="text1"/>
                <w:sz w:val="18"/>
                <w:szCs w:val="18"/>
              </w:rPr>
            </w:pPr>
          </w:p>
        </w:tc>
        <w:tc>
          <w:tcPr>
            <w:tcW w:w="716" w:type="pct"/>
            <w:vAlign w:val="center"/>
          </w:tcPr>
          <w:p w14:paraId="10079C19"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c>
          <w:tcPr>
            <w:tcW w:w="479" w:type="pct"/>
            <w:vMerge/>
            <w:vAlign w:val="center"/>
          </w:tcPr>
          <w:p w14:paraId="0EFC1917" w14:textId="77777777" w:rsidR="001D7AD3" w:rsidRPr="005A2E25" w:rsidRDefault="001D7AD3" w:rsidP="00605F18">
            <w:pPr>
              <w:jc w:val="center"/>
              <w:rPr>
                <w:rFonts w:ascii="Arial" w:hAnsi="Arial" w:cs="Arial"/>
                <w:color w:val="000000" w:themeColor="text1"/>
                <w:sz w:val="18"/>
                <w:szCs w:val="18"/>
              </w:rPr>
            </w:pPr>
          </w:p>
        </w:tc>
      </w:tr>
      <w:tr w:rsidR="001D7AD3" w:rsidRPr="005A2E25" w14:paraId="5C867ADB" w14:textId="77777777" w:rsidTr="00605F18">
        <w:tc>
          <w:tcPr>
            <w:tcW w:w="539" w:type="pct"/>
          </w:tcPr>
          <w:p w14:paraId="61F4EC22"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C3</w:t>
            </w:r>
          </w:p>
        </w:tc>
        <w:tc>
          <w:tcPr>
            <w:tcW w:w="493" w:type="pct"/>
            <w:vMerge w:val="restart"/>
            <w:vAlign w:val="center"/>
          </w:tcPr>
          <w:p w14:paraId="0C13AD98"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fldChar w:fldCharType="begin" w:fldLock="1"/>
            </w:r>
            <w:r w:rsidRPr="005A2E25">
              <w:rPr>
                <w:rFonts w:ascii="Arial" w:hAnsi="Arial" w:cs="Arial"/>
                <w:color w:val="000000" w:themeColor="text1"/>
                <w:sz w:val="18"/>
                <w:szCs w:val="18"/>
                <w:lang w:val="en-US"/>
              </w:rPr>
              <w:instrText>ADDIN CSL_CITATION {"citationItems":[{"id":"ITEM-1","itemData":{"DOI":"10.1038/nature09201","ISSN":"14764687","PMID":"20686567","abstract":"Sponges are an ancient group of animals that diverged from other metazoans over 600 million years ago. Here we present the draft genome sequence of Amphimedon queenslandica, a demosponge from the Great Barrier Reef, and show that it is remarkably similar to other animal genomes in content, structure and organization. Comparative analysis enabled by the sequencing of the sponge genome reveals genomic events linked to the origin and early evolution of animals, including the appearance, expansion and diversification of pan-metazoan transcription factor, signalling pathway and structural genes. This diverse ĝ€̃ toolkit'trade; of genes correlates with critical aspects of all metazoan body plans, and comprises cell cycle control and growth, development, somatic-and germ-cell specification, cell adhesion, innate immunity and allorecognition. Notably, many of the genes associated with the emergence of animals are also implicated in cancer, which arises from defects in basic processes associated with metazoan multicellularity. © 2010 Macmillan Publishers Limited. All rights reserved.","author":[{"dropping-particle":"","family":"Srivastava","given":"Mansi","non-dropping-particle":"","parse-names":false,"suffix":""},{"dropping-particle":"","family":"Simakov","given":"Oleg","non-dropping-particle":"","parse-names":false,"suffix":""},{"dropping-particle":"","family":"Chapman","given":"Jarrod","non-dropping-particle":"","parse-names":false,"suffix":""},{"dropping-particle":"","family":"Fahey","given":"Bryony","non-dropping-particle":"","parse-names":false,"suffix":""},{"dropping-particle":"","family":"Gauthier","given":"Marie E.A.","non-dropping-particle":"","parse-names":false,"suffix":""},{"dropping-particle":"","family":"Mitros","given":"Therese","non-dropping-particle":"","parse-names":false,"suffix":""},{"dropping-particle":"","family":"Richards","given":"Gemma S.","non-dropping-particle":"","parse-names":false,"suffix":""},{"dropping-particle":"","family":"Conaco","given":"Cecilia","non-dropping-particle":"","parse-names":false,"suffix":""},{"dropping-particle":"","family":"Dacre","given":"Michael","non-dropping-particle":"","parse-names":false,"suffix":""},{"dropping-particle":"","family":"Hellsten","given":"Uffe","non-dropping-particle":"","parse-names":false,"suffix":""},{"dropping-particle":"","family":"Larroux","given":"Claire","non-dropping-particle":"","parse-names":false,"suffix":""},{"dropping-particle":"","family":"Putnam","given":"Nicholas H.","non-dropping-particle":"","parse-names":false,"suffix":""},{"dropping-particle":"","family":"Stanke","given":"Mario","non-dropping-particle":"","parse-names":false,"suffix":""},{"dropping-particle":"","family":"Adamska","given":"Maja","non-dropping-particle":"","parse-names":false,"suffix":""},{"dropping-particle":"","family":"Darling","given":"Aaron","non-dropping-particle":"","parse-names":false,"suffix":""},{"dropping-particle":"","family":"Degnan","given":"Sandie M.","non-dropping-particle":"","parse-names":false,"suffix":""},{"dropping-particle":"","family":"Oakley","given":"Todd H.","non-dropping-particle":"","parse-names":false,"suffix":""},{"dropping-particle":"","family":"Plachetzki","given":"David C.","non-dropping-particle":"","parse-names":false,"suffix":""},{"dropping-particle":"","family":"Zhai","given":"Yufeng","non-dropping-particle":"","parse-names":false,"suffix":""},{"dropping-particle":"","family":"Adamski","given":"Marcin","non-dropping-particle":"","parse-names":false,"suffix":""},{"dropping-particle":"","family":"Calcino","given":"Andrew","non-dropping-particle":"","parse-names":false,"suffix":""},{"dropping-particle":"","family":"Cummins","given":"Scott F.","non-dropping-particle":"","parse-names":false,"suffix":""},{"dropping-particle":"","family":"Goodstein","given":"David M.","non-dropping-particle":"","parse-names":false,"suffix":""},{"dropping-particle":"","family":"Harris","given":"Christina","non-dropping-particle":"","parse-names":false,"suffix":""},{"dropping-particle":"","family":"Jackson","given":"Daniel J.","non-dropping-particle":"","parse-names":false,"suffix":""},{"dropping-particle":"","family":"Leys","given":"Sally P.","non-dropping-particle":"","parse-names":false,"suffix":""},{"dropping-particle":"","family":"Shu","given":"Shengqiang","non-dropping-particle":"","parse-names":false,"suffix":""},{"dropping-particle":"","family":"Woodcroft","given":"Ben J.","non-dropping-particle":"","parse-names":false,"suffix":""},{"dropping-particle":"","family":"Vervoort","given":"Michel","non-dropping-particle":"","parse-names":false,"suffix":""},{"dropping-particle":"","family":"Kosik","given":"Kenneth S.","non-dropping-particle":"","parse-names":false,"suffix":""},{"dropping-particle":"","family":"Manning","given":"Gerard","non-dropping-particle":"","parse-names":false,"suffix":""},{"dropping-particle":"","family":"Degnan","given":"Bernard M.","non-dropping-particle":"","parse-names":false,"suffix":""},{"dropping-particle":"","family":"Rokhsar","given":"Daniel S.","non-dropping-particle":"","parse-names":false,"suffix":""}],"container-title":"Nature","id":"ITEM-1","issue":"7307","issued":{"date-parts":[["2010"]]},"page":"720-726","publisher":"Nature Publishing Group","title":"The Amphimedon queenslandica genome and the evolution of animal complexity","type":"article-journal","volume":"466"},"uris":["http://www.mendeley.com/documents/?uuid=6d135a9d-9f0f-494b-b8c4-fa184bf26bc9"]}],"mendeley":{"formattedCitation":"(Srivastava &lt;i&gt;et al.&lt;/i&gt;, 2010)","plainTextFormattedCitation":"(Srivastava et al., 2010)","previouslyFormattedCitation":"(Srivastava &lt;i&gt;et al.&lt;/i&gt;, 2010)"},"properties":{"noteIndex":0},"schema":"https://github.com/citation-style-language/schema/raw/master/csl-citation.json"}</w:instrText>
            </w:r>
            <w:r w:rsidRPr="005A2E25">
              <w:rPr>
                <w:rFonts w:ascii="Arial" w:hAnsi="Arial" w:cs="Arial"/>
                <w:color w:val="000000" w:themeColor="text1"/>
                <w:sz w:val="18"/>
                <w:szCs w:val="18"/>
                <w:lang w:val="en-US"/>
              </w:rPr>
              <w:fldChar w:fldCharType="separate"/>
            </w:r>
            <w:r w:rsidRPr="005A2E25">
              <w:rPr>
                <w:rFonts w:ascii="Arial" w:hAnsi="Arial" w:cs="Arial"/>
                <w:noProof/>
                <w:color w:val="000000" w:themeColor="text1"/>
                <w:sz w:val="18"/>
                <w:szCs w:val="18"/>
                <w:lang w:val="en-US"/>
              </w:rPr>
              <w:t xml:space="preserve">(Srivastava </w:t>
            </w:r>
            <w:r w:rsidRPr="005A2E25">
              <w:rPr>
                <w:rFonts w:ascii="Arial" w:hAnsi="Arial" w:cs="Arial"/>
                <w:i/>
                <w:noProof/>
                <w:color w:val="000000" w:themeColor="text1"/>
                <w:sz w:val="18"/>
                <w:szCs w:val="18"/>
                <w:lang w:val="en-US"/>
              </w:rPr>
              <w:t>et al.</w:t>
            </w:r>
            <w:r w:rsidRPr="005A2E25">
              <w:rPr>
                <w:rFonts w:ascii="Arial" w:hAnsi="Arial" w:cs="Arial"/>
                <w:noProof/>
                <w:color w:val="000000" w:themeColor="text1"/>
                <w:sz w:val="18"/>
                <w:szCs w:val="18"/>
                <w:lang w:val="en-US"/>
              </w:rPr>
              <w:t>, 2010)</w:t>
            </w:r>
            <w:r w:rsidRPr="005A2E25">
              <w:rPr>
                <w:rFonts w:ascii="Arial" w:hAnsi="Arial" w:cs="Arial"/>
                <w:color w:val="000000" w:themeColor="text1"/>
                <w:sz w:val="18"/>
                <w:szCs w:val="18"/>
                <w:lang w:val="en-US"/>
              </w:rPr>
              <w:fldChar w:fldCharType="end"/>
            </w:r>
          </w:p>
        </w:tc>
        <w:tc>
          <w:tcPr>
            <w:tcW w:w="572" w:type="pct"/>
            <w:vAlign w:val="center"/>
          </w:tcPr>
          <w:p w14:paraId="69F7608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{"citationItems":[{"id":"ITEM-1","itemData":{"DOI":"10.1007/s00251-005-0005-1","ISSN":"0093-7711","PMID":"16041540","abstract":"C3, C4, and C5 are thiolester-containing proteins (TEPs) of vertebrate complement. The identification of the molecular origin of the TEP family, and more specifically the ancestor protein of complement components C3, C4, and C5, remains a fundamental question. The prevailing paradigm suggests that duplication and divergence of these proteins occurred after the deuterostome split in phylogeny. It is believed that the ancestor of thiolester-containing complement proteins was alpha-2-macroglobulin (A2M)-like, a noncomplement- related protein. Here we describe a C3-like cDNA from a gorgonian coral, Swiftia exserta. This study provides evidence for the origins of a complement-related C3-like gene in the Precambrian period, predating both protostomes and deuterostomes. Furthermore, one may speculate that complement-like opsonic reactions were evolving at the earliest stages of metazoan evolution. This calls for a reassessment of the present concepts concerning the origins and evolution of TEPs. © Springer-Verlag 2005.","author":[{"dropping-particle":"","family":"Dishaw","given":"Larry J.","non-dropping-particle":"","parse-names":false,"suffix":""},{"dropping-particle":"","family":"Smith","given":"Sylvia L.","non-dropping-particle":"","parse-names":false,"suffix":""},{"dropping-particle":"","family":"Bigger","given":"Charles H.","non-dropping-particle":"","parse-names":false,"suffix":""}],"container-title":"Immunogenetics","id":"ITEM-1","issue":"7","issued":{"date-parts":[["2005","8","22"]]},"page":"535-548","title":"Characterization of a C3-like cDNA in a coral: phylogenetic implications","type":"article-journal","volume":"57"},"uris":["http://www.mendeley.com/documents/?uuid=c1859e53-8a0a-4004-89c1-efc1ef44675c"]},{"id":"ITEM-2","itemData":{"DOI":"10.1186/gb-2007-8-4-r59","ISSN":"14656906","PMID":"17437634","abstract":"Background: Characterization of the innate immune repertoire of extant cnidarians is of both fundamental and applied interest - it not only provides insights into the basic immunological 'tool kit' of the common ancestor of all animals, but is also likely to be important in understanding the global decline of coral reefs that is presently occurring. Recently, whole genome sequences became available for two cnidarians, Hydra magnipapillata and Nematostella vectensis, and large expressed sequence tag (EST) datasets are available for these and for the coral Acropora millepora. Results: To better understand the basis of innate immunity in cnidarians, we scanned the available EST and genomic resources for some of the key components of the vertebrate innate immune repertoire, focusing on the Toll/Toll-like receptor (TLR) and complement pathways. A canonical Toll/TLR pathway is present in representatives of the basal cnidarian class Anthozoa, but neither a classic Toll/TLR receptor nor a conventional nuclear factor (NF)-κB could be identified in the anthozoan Hydra. Moreover, the detection of complement C3 and several membrane attack complex/perforin domain (MAC/PF) proteins suggests that a prototypic complement effector pathway may exist in anthozoans, but not in hydrozoans. Together with data for several other gene families, this implies that Hydra may have undergone substantial secondary gene loss during evolution. Such losses are not confined to Hydra, however, and at least one MAC/PF gene appears to have been lost from Nematostella. Conclusion: Consideration of these patterns of gene distribution underscores the likely significance of gene loss during animal evolution whilst indicating ancient origins for many components of the vertebrate innate immune system. © 2007 Miller et al.; licensee BioMed Central Ltd.","author":[{"dropping-particle":"","family":"Miller","given":"David J.","non-dropping-particle":"","parse-names":false,"suffix":""},{"dropping-particle":"","family":"Hemmrich","given":"Georg","non-dropping-particle":"","parse-names":false,"suffix":""},{"dropping-particle":"","family":"Ball","given":"Eldon E.","non-dropping-particle":"","parse-names":false,"suffix":""},{"dropping-particle":"","family":"Hayward","given":"David C.","non-dropping-particle":"","parse-names":false,"suffix":""},{"dropping-particle":"","family":"Khalturin","given":"Konstantin","non-dropping-particle":"","parse-names":false,"suffix":""},{"dropping-particle":"","family":"Funayama","given":"Noriko","non-dropping-particle":"","parse-names":false,"suffix":""},{"dropping-particle":"","family":"Agata","given":"Kiyokazu","non-dropping-particle":"","parse-names":false,"suffix":""},{"dropping-particle":"","family":"Bosch","given":"Thomas C.G.","non-dropping-particle":"","parse-names":false,"suffix":""}],"container-title":"Genome Biology","id":"ITEM-2","issue":"4","issued":{"date-parts":[["2007"]]},"page":"R59","title":"The innate immune repertoire in Cnidaria - ancestral complexity and stochastic gene loss","type":"article-journal","volume":"8"},"uris":["http://www.mendeley.com/documents/?uuid=7dca4290-429e-4d8c-9ab6-e777c5af264f"]},{"id":"ITEM-3","itemData":{"DOI":"10.1016/j.imbio.2009.01.003","ISSN":"01712985","PMID":"19195737","abstract":"The origin of the complement system, one of the major systems of mammalian innate immunity, is more ancient than that of the adaptive immune system, as shown by the identification of the gene for the complement component 3 (C3) in a basic metazoa, cnidarian coral. Only a few reports on the other complement genes of non-chordates have been published, and the composition of the ancient complement system has not been clarified. We performed comprehensive cloning of the complement genes with characteristic domain structures using a Cnidarian, the sea anemone, Nematostella vectensis. Partial sequences of the two C3, two factor B (Bf), and one mannan-binding protein-associated serine protease (MASP) genes were identified in the draft genome data, and the complete coding sequences of these genes were elucidated by RT-PCR and 5′- and 3′-RACE. In contrast, no C6 and factor I family genes were identified. These cnidarian components shared the unique domain structures and most of the functionally critical amino acid residues with their mammalian counterparts, suggesting the conservation of their basic biochemical functions throughout metazoan evolution. In situ hybridization analysis indicated that all five genes are expressed in the tentacles, pharynx, and mesentery in an endoderm-specific manner. These results suggest that the multi-component complement system comprising at least C3, Bf, and MASP was established in a common ancestor of Cnidaria and Bilateria more than 600 million years ago to protect the coelenteron, the primitive gut cavity with putative circulatory functions. © 2009 Elsevier GmbH. All rights reserved.","author":[{"dropping-particle":"","family":"Kimura","given":"Ayuko","non-dropping-particle":"","parse-names":false,"suffix":""},{"dropping-particle":"","family":"Sakaguchi","given":"Eri","non-dropping-particle":"","parse-names":false,"suffix":""},{"dropping-particle":"","family":"Nonaka","given":"Masaru","non-dropping-particle":"","parse-names":false,"suffix":""}],"container-title":"Immunobiology","id":"ITEM-3","issue":"3","issued":{"date-parts":[["2009","3"]]},"page":"165-178","title":"Multi-component complement system of Cnidaria: C3, Bf, and MASP genes expressed in the endodermal tissues of a sea anemone, &lt;i&gt;Nematostella vectensis&lt;/i&gt;","type":"article-journal","volume":"214"},"uris":["http://www.mendeley.com/documents/?uuid=60307cf6-f5e1-414d-a9d7-4fd6738ade85"]},{"id":"ITEM-4","itemData":{"DOI":"10.1016/j.dci.2010.02.011","ISSN":"0145305X","PMID":"20188753","abstract":"To elucidate the evolutionary origin of genes encoding thioester-containing proteins (TEPs), TEP genes were isolated from a cnidarian, a sea anemone, Haliplanella lineate. Phylogenetic tree analysis of the four identified cnidarian TEP genes and various TEP genes of many metazoa, indicated that they could be classified into two subfamilies: the alpha-2-macroglobulin (A2M) subfamily encodining A2M, CD109 and insect TEPs, and the C3 subfamily encoding complement C3, C4 and C5. Two of the four cnidarian TEP genes belonged to the A2M subfamily, showing a close similarity to human A2M and CD109, respectively and thus were termed HaliA2M and HaliCD109. The other two genes belonged to the C3 subfamily, and were termed HaliC3-1 and HaliC3-2. Cnidarian TEPs retained the basic domain structure and functionally important residues for each molecule, and their mRNA were detected at different parts of the sea anemone body. These results suggest that gene duplication and subsequent functional differentiation among C3, A2M and CD109 were very ancient events predating the divergence of the cnidaria and bilateria. © 2010 Elsevier Ltd.","author":[{"dropping-particle":"","family":"Fujito","given":"Naoko T.","non-dropping-particle":"","parse-names":false,"suffix":""},{"dropping-particle":"","family":"Sugimoto","given":"Sanae","non-dropping-particle":"","parse-names":false,"suffix":""},{"dropping-particle":"","family":"Nonaka","given":"Masaru","non-dropping-particle":"","parse-names":false,"suffix":""}],"container-title":"Developmental &amp; Comparative Immunology","id":"ITEM-4","issue":"7","issued":{"date-parts":[["2010","7"]]},"page":"775-784","publisher":"Elsevier Ltd","title":"Evolution of thioester-containing proteins revealed by cloning and characterization of their genes from a cnidarian sea anemone, &lt;i&gt;Haliplanella lineate&lt;/i&gt;","type":"article-journal","volume":"34"},"uris":["http://www.mendeley.com/documents/?uuid=6ed74341-1541-4025-97d0-0a267f3a1384"]}],"mendeley":{"formattedCitation":"(Dishaw &lt;i&gt;et al.&lt;/i&gt;, 2005; Miller &lt;i&gt;et al.&lt;/i&gt;, 2007; Kimura &lt;i&gt;et al.&lt;/i&gt;, 2009; Fujito &lt;i&gt;et al.&lt;/i&gt;, 2010)","plainTextFormattedCitation":"(Dishaw et al., 2005; Miller et al., 2007; Kimura et al., 2009; Fujito et al., 2010)","previouslyFormattedCitation":"(Dishaw &lt;i&gt;et al.&lt;/i&gt;, 2005; Miller &lt;i&gt;et al.&lt;/i&gt;, 2007; Kimura &lt;i&gt;et al.&lt;/i&gt;, 2009; Fujito &lt;i&gt;et al.&lt;/i&gt;, 2010)"},"properties":{"noteIndex":0},"schema":"https://github.com/citation-style-language/schema/raw/master/csl-citation.json"}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(Dishaw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2005; Miller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2007; Kimura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w:t>
            </w:r>
            <w:r w:rsidRPr="005A2E25">
              <w:rPr>
                <w:rFonts w:ascii="Arial" w:hAnsi="Arial" w:cs="Arial"/>
                <w:noProof/>
                <w:color w:val="000000" w:themeColor="text1"/>
                <w:sz w:val="18"/>
                <w:szCs w:val="18"/>
              </w:rPr>
              <w:lastRenderedPageBreak/>
              <w:t xml:space="preserve">2009; Fujito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2010)</w:t>
            </w:r>
            <w:r w:rsidRPr="005A2E25">
              <w:rPr>
                <w:rFonts w:ascii="Arial" w:hAnsi="Arial" w:cs="Arial"/>
                <w:color w:val="000000" w:themeColor="text1"/>
                <w:sz w:val="18"/>
                <w:szCs w:val="18"/>
              </w:rPr>
              <w:fldChar w:fldCharType="end"/>
            </w:r>
          </w:p>
        </w:tc>
        <w:tc>
          <w:tcPr>
            <w:tcW w:w="459" w:type="pct"/>
            <w:vAlign w:val="center"/>
          </w:tcPr>
          <w:p w14:paraId="523E2F38"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lastRenderedPageBreak/>
              <w:t>X</w:t>
            </w:r>
          </w:p>
        </w:tc>
        <w:tc>
          <w:tcPr>
            <w:tcW w:w="587" w:type="pct"/>
            <w:vAlign w:val="center"/>
          </w:tcPr>
          <w:p w14:paraId="36A668F0"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{"citationItems":[{"id":"ITEM-1","itemData":{"DOI":"10.1016/j.dci.2008.07.013","ISSN":"0145305X","PMID":"18765250","abstract":"Examination of the EST database of the light organ of the Hawaiian bobtail squid Euprymna scolopes revealed a sequence with similarity to complement C3. RACE yielded the full open reading frame of this protein. Analysis of the resultant sequence revealed that Es-C3 (E. scolopes-C3) has conserved residues and domains known to be critical for C3 function. The gene encoding C3 was expressed in all tissues tested, indicating that its expression is widely distributed throughout the animal's body. Immunocytochemistry using an antibody against Es-C3 revealed that the protein is produced principally in the apical surfaces of epithelial cells. The finding of the gene encoding C3 in this mollusk extends the occurrence of this molecule to the lophotrochozoans, demonstrating that complement genes occur in all major branches of the animal kingdom. © 2008 Elsevier Ltd. All rights reserved.","author":[{"dropping-particle":"","family":"Castillo","given":"Maria G.","non-dropping-particle":"","parse-names":false,"suffix":""},{"dropping-particle":"","family":"Goodson","given":"Michael S.","non-dropping-particle":"","parse-names":false,"suffix":""},{"dropping-particle":"","family":"McFall-Ngai","given":"Margaret","non-dropping-particle":"","parse-names":false,"suffix":""}],"container-title":"Developmental &amp; Comparative Immunology","id":"ITEM-1","issue":"1","issued":{"date-parts":[["2009","1"]]},"page":"69-76","title":"Identification and molecular characterization of a complement C3 molecule in a lophotrochozoan, the Hawaiian bobtail squid &lt;i&gt;Euprymna scolopes&lt;/i&gt;","type":"article-journal","volume":"33"},"uris":["http://www.mendeley.com/documents/?uuid=dc91f662-50de-41ce-adab-7dc5591be1ca"]},{"id":"ITEM-2","itemData":{"DOI":"10.1016/j.fsi.2008.11.015","ISSN":"10504648","PMID":"19073265","abstract":"The alternative pathway is considered to be the most ancient route for activation of the complement system. Herein, we report the characterization of C3 and factor B-like proteins in the clam Ruditapes decussatus, termed Rd-C3 and Rd-Bf-like. The Rd-C3 is a three-chain protein, similar to other protoC3 proteins, and the Rd-Bf-like is composed of two complement control protein modules (CCP domains) that differ from other described Bf proteins. The inoculation of clams with live bacteria did not result in induction of these functions, but inhibited the expression of Rd-C3 and Rd-Bf-like. © 2008 Elsevier Ltd. All rights reserved.","author":[{"dropping-particle":"","family":"Prado-Alvarez","given":"M.","non-dropping-particle":"","parse-names":false,"suffix":""},{"dropping-particle":"","family":"Rotllant","given":"J.","non-dropping-particle":"","parse-names":false,"suffix":""},{"dropping-particle":"","family":"Gestal","given":"C.","non-dropping-particle":"","parse-names":false,"suffix":""},{"dropping-particle":"","family":"Novoa","given":"B.","non-dropping-particle":"","parse-names":false,"suffix":""},{"dropping-particle":"","family":"Figueras","given":"A.","non-dropping-particle":"","parse-names":false,"suffix":""}],"container-title":"Fish &amp; Shellfish Immunology","id":"ITEM-2","issue":"2","issued":{"date-parts":[["2009","2"]]},"page":"305-315","publisher":"Elsevier Ltd","title":"Characterization of a C3 and a factor B-like in the carpet-shell clam, &lt;i&gt;Ruditapes decussatus&lt;/i&gt;","type":"article-journal","volume":"26"},"uris":["http://www.mendeley.com/documents/?uuid=af38c11e-48f2-4356-9988-97c1b3217666"]},{"id":"ITEM-3","itemData":{"DOI":"10.1016/j.fsi.2015.02.013","ISSN":"10504648","abstract":"Non-self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Immunology","id":"ITEM-3","issue":"1","issued":{"date-parts":[["2015","9"]]},"page":"17-38","publisher":"Elsevier Ltd","title":"An updated molecular basis for mussel immunity","type":"article-journal","volume":"46"},"uris":["http://www.mendeley.com/documents/?uuid=23bb3a0d-da3c-4a02-ab79-4fbec127ab5e"]},{"id":"ITEM-4","itemData":{"DOI":"10.1016/j.dci.2017.06.009","ISSN":"0145305X","PMID":"28645512","abstract":"The complement system is one of the major effector mechanisms of immune system, playing essential roles in both the innate and adaptive immune responses. In the present study, the counterparts of vertebrate complement components were identified by screening the sequenced genome of Crassostrea gigas, resulting in the identification of 792 gene models containing complement-related domains. The transcriptome of haemocytes at 6, 12 and 24 h post lipopolysaccharides (LPS) stimulation showed differential expression of 77 C1q domain containing proteins, 53 C-type lectins and 42 fibrinogen-related proteins. mRNAs encoding 18 serine protease domain-containing (SPC) proteins, 4 MACPF-domain containing proteins and 11 C3 receptor-like proteins were up-regulated upon LPS stimulation, and CgC3 mRNA was significantly increased at 12 h. The presence of CgC3 was confirmed in cell free plasma and was present in three subunit chains as expected for the processed mature protein. The complement related PRRs with coiled coil regions and SPC proteins with CUB domains may function in the activation of CgC3, whereas, the C3-like receptors with integrin-α/β domain mediated the phagocytosis of C3-labled pathogens. These PRRs appear to serve as opsonins to promote phagocytosis of opsonized pathogens. The overall results suggested the existence of a potential multi-component complement system in C. gigas.","author":[{"dropping-particle":"","family":"Wang","given":"Lingling","non-dropping-particle":"","parse-names":false,"suffix":""},{"dropping-particle":"","family":"Zhang","given":"Huan","non-dropping-particle":"","parse-names":false,"suffix":""},{"dropping-particle":"","family":"Wang","given":"Leilei","non-dropping-particle":"","parse-names":false,"suffix":""},{"dropping-particle":"","family":"Zhang","given":"Daoxiang","non-dropping-particle":"","parse-names":false,"suffix":""},{"dropping-particle":"","family":"Lv","given":"Zhao","non-dropping-particle":"","parse-names":false,"suffix":""},{"dropping-particle":"","family":"Liu","given":"Zhaoqun","non-dropping-particle":"","parse-names":false,"suffix":""},{"dropping-particle":"","family":"Wang","given":"Weilin","non-dropping-particle":"","parse-names":false,"suffix":""},{"dropping-particle":"","family":"Zhou","given":"Zhi","non-dropping-particle":"","parse-names":false,"suffix":""},{"dropping-particle":"","family":"Qiu","given":"Limei","non-dropping-particle":"","parse-names":false,"suffix":""},{"dropping-particle":"","family":"Wang","given":"Hao","non-dropping-particle":"","parse-names":false,"suffix":""},{"dropping-particle":"","family":"Li","given":"Jun","non-dropping-particle":"","parse-names":false,"suffix":""},{"dropping-particle":"","family":"Song","given":"Linsheng","non-dropping-particle":"","parse-names":false,"suffix":""}],"container-title":"Developmental &amp; Comparative Immunology","id":"ITEM-4","issued":{"date-parts":[["2017","11"]]},"page":"209-219","publisher":"Elsevier Ltd","title":"The RNA-seq analysis suggests a potential multi-component complement system in oyster &lt;i&gt;Crassostrea gigas&lt;/i&gt;","type":"article-journal","volume":"76"},"uris":["http://www.mendeley.com/documents/?uuid=e09536c9-f6e1-40c9-aed9-ec01c4f03471"]},{"id":"ITEM-5","itemData":{"DOI":"10.1016/j.dci.2018.02.018","ISSN":"0145305X","PMID":"29501422","abstract":"The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Immunology","id":"ITEM-5","issued":{"date-parts":[["2018","7"]]},"page":"250-263","publisher":"Elsevier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evolution","type":"article-journal","volume":"84"},"uris":["http://www.mendeley.com/documents/?uuid=31479a86-e2f3-435c-8919-2aabf194aa6b"]},{"id":"ITEM-6","itemData":{"DOI":"10.1016/j.fsi.2019.09.010","ISSN":"10504648","PMID":"31494277","abstract":"Complement component C3 is well recognized as the central mediator of complement system, whose activation is responsible for the immune surveillance and elimination of non-self-antigens. In this study, C3 gene (HcC3) from a pearl making mussel, Hyriopsis cumingii, was successfully identified. The putative HcC3 possessed the canonical domains and highly conserved functional residues of C3 family members. In phylogenetic analysis, HcC3 was also clustered into C3 subfamily and separated from α2 macroglobulin clade. HcC3 gene was constitutively expressed in a wide range of tissues of pearl mussels, among which the immune-related tissues like hemocytes got highest expression. After allograft surgery of mantle tissues for aquaculture pearl production, the gene expression of HcC3 exhibited a rapid upregulation on day 1, dropped back on day 3, peaked the value on day 7, and restored to the level similar to control samples on day 14 after mantle allograft. The biphasic expression within the two weeks post the surgery suggests the important roles for HcC3 in alloimmune responses and an intricate complement activation mechanism in mollusks during tissue allograft.","author":[{"dropping-particle":"","family":"Wang","given":"Ning","non-dropping-particle":"","parse-names":false,"suffix":""},{"dropping-particle":"","family":"Qin","given":"Mengting","non-dropping-particle":"","parse-names":false,"suffix":""},{"dropping-particle":"","family":"Chen","given":"Xihua","non-dropping-particle":"","parse-names":false,"suffix":""},{"dropping-particle":"","family":"Lu","given":"Yang","non-dropping-particle":"","parse-names":false,"suffix":""},{"dropping-particle":"","family":"Zhao","given":"Xinxin","non-dropping-particle":"","parse-names":false,"suffix":""},{"dropping-particle":"","family":"Wu","given":"Yuhui","non-dropping-particle":"","parse-names":false,"suffix":""},{"dropping-particle":"","family":"Shi","given":"Jie","non-dropping-particle":"","parse-names":false,"suffix":""},{"dropping-particle":"","family":"Li","given":"Yitian","non-dropping-particle":"","parse-names":false,"suffix":""},{"dropping-particle":"","family":"Zhang","given":"Rui","non-dropping-particle":"","parse-names":false,"suffix":""}],"container-title":"Fish &amp; Shellfish Immunology","id":"ITEM-6","issue":"301","issued":{"date-parts":[["2019","11"]]},"page":"288-293","publisher":"Elsevier","title":"Molecular cloning of complement component &lt;i&gt;C3&lt;/i&gt; gene from pearl mussel, &lt;i&gt;Hyriopsis cumingii&lt;/i&gt; and analysis of the gene expression in response to tissue transplantation","type":"article-journal","volume":"94"},"uris":["http://www.mendeley.com/documents/?uuid=7a865d38-6c32-4e1e-9a88-221c37828fc9"]}],"mendeley":{"formattedCitation":"(Castillo &lt;i&gt;et al.&lt;/i&gt;, 2009; Prado-Alvarez &lt;i&gt;et al.&lt;/i&gt;, 2009; Gerdol and Venier, 2015; Wang &lt;i&gt;et al.&lt;/i&gt;, 2017, 2019; Gorbushin, 2018)","plainTextFormattedCitation":"(Castillo et al., 2009; Prado-Alvarez et al., 2009; Gerdol and Venier, 2015; Wang et al., 2017, 2019; Gorbushin, 2018)","previouslyFormattedCitation":"(Castillo &lt;i&gt;et al.&lt;/i&gt;, 2009; Prado-Alvarez &lt;i&gt;et al.&lt;/i&gt;, 2009; Gerdol and Venier, 2015; Wang &lt;i&gt;et al.&lt;/i&gt;, 2017, 2019; Gorbushin,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(Castillo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2009; Prado-Alvarez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2009; Gerdol </w:t>
            </w:r>
            <w:r w:rsidRPr="005A2E25">
              <w:rPr>
                <w:rFonts w:ascii="Arial" w:hAnsi="Arial" w:cs="Arial"/>
                <w:noProof/>
                <w:color w:val="000000" w:themeColor="text1"/>
                <w:sz w:val="18"/>
                <w:szCs w:val="18"/>
              </w:rPr>
              <w:lastRenderedPageBreak/>
              <w:t xml:space="preserve">and Venier, 2015; Wang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 2019; Gorbushin, 2018)</w:t>
            </w:r>
            <w:r w:rsidRPr="005A2E25">
              <w:rPr>
                <w:rFonts w:ascii="Arial" w:hAnsi="Arial" w:cs="Arial"/>
                <w:color w:val="000000" w:themeColor="text1"/>
                <w:sz w:val="18"/>
                <w:szCs w:val="18"/>
              </w:rPr>
              <w:fldChar w:fldCharType="end"/>
            </w:r>
          </w:p>
        </w:tc>
        <w:tc>
          <w:tcPr>
            <w:tcW w:w="573" w:type="pct"/>
            <w:vAlign w:val="center"/>
          </w:tcPr>
          <w:p w14:paraId="291480C0" w14:textId="77777777" w:rsidR="001D7AD3" w:rsidRPr="005A2E25" w:rsidRDefault="001D7AD3" w:rsidP="00605F18">
            <w:pPr>
              <w:jc w:val="center"/>
              <w:rPr>
                <w:rFonts w:ascii="Arial" w:hAnsi="Arial" w:cs="Arial"/>
                <w:color w:val="000000" w:themeColor="text1"/>
                <w:sz w:val="18"/>
                <w:szCs w:val="18"/>
                <w:lang w:val="es-ES"/>
              </w:rPr>
            </w:pPr>
            <w:r w:rsidRPr="005A2E25">
              <w:rPr>
                <w:rFonts w:ascii="Arial" w:hAnsi="Arial" w:cs="Arial"/>
                <w:color w:val="000000" w:themeColor="text1"/>
                <w:sz w:val="18"/>
                <w:szCs w:val="18"/>
                <w:lang w:val="es-ES"/>
              </w:rPr>
              <w:lastRenderedPageBreak/>
              <w:t>X</w:t>
            </w:r>
          </w:p>
        </w:tc>
        <w:tc>
          <w:tcPr>
            <w:tcW w:w="582" w:type="pct"/>
            <w:vMerge w:val="restart"/>
            <w:vAlign w:val="center"/>
          </w:tcPr>
          <w:p w14:paraId="129C1D1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2017.12.021","ISSN":"0145305X","author":[{"dropping-particle":"","family":"Gerdol","given":"Marco","non-dropping-particle":"","parse-names":false,"suffix":""},{"dropping-particle":"","family":"Luo","given":"Yi-Jyun","non-dropping-particle":"","parse-names":false,"suffix":""},{"dropping-particle":"","family":"Satoh","given":"Noriyuki","non-dropping-particle":"","parse-names":false,"suffix":""},{"dropping-particle":"","family":"Pallavicini","given":"Alberto","non-dropping-particle":"","parse-names":false,"suffix":""}],"container-title":"Developmental &amp; Comparative Immunology","id":"ITEM-1","issued":{"date-parts":[["2018","5"]]},"page":"7-30","title":"Genetic and molecular basis of the immune system in the brachiopod &lt;i&gt;Lingula anatina&lt;/i&gt;","type":"article-journal","volume":"82"},"uris":["http://www.mendeley.com/documents/?uuid=45ef2341-e661-4554-8f24-5dc865368999"]},{"id":"ITEM-2","itemData":{"DOI":"10.1016/j.dci.2018.02.018","ISSN":"0145305X","PMID":"29501422","abstract":"The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Immunology","id":"ITEM-2","issued":{"date-parts":[["2018","7"]]},"page":"250-263","publisher":"Elsevier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evolution","type":"article-journal","volume":"84"},"uris":["http://www.mendeley.com/documents/?uuid=31479a86-e2f3-435c-8919-2aabf194aa6b"]}],"mendeley":{"formattedCitation":"(Gerdol &lt;i&gt;et al.&lt;/i&gt;, 2018; Gorbushin, 2018)","plainTextFormattedCitation":"(Gerdol et al., 2018; Gorbushin, 2018)","previouslyFormattedCitation":"(Gerdol &lt;i&gt;et al.&lt;/i&gt;, 2018; Gorbushin,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2018; Gorbushin, 2018)</w:t>
            </w:r>
            <w:r w:rsidRPr="005A2E25">
              <w:rPr>
                <w:rFonts w:ascii="Arial" w:hAnsi="Arial" w:cs="Arial"/>
                <w:color w:val="000000" w:themeColor="text1"/>
                <w:sz w:val="18"/>
                <w:szCs w:val="18"/>
              </w:rPr>
              <w:fldChar w:fldCharType="end"/>
            </w:r>
          </w:p>
        </w:tc>
        <w:tc>
          <w:tcPr>
            <w:tcW w:w="716" w:type="pct"/>
            <w:vAlign w:val="center"/>
          </w:tcPr>
          <w:p w14:paraId="0A15D9CC"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{"citationItems":[{"id":"ITEM-1","itemData":{"DOI":"10.1016/j.smim.2014.06.005","ISSN":"10445323","abstract":"The immune system has been implicated as an important modulator of tissue regeneration. However, the mechanisms driving injury-induced immune response and tissue repair remain poorly understood. For over 200 years, planarians have been a classical model for studies on tissue regeneration, but the planarian immune system and its potential role in repair is largely unknown. We found through comparative genomic analysis and data mining that planarians contain many potential homologs of the innate immune system that are activated during injury and repair of adult tissues. These findings support the notion that the relationship between adult tissue repair and the immune system is an ancient feature of basal Bilateria. Further analysis of the planarian immune system during regeneration could potentially add to our understanding of how the innate immune system and inflammatory responses interplay with regenerative signals to induce scar-less tissue repair in the context of the adult organism.","author":[{"dropping-particle":"","family":"Peiris","given":"T. Harshani","non-dropping-particle":"","parse-names":false,"suffix":""},{"dropping-particle":"","family":"Hoyer","given":"Katrina K.","non-dropping-particle":"","parse-names":false,"suffix":""},{"dropping-particle":"","family":"Oviedo","given":"Néstor J.","non-dropping-particle":"","parse-names":false,"suffix":""}],"container-title":"Seminars in Immunology","id":"ITEM-1","issue":"4","issued":{"date-parts":[["2014","8"]]},"note":"S. mediterranea --&amp;gt; only found TLR-like","page":"295-302","publisher":"Elsevier Ltd","title":"Innate immune system and tissue regeneration in planarians: An area ripe for exploration","type":"article-journal","volume":"26"},"uris":["http://www.mendeley.com/documents/?uuid=8cd1168e-274f-466c-80f1-5c7c4bc351d3"]}],"mendeley":{"formattedCitation":"(Peiris &lt;i&gt;et al.&lt;/i&gt;, 2014)","plainTextFormattedCitation":"(Peiris et al., 2014)","previouslyFormattedCitation":"(Peiris &lt;i&gt;et al.&lt;/i&gt;, 2014)"},"properties":{"noteIndex":0},"schema":"https://github.com/citation-style-language/schema/raw/master/csl-citation.json"}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(Peiris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2014)</w:t>
            </w:r>
            <w:r w:rsidRPr="005A2E25">
              <w:rPr>
                <w:rFonts w:ascii="Arial" w:hAnsi="Arial" w:cs="Arial"/>
                <w:color w:val="000000" w:themeColor="text1"/>
                <w:sz w:val="18"/>
                <w:szCs w:val="18"/>
              </w:rPr>
              <w:fldChar w:fldCharType="end"/>
            </w:r>
          </w:p>
        </w:tc>
        <w:tc>
          <w:tcPr>
            <w:tcW w:w="479" w:type="pct"/>
            <w:vAlign w:val="center"/>
          </w:tcPr>
          <w:p w14:paraId="03512F0B" w14:textId="77777777" w:rsidR="001D7AD3" w:rsidRPr="005A2E25" w:rsidRDefault="001D7AD3" w:rsidP="00605F18">
            <w:pPr>
              <w:jc w:val="center"/>
              <w:rPr>
                <w:rFonts w:ascii="Arial" w:hAnsi="Arial" w:cs="Arial"/>
                <w:color w:val="000000" w:themeColor="text1"/>
                <w:sz w:val="18"/>
                <w:szCs w:val="18"/>
                <w:lang w:val="en-US"/>
              </w:rPr>
            </w:pPr>
            <w:r w:rsidRPr="005A2E25">
              <w:rPr>
                <w:rFonts w:ascii="Arial" w:hAnsi="Arial" w:cs="Arial"/>
                <w:color w:val="000000" w:themeColor="text1"/>
                <w:sz w:val="18"/>
                <w:szCs w:val="18"/>
                <w:lang w:val="en-US"/>
              </w:rPr>
              <w:t>X</w:t>
            </w:r>
          </w:p>
        </w:tc>
      </w:tr>
      <w:tr w:rsidR="001D7AD3" w:rsidRPr="005A2E25" w14:paraId="5BC56278" w14:textId="77777777" w:rsidTr="00605F18">
        <w:tc>
          <w:tcPr>
            <w:tcW w:w="539" w:type="pct"/>
          </w:tcPr>
          <w:p w14:paraId="2E2416CD" w14:textId="77777777" w:rsidR="001D7AD3" w:rsidRPr="005A2E25" w:rsidRDefault="001D7AD3" w:rsidP="00605F18">
            <w:pP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t xml:space="preserve">Factor B </w:t>
            </w:r>
          </w:p>
        </w:tc>
        <w:tc>
          <w:tcPr>
            <w:tcW w:w="493" w:type="pct"/>
            <w:vMerge/>
            <w:vAlign w:val="center"/>
          </w:tcPr>
          <w:p w14:paraId="398B8EE4" w14:textId="77777777" w:rsidR="001D7AD3" w:rsidRPr="005A2E25" w:rsidRDefault="001D7AD3" w:rsidP="00605F18">
            <w:pPr>
              <w:jc w:val="center"/>
              <w:rPr>
                <w:rFonts w:ascii="Arial" w:hAnsi="Arial" w:cs="Arial"/>
                <w:color w:val="000000" w:themeColor="text1"/>
                <w:sz w:val="18"/>
                <w:szCs w:val="18"/>
              </w:rPr>
            </w:pPr>
          </w:p>
        </w:tc>
        <w:tc>
          <w:tcPr>
            <w:tcW w:w="572" w:type="pct"/>
            <w:vAlign w:val="center"/>
          </w:tcPr>
          <w:p w14:paraId="39F5813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{"citationItems":[{"id":"ITEM-1","itemData":{"DOI":"10.1016/j.imbio.2009.01.003","ISSN":"01712985","PMID":"19195737","abstract":"The origin of the complement system, one of the major systems of mammalian innate immunity, is more ancient than that of the adaptive immune system, as shown by the identification of the gene for the complement component 3 (C3) in a basic metazoa, cnidarian coral. Only a few reports on the other complement genes of non-chordates have been published, and the composition of the ancient complement system has not been clarified. We performed comprehensive cloning of the complement genes with characteristic domain structures using a Cnidarian, the sea anemone, Nematostella vectensis. Partial sequences of the two C3, two factor B (Bf), and one mannan-binding protein-associated serine protease (MASP) genes were identified in the draft genome data, and the complete coding sequences of these genes were elucidated by RT-PCR and 5′- and 3′-RACE. In contrast, no C6 and factor I family genes were identified. These cnidarian components shared the unique domain structures and most of the functionally critical amino acid residues with their mammalian counterparts, suggesting the conservation of their basic biochemical functions throughout metazoan evolution. In situ hybridization analysis indicated that all five genes are expressed in the tentacles, pharynx, and mesentery in an endoderm-specific manner. These results suggest that the multi-component complement system comprising at least C3, Bf, and MASP was established in a common ancestor of Cnidaria and Bilateria more than 600 million years ago to protect the coelenteron, the primitive gut cavity with putative circulatory functions. © 2009 Elsevier GmbH. All rights reserved.","author":[{"dropping-particle":"","family":"Kimura","given":"Ayuko","non-dropping-particle":"","parse-names":false,"suffix":""},{"dropping-particle":"","family":"Sakaguchi","given":"Eri","non-dropping-particle":"","parse-names":false,"suffix":""},{"dropping-particle":"","family":"Nonaka","given":"Masaru","non-dropping-particle":"","parse-names":false,"suffix":""}],"container-title":"Immunobiology","id":"ITEM-1","issue":"3","issued":{"date-parts":[["2009","3"]]},"page":"165-178","title":"Multi-component complement system of Cnidaria: C3, Bf, and MASP genes expressed in the endodermal tissues of a sea anemone, &lt;i&gt;Nematostella vectensis&lt;/i&gt;","type":"article-journal","volume":"214"},"uris":["http://www.mendeley.com/documents/?uuid=60307cf6-f5e1-414d-a9d7-4fd6738ade85"]},{"id":"ITEM-2","itemData":{"DOI":"10.3389/fmicb.2016.00519","ISSN":"1664-302X","abstract":"The complement system is an innate immune pathway that in vertebrates, is responsible for initial recognition and ultimately phagocytosis and destruction of microbes. Several complement molecules including C3, Factor B, and mannose binding lectin associated serine proteases (MASP) have been characterized in invertebrates and while most studies have focused on their conserved role in defense against pathogens, little is known about their role in managing beneficial microbes. The purpose of this study was to (1) characterize complement pathway genes in the symbiotic sea anemone Aiptasia pallida, (2) investigate the evolution of complement genes in invertebrates, and (3) examine the potential dual role of complement genes Factor B and MASP in the onset and maintenance of cnidarian-dinoflagellate symbiosis and immune challenge using qPCR based studies. The results demonstrate that A. pallida has multiple Factor B genes (Ap_Bf-1, Ap_Bf-2a, and Ap_Bf-2b) and one MASP gene (Ap_MASP). Phylogenetic analysis indicates that the evolutionary history of complement genes is complex, and there have been many gene duplications or gene loss events, even within members of the same phylum. Gene expression analyses revealed a potential role for complement in both onset and maintenance of cnidarian-dinoflagellate symbiosis and immune challenge. Specifically, Ap_Bf-1 and Ap_MASP are significantly upregulated in the light at the onset of symbiosis and in response to challenge with the pathogen Serratia marcescens suggesting that they play a role in the initial recognition of both beneficial and harmful microbes. Ap_Bf-2b in contrast, was generally downregulated during the onset and maintenance of symbiosis and in response to challenge with S. marcescens. Therefore, the exact role of Ap_Bf-2b in response to microbes remains unclear, but the results suggest that the presence of microbes leads to repressed expression. Together, these results indicate functional divergence between Ap_Bf-1 and Ap_Bf-2b, and that Ap_Bf-1 and Ap_MASP may be functioning together in an ancestral hybrid of the lectin and alternative complement pathways. Overall, this study provides information on the role of the complement system in a basal metazoan and its role in host-microbe interactions.","author":[{"dropping-particle":"","family":"Poole","given":"Angela Z.","non-dropping-particle":"","parse-names":false,"suffix":""},{"dropping-particle":"","family":"Kitchen","given":"Sheila A.","non-dropping-particle":"","parse-names":false,"suffix":""},{"dropping-particle":"","family":"Weis","given":"Virginia M.","non-dropping-particle":"","parse-names":false,"suffix":""}],"container-title":"Frontiers in Microbiology","id":"ITEM-2","issued":{"date-parts":[["2016","4","22"]]},"page":"1-18","title":"The role of complement in cnidarian-dinoflagellate symbiosis and immune challenge in the sea anemone &lt;i&gt;Aiptasia pallida&lt;/i&gt;","type":"article-journal","volume":"7"},"uris":["http://www.mendeley.com/documents/?uuid=9e46a589-ddfd-4b27-8df8-635ab45df24a"]}],"mendeley":{"formattedCitation":"(Kimura &lt;i&gt;et al.&lt;/i&gt;, 2009; Poole &lt;i&gt;et al.&lt;/i&gt;, 2016)","plainTextFormattedCitation":"(Kimura et al., 2009; Poole et al., 2016)","previouslyFormattedCitation":"(Kimura &lt;i&gt;et al.&lt;/i&gt;, 2009; Poole &lt;i&gt;et al.&lt;/i&gt;, 2016)"},"properties":{"noteIndex":0},"schema":"https://github.com/citation-style-language/schema/raw/master/csl-citation.json"}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(Kimura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2009; Poole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2016)</w:t>
            </w:r>
            <w:r w:rsidRPr="005A2E25">
              <w:rPr>
                <w:rFonts w:ascii="Arial" w:hAnsi="Arial" w:cs="Arial"/>
                <w:color w:val="000000" w:themeColor="text1"/>
                <w:sz w:val="18"/>
                <w:szCs w:val="18"/>
              </w:rPr>
              <w:fldChar w:fldCharType="end"/>
            </w:r>
          </w:p>
        </w:tc>
        <w:tc>
          <w:tcPr>
            <w:tcW w:w="459" w:type="pct"/>
            <w:vAlign w:val="center"/>
          </w:tcPr>
          <w:p w14:paraId="1A6A0FC4"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7" w:type="pct"/>
            <w:vAlign w:val="center"/>
          </w:tcPr>
          <w:p w14:paraId="71EB994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{"citationItems":[{"id":"ITEM-1","itemData":{"DOI":"10.1016/j.fsi.2008.11.015","ISSN":"10504648","PMID":"19073265","abstract":"The alternative pathway is considered to be the most ancient route for activation of the complement system. Herein, we report the characterization of C3 and factor B-like proteins in the clam Ruditapes decussatus, termed Rd-C3 and Rd-Bf-like. The Rd-C3 is a three-chain protein, similar to other protoC3 proteins, and the Rd-Bf-like is composed of two complement control protein modules (CCP domains) that differ from other described Bf proteins. The inoculation of clams with live bacteria did not result in induction of these functions, but inhibited the expression of Rd-C3 and Rd-Bf-like. © 2008 Elsevier Ltd. All rights reserved.","author":[{"dropping-particle":"","family":"Prado-Alvarez","given":"M.","non-dropping-particle":"","parse-names":false,"suffix":""},{"dropping-particle":"","family":"Rotllant","given":"J.","non-dropping-particle":"","parse-names":false,"suffix":""},{"dropping-particle":"","family":"Gestal","given":"C.","non-dropping-particle":"","parse-names":false,"suffix":""},{"dropping-particle":"","family":"Novoa","given":"B.","non-dropping-particle":"","parse-names":false,"suffix":""},{"dropping-particle":"","family":"Figueras","given":"A.","non-dropping-particle":"","parse-names":false,"suffix":""}],"container-title":"Fish &amp; Shellfish Immunology","id":"ITEM-1","issue":"2","issued":{"date-parts":[["2009","2"]]},"page":"305-315","publisher":"Elsevier Ltd","title":"Characterization of a C3 and a factor B-like in the carpet-shell clam, &lt;i&gt;Ruditapes decussatus&lt;/i&gt;","type":"article-journal","volume":"26"},"uris":["http://www.mendeley.com/documents/?uuid=af38c11e-48f2-4356-9988-97c1b3217666"]},{"id":"ITEM-2","itemData":{"DOI":"10.1016/j.dci.2017.06.009","ISSN":"0145305X","PMID":"28645512","abstract":"The complement system is one of the major effector mechanisms of immune system, playing essential roles in both the innate and adaptive immune responses. In the present study, the counterparts of vertebrate complement components were identified by screening the sequenced genome of Crassostrea gigas, resulting in the identification of 792 gene models containing complement-related domains. The transcriptome of haemocytes at 6, 12 and 24 h post lipopolysaccharides (LPS) stimulation showed differential expression of 77 C1q domain containing proteins, 53 C-type lectins and 42 fibrinogen-related proteins. mRNAs encoding 18 serine protease domain-containing (SPC) proteins, 4 MACPF-domain containing proteins and 11 C3 receptor-like proteins were up-regulated upon LPS stimulation, and CgC3 mRNA was significantly increased at 12 h. The presence of CgC3 was confirmed in cell free plasma and was present in three subunit chains as expected for the processed mature protein. The complement related PRRs with coiled coil regions and SPC proteins with CUB domains may function in the activation of CgC3, whereas, the C3-like receptors with integrin-α/β domain mediated the phagocytosis of C3-labled pathogens. These PRRs appear to serve as opsonins to promote phagocytosis of opsonized pathogens. The overall results suggested the existence of a potential multi-component complement system in C. gigas.","author":[{"dropping-particle":"","family":"Wang","given":"Lingling","non-dropping-particle":"","parse-names":false,"suffix":""},{"dropping-particle":"","family":"Zhang","given":"Huan","non-dropping-particle":"","parse-names":false,"suffix":""},{"dropping-particle":"","family":"Wang","given":"Leilei","non-dropping-particle":"","parse-names":false,"suffix":""},{"dropping-particle":"","family":"Zhang","given":"Daoxiang","non-dropping-particle":"","parse-names":false,"suffix":""},{"dropping-particle":"","family":"Lv","given":"Zhao","non-dropping-particle":"","parse-names":false,"suffix":""},{"dropping-particle":"","family":"Liu","given":"Zhaoqun","non-dropping-particle":"","parse-names":false,"suffix":""},{"dropping-particle":"","family":"Wang","given":"Weilin","non-dropping-particle":"","parse-names":false,"suffix":""},{"dropping-particle":"","family":"Zhou","given":"Zhi","non-dropping-particle":"","parse-names":false,"suffix":""},{"dropping-particle":"","family":"Qiu","given":"Limei","non-dropping-particle":"","parse-names":false,"suffix":""},{"dropping-particle":"","family":"Wang","given":"Hao","non-dropping-particle":"","parse-names":false,"suffix":""},{"dropping-particle":"","family":"Li","given":"Jun","non-dropping-particle":"","parse-names":false,"suffix":""},{"dropping-particle":"","family":"Song","given":"Linsheng","non-dropping-particle":"","parse-names":false,"suffix":""}],"container-title":"Developmental &amp; Comparative Immunology","id":"ITEM-2","issued":{"date-parts":[["2017","11"]]},"page":"209-219","publisher":"Elsevier Ltd","title":"The RNA-seq analysis suggests a potential multi-component complement system in oyster &lt;i&gt;Crassostrea gigas&lt;/i&gt;","type":"article-journal","volume":"76"},"uris":["http://www.mendeley.com/documents/?uuid=e09536c9-f6e1-40c9-aed9-ec01c4f03471"]},{"id":"ITEM-3","itemData":{"DOI":"10.1016/j.dci.2018.02.018","ISSN":"0145305X","PMID":"29501422","abstract":"The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Immunology","id":"ITEM-3","issued":{"date-parts":[["2018","7"]]},"page":"250-263","publisher":"Elsevier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evolution","type":"article-journal","volume":"84"},"uris":["http://www.mendeley.com/documents/?uuid=31479a86-e2f3-435c-8919-2aabf194aa6b"]}],"mendeley":{"formattedCitation":"(Prado-Alvarez &lt;i&gt;et al.&lt;/i&gt;, 2009; Wang &lt;i&gt;et al.&lt;/i&gt;, 2017; Gorbushin, 2018)","plainTextFormattedCitation":"(Prado-Alvarez et al., 2009; Wang et al., 2017; Gorbushin, 2018)","previouslyFormattedCitation":"(Prado-Alvarez &lt;i&gt;et al.&lt;/i&gt;, 2009; Wang &lt;i&gt;et al.&lt;/i&gt;, 2017; Gorbushin,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(Prado-Alvarez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2009; Wang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 Gorbushin, 2018)</w:t>
            </w:r>
            <w:r w:rsidRPr="005A2E25">
              <w:rPr>
                <w:rFonts w:ascii="Arial" w:hAnsi="Arial" w:cs="Arial"/>
                <w:color w:val="000000" w:themeColor="text1"/>
                <w:sz w:val="18"/>
                <w:szCs w:val="18"/>
              </w:rPr>
              <w:fldChar w:fldCharType="end"/>
            </w:r>
          </w:p>
        </w:tc>
        <w:tc>
          <w:tcPr>
            <w:tcW w:w="573" w:type="pct"/>
            <w:vAlign w:val="center"/>
          </w:tcPr>
          <w:p w14:paraId="766553F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Merge/>
            <w:vAlign w:val="center"/>
          </w:tcPr>
          <w:p w14:paraId="285457D9" w14:textId="77777777" w:rsidR="001D7AD3" w:rsidRPr="005A2E25" w:rsidRDefault="001D7AD3" w:rsidP="00605F18">
            <w:pPr>
              <w:jc w:val="center"/>
              <w:rPr>
                <w:rFonts w:ascii="Arial" w:hAnsi="Arial" w:cs="Arial"/>
                <w:color w:val="000000" w:themeColor="text1"/>
                <w:sz w:val="18"/>
                <w:szCs w:val="18"/>
              </w:rPr>
            </w:pPr>
          </w:p>
        </w:tc>
        <w:tc>
          <w:tcPr>
            <w:tcW w:w="716" w:type="pct"/>
            <w:vAlign w:val="center"/>
          </w:tcPr>
          <w:p w14:paraId="46BADD3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09C4BE4E"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5C0D8EDB" w14:textId="77777777" w:rsidTr="00605F18">
        <w:tc>
          <w:tcPr>
            <w:tcW w:w="539" w:type="pct"/>
          </w:tcPr>
          <w:p w14:paraId="3E5F6EE9"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CR</w:t>
            </w:r>
          </w:p>
        </w:tc>
        <w:tc>
          <w:tcPr>
            <w:tcW w:w="493" w:type="pct"/>
            <w:vMerge/>
            <w:vAlign w:val="center"/>
          </w:tcPr>
          <w:p w14:paraId="6E2EA7E6" w14:textId="77777777" w:rsidR="001D7AD3" w:rsidRPr="005A2E25" w:rsidRDefault="001D7AD3" w:rsidP="00605F18">
            <w:pPr>
              <w:jc w:val="center"/>
              <w:rPr>
                <w:rFonts w:ascii="Arial" w:hAnsi="Arial" w:cs="Arial"/>
                <w:color w:val="000000" w:themeColor="text1"/>
                <w:sz w:val="18"/>
                <w:szCs w:val="18"/>
              </w:rPr>
            </w:pPr>
          </w:p>
        </w:tc>
        <w:tc>
          <w:tcPr>
            <w:tcW w:w="572" w:type="pct"/>
            <w:vAlign w:val="center"/>
          </w:tcPr>
          <w:p w14:paraId="0EEC18CB"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rPr>
              <w:fldChar w:fldCharType="begin" w:fldLock="1"/>
            </w:r>
            <w:r w:rsidRPr="005A2E25">
              <w:rPr>
                <w:rFonts w:ascii="Arial" w:hAnsi="Arial" w:cs="Arial"/>
                <w:b/>
                <w:bCs/>
                <w:color w:val="000000" w:themeColor="text1"/>
                <w:sz w:val="18"/>
                <w:szCs w:val="18"/>
              </w:rPr>
              <w:instrText>ADDIN CSL_CITATION {"citationItems":[{"id":"ITEM-1","itemData":{"DOI":"10.1016/j.dci.2018.02.018","ISSN":"0145305X","PMID":"29501422","abstract":"The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Immunology","id":"ITEM-1","issued":{"date-parts":[["2018","7"]]},"page":"250-263","publisher":"Elsevier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evolution","type":"article-journal","volume":"84"},"uris":["http://www.mendeley.com/documents/?uuid=31479a86-e2f3-435c-8919-2aabf194aa6b"]}],"mendeley":{"formattedCitation":"(Gorbushin, 2018)","plainTextFormattedCitation":"(Gorbushin, 2018)","previouslyFormattedCitation":"(Gorbushin, 2018)"},"properties":{"noteIndex":0},"schema":"https://github.com/citation-style-language/schema/raw/master/csl-citation.json"}</w:instrText>
            </w:r>
            <w:r w:rsidRPr="005A2E25">
              <w:rPr>
                <w:rFonts w:ascii="Arial" w:hAnsi="Arial" w:cs="Arial"/>
                <w:b/>
                <w:bCs/>
                <w:color w:val="000000" w:themeColor="text1"/>
                <w:sz w:val="18"/>
                <w:szCs w:val="18"/>
              </w:rPr>
              <w:fldChar w:fldCharType="separate"/>
            </w:r>
            <w:r w:rsidRPr="005A2E25">
              <w:rPr>
                <w:rFonts w:ascii="Arial" w:hAnsi="Arial" w:cs="Arial"/>
                <w:bCs/>
                <w:noProof/>
                <w:color w:val="000000" w:themeColor="text1"/>
                <w:sz w:val="18"/>
                <w:szCs w:val="18"/>
              </w:rPr>
              <w:t>(Gorbushin, 2018)</w:t>
            </w:r>
            <w:r w:rsidRPr="005A2E25">
              <w:rPr>
                <w:rFonts w:ascii="Arial" w:hAnsi="Arial" w:cs="Arial"/>
                <w:b/>
                <w:bCs/>
                <w:color w:val="000000" w:themeColor="text1"/>
                <w:sz w:val="18"/>
                <w:szCs w:val="18"/>
              </w:rPr>
              <w:fldChar w:fldCharType="end"/>
            </w:r>
          </w:p>
        </w:tc>
        <w:tc>
          <w:tcPr>
            <w:tcW w:w="459" w:type="pct"/>
            <w:vAlign w:val="center"/>
          </w:tcPr>
          <w:p w14:paraId="127FEF80"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{"citationItems":[{"id":"ITEM-1","itemData":{"DOI":"10.1186/1742-9994-4-18","ISBN":"1742999441","ISSN":"17429994","abstract":"Background: The marine annelid Platynereis dumerilii (Polychaeta, Nereididae) has been recognized as a slow-evolving lophotrochozoan that attracts increasing attention as a valuable model for evolutionary and developmental research. Here, we analyzed its immune-related transcriptome. For targeted identification of immune-induced genes we injected bacterial lipopolysaccharide, a commonly used elicitor of innate immune responses, and applied the suppression subtractive hybridization technique that selectively amplifies cDNAs of differentially expressed genes. Results: Sequence analysis of 288 cDNAs revealed induced expression of numerous genes whose potential homologues from other animals mediate recognition of infection (e.g. complement receptor CD35), signaling (e.g. myc and SOCS), or act as effector molecules like ferritins and the bactericidal permeability-increasing protein. Interestingly, phylogenetic analyses implicate that immune-related genes identified in P. dumerilii are more related to counterparts from Deuterostomia than are those from Ecdysozoa, similarly as recently described for opsin and intronrich genes. Conclusion: Obtained results may allow for a better understanding of Platynereis immunity and support the view that P. dumerilii represents a suitable model for analyzing immune responses of Lophotrochozoa.","author":[{"dropping-particle":"","family":"Altincicek","given":"Boran","non-dropping-particle":"","parse-names":false,"suffix":""},{"dropping-particle":"","family":"Vilcinskas","given":"Andreas","non-dropping-particle":"","parse-names":false,"suffix":""}],"container-title":"Frontiers in Zoology","id":"ITEM-1","issue":"1","issued":{"date-parts":[["2007"]]},"page":"18","title":"Analysis of the immune-related transcriptome of a lophotrochozoan model, the marine annelid &lt;i&gt;Platynereis dumerilii&lt;/i&gt;","type":"article-journal","volume":"4"},"uris":["http://www.mendeley.com/documents/?uuid=14f9e378-a957-4534-95b8-bda44b8d0594"]}],"mendeley":{"formattedCitation":"(Altincicek and Vilcinskas, 2007)","plainTextFormattedCitation":"(Altincicek and Vilcinskas, 2007)","previouslyFormattedCitation":"(Altincicek and Vilcinskas, 2007)"},"properties":{"noteIndex":0},"schema":"https://github.com/citation-style-language/schema/raw/master/csl-citation.json"}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(Altincicek and Vilcinskas, 2007)</w:t>
            </w:r>
            <w:r w:rsidRPr="005A2E25">
              <w:rPr>
                <w:rFonts w:ascii="Arial" w:hAnsi="Arial" w:cs="Arial"/>
                <w:color w:val="000000" w:themeColor="text1"/>
                <w:sz w:val="18"/>
                <w:szCs w:val="18"/>
              </w:rPr>
              <w:fldChar w:fldCharType="end"/>
            </w:r>
          </w:p>
        </w:tc>
        <w:tc>
          <w:tcPr>
            <w:tcW w:w="587" w:type="pct"/>
            <w:vAlign w:val="center"/>
          </w:tcPr>
          <w:p w14:paraId="5113CD7A"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{"citationItems":[{"id":"ITEM-1","itemData":{"DOI":"10.1016/j.dci.2017.06.009","ISSN":"0145305X","PMID":"28645512","abstract":"The complement system is one of the major effector mechanisms of immune system, playing essential roles in both the innate and adaptive immune responses. In the present study, the counterparts of vertebrate complement components were identified by screening the sequenced genome of Crassostrea gigas, resulting in the identification of 792 gene models containing complement-related domains. The transcriptome of haemocytes at 6, 12 and 24 h post lipopolysaccharides (LPS) stimulation showed differential expression of 77 C1q domain containing proteins, 53 C-type lectins and 42 fibrinogen-related proteins. mRNAs encoding 18 serine protease domain-containing (SPC) proteins, 4 MACPF-domain containing proteins and 11 C3 receptor-like proteins were up-regulated upon LPS stimulation, and CgC3 mRNA was significantly increased at 12 h. The presence of CgC3 was confirmed in cell free plasma and was present in three subunit chains as expected for the processed mature protein. The complement related PRRs with coiled coil regions and SPC proteins with CUB domains may function in the activation of CgC3, whereas, the C3-like receptors with integrin-α/β domain mediated the phagocytosis of C3-labled pathogens. These PRRs appear to serve as opsonins to promote phagocytosis of opsonized pathogens. The overall results suggested the existence of a potential multi-component complement system in C. gigas.","author":[{"dropping-particle":"","family":"Wang","given":"Lingling","non-dropping-particle":"","parse-names":false,"suffix":""},{"dropping-particle":"","family":"Zhang","given":"Huan","non-dropping-particle":"","parse-names":false,"suffix":""},{"dropping-particle":"","family":"Wang","given":"Leilei","non-dropping-particle":"","parse-names":false,"suffix":""},{"dropping-particle":"","family":"Zhang","given":"Daoxiang","non-dropping-particle":"","parse-names":false,"suffix":""},{"dropping-particle":"","family":"Lv","given":"Zhao","non-dropping-particle":"","parse-names":false,"suffix":""},{"dropping-particle":"","family":"Liu","given":"Zhaoqun","non-dropping-particle":"","parse-names":false,"suffix":""},{"dropping-particle":"","family":"Wang","given":"Weilin","non-dropping-particle":"","parse-names":false,"suffix":""},{"dropping-particle":"","family":"Zhou","given":"Zhi","non-dropping-particle":"","parse-names":false,"suffix":""},{"dropping-particle":"","family":"Qiu","given":"Limei","non-dropping-particle":"","parse-names":false,"suffix":""},{"dropping-particle":"","family":"Wang","given":"Hao","non-dropping-particle":"","parse-names":false,"suffix":""},{"dropping-particle":"","family":"Li","given":"Jun","non-dropping-particle":"","parse-names":false,"suffix":""},{"dropping-particle":"","family":"Song","given":"Linsheng","non-dropping-particle":"","parse-names":false,"suffix":""}],"container-title":"Developmental &amp; Comparative Immunology","id":"ITEM-1","issued":{"date-parts":[["2017","11"]]},"page":"209-219","publisher":"Elsevier Ltd","title":"The RNA-seq analysis suggests a potential multi-component complement system in oyster &lt;i&gt;Crassostrea gigas&lt;/i&gt;","type":"article-journal","volume":"76"},"uris":["http://www.mendeley.com/documents/?uuid=e09536c9-f6e1-40c9-aed9-ec01c4f03471"]},{"id":"ITEM-2","itemData":{"DOI":"10.1016/j.dci.2018.02.018","ISSN":"0145305X","PMID":"29501422","abstract":"The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Immunology","id":"ITEM-2","issued":{"date-parts":[["2018","7"]]},"page":"250-263","publisher":"Elsevier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evolution","type":"article-journal","volume":"84"},"uris":["http://www.mendeley.com/documents/?uuid=31479a86-e2f3-435c-8919-2aabf194aa6b"]}],"mendeley":{"formattedCitation":"(Wang &lt;i&gt;et al.&lt;/i&gt;, 2017; Gorbushin, 2018)","plainTextFormattedCitation":"(Wang et al., 2017; Gorbushin, 2018)","previouslyFormattedCitation":"(Wang &lt;i&gt;et al.&lt;/i&gt;, 2017; Gorbushin,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(Wang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 Gorbushin, 2018)</w:t>
            </w:r>
            <w:r w:rsidRPr="005A2E25">
              <w:rPr>
                <w:rFonts w:ascii="Arial" w:hAnsi="Arial" w:cs="Arial"/>
                <w:color w:val="000000" w:themeColor="text1"/>
                <w:sz w:val="18"/>
                <w:szCs w:val="18"/>
              </w:rPr>
              <w:fldChar w:fldCharType="end"/>
            </w:r>
          </w:p>
        </w:tc>
        <w:tc>
          <w:tcPr>
            <w:tcW w:w="573" w:type="pct"/>
            <w:vAlign w:val="center"/>
          </w:tcPr>
          <w:p w14:paraId="7FBEA23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Align w:val="center"/>
          </w:tcPr>
          <w:p w14:paraId="4F61796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b/>
                <w:bCs/>
                <w:color w:val="000000" w:themeColor="text1"/>
                <w:sz w:val="18"/>
                <w:szCs w:val="18"/>
              </w:rPr>
              <w:fldChar w:fldCharType="begin" w:fldLock="1"/>
            </w:r>
            <w:r w:rsidRPr="005A2E25">
              <w:rPr>
                <w:rFonts w:ascii="Arial" w:hAnsi="Arial" w:cs="Arial"/>
                <w:b/>
                <w:bCs/>
                <w:color w:val="000000" w:themeColor="text1"/>
                <w:sz w:val="18"/>
                <w:szCs w:val="18"/>
              </w:rPr>
              <w:instrText>ADDIN CSL_CITATION {"citationItems":[{"id":"ITEM-1","itemData":{"DOI":"10.1016/j.dci.2018.02.018","ISSN":"0145305X","PMID":"29501422","abstract":"The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Immunology","id":"ITEM-1","issued":{"date-parts":[["2018","7"]]},"page":"250-263","publisher":"Elsevier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evolution","type":"article-journal","volume":"84"},"uris":["http://www.mendeley.com/documents/?uuid=31479a86-e2f3-435c-8919-2aabf194aa6b"]}],"mendeley":{"formattedCitation":"(Gorbushin, 2018)","plainTextFormattedCitation":"(Gorbushin, 2018)","previouslyFormattedCitation":"(Gorbushin, 2018)"},"properties":{"noteIndex":0},"schema":"https://github.com/citation-style-language/schema/raw/master/csl-citation.json"}</w:instrText>
            </w:r>
            <w:r w:rsidRPr="005A2E25">
              <w:rPr>
                <w:rFonts w:ascii="Arial" w:hAnsi="Arial" w:cs="Arial"/>
                <w:b/>
                <w:bCs/>
                <w:color w:val="000000" w:themeColor="text1"/>
                <w:sz w:val="18"/>
                <w:szCs w:val="18"/>
              </w:rPr>
              <w:fldChar w:fldCharType="separate"/>
            </w:r>
            <w:r w:rsidRPr="005A2E25">
              <w:rPr>
                <w:rFonts w:ascii="Arial" w:hAnsi="Arial" w:cs="Arial"/>
                <w:bCs/>
                <w:noProof/>
                <w:color w:val="000000" w:themeColor="text1"/>
                <w:sz w:val="18"/>
                <w:szCs w:val="18"/>
              </w:rPr>
              <w:t>(Gorbushin, 2018)</w:t>
            </w:r>
            <w:r w:rsidRPr="005A2E25">
              <w:rPr>
                <w:rFonts w:ascii="Arial" w:hAnsi="Arial" w:cs="Arial"/>
                <w:b/>
                <w:bCs/>
                <w:color w:val="000000" w:themeColor="text1"/>
                <w:sz w:val="18"/>
                <w:szCs w:val="18"/>
              </w:rPr>
              <w:fldChar w:fldCharType="end"/>
            </w:r>
          </w:p>
        </w:tc>
        <w:tc>
          <w:tcPr>
            <w:tcW w:w="716" w:type="pct"/>
            <w:vAlign w:val="center"/>
          </w:tcPr>
          <w:p w14:paraId="697B86C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42EEBE76"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6CF28322" w14:textId="77777777" w:rsidTr="00605F18">
        <w:tc>
          <w:tcPr>
            <w:tcW w:w="539" w:type="pct"/>
          </w:tcPr>
          <w:p w14:paraId="0F2E472C"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C6</w:t>
            </w:r>
          </w:p>
        </w:tc>
        <w:tc>
          <w:tcPr>
            <w:tcW w:w="493" w:type="pct"/>
            <w:vMerge/>
            <w:vAlign w:val="center"/>
          </w:tcPr>
          <w:p w14:paraId="7D6D0DC4" w14:textId="77777777" w:rsidR="001D7AD3" w:rsidRPr="005A2E25" w:rsidRDefault="001D7AD3" w:rsidP="00605F18">
            <w:pPr>
              <w:jc w:val="center"/>
              <w:rPr>
                <w:rFonts w:ascii="Arial" w:hAnsi="Arial" w:cs="Arial"/>
                <w:color w:val="000000" w:themeColor="text1"/>
                <w:sz w:val="18"/>
                <w:szCs w:val="18"/>
              </w:rPr>
            </w:pPr>
          </w:p>
        </w:tc>
        <w:tc>
          <w:tcPr>
            <w:tcW w:w="572" w:type="pct"/>
            <w:vAlign w:val="center"/>
          </w:tcPr>
          <w:p w14:paraId="5BB60D8A"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rPr>
              <w:fldChar w:fldCharType="begin" w:fldLock="1"/>
            </w:r>
            <w:r w:rsidRPr="005A2E25">
              <w:rPr>
                <w:rFonts w:ascii="Arial" w:hAnsi="Arial" w:cs="Arial"/>
                <w:b/>
                <w:bCs/>
                <w:color w:val="000000" w:themeColor="text1"/>
                <w:sz w:val="18"/>
                <w:szCs w:val="18"/>
              </w:rPr>
              <w:instrText>ADDIN CSL_CITATION {"citationItems":[{"id":"ITEM-1","itemData":{"DOI":"10.1016/j.imbio.2009.01.003","ISSN":"01712985","PMID":"19195737","abstract":"The origin of the complement system, one of the major systems of mammalian innate immunity, is more ancient than that of the adaptive immune system, as shown by the identification of the gene for the complement component 3 (C3) in a basic metazoa, cnidarian coral. Only a few reports on the other complement genes of non-chordates have been published, and the composition of the ancient complement system has not been clarified. We performed comprehensive cloning of the complement genes with characteristic domain structures using a Cnidarian, the sea anemone, Nematostella vectensis. Partial sequences of the two C3, two factor B (Bf), and one mannan-binding protein-associated serine protease (MASP) genes were identified in the draft genome data, and the complete coding sequences of these genes were elucidated by RT-PCR and 5′- and 3′-RACE. In contrast, no C6 and factor I family genes were identified. These cnidarian components shared the unique domain structures and most of the functionally critical amino acid residues with their mammalian counterparts, suggesting the conservation of their basic biochemical functions throughout metazoan evolution. In situ hybridization analysis indicated that all five genes are expressed in the tentacles, pharynx, and mesentery in an endoderm-specific manner. These results suggest that the multi-component complement system comprising at least C3, Bf, and MASP was established in a common ancestor of Cnidaria and Bilateria more than 600 million years ago to protect the coelenteron, the primitive gut cavity with putative circulatory functions. © 2009 Elsevier GmbH. All rights reserved.","author":[{"dropping-particle":"","family":"Kimura","given":"Ayuko","non-dropping-particle":"","parse-names":false,"suffix":""},{"dropping-particle":"","family":"Sakaguchi","given":"Eri","non-dropping-particle":"","parse-names":false,"suffix":""},{"dropping-particle":"","family":"Nonaka","given":"Masaru","non-dropping-particle":"","parse-names":false,"suffix":""}],"container-title":"Immunobiology","id":"ITEM-1","issue":"3","issued":{"date-parts":[["2009","3"]]},"page":"165-178","title":"Multi-component complement system of Cnidaria: C3, Bf, and MASP genes expressed in the endodermal tissues of a sea anemone, &lt;i&gt;Nematostella vectensis&lt;/i&gt;","type":"article-journal","volume":"214"},"uris":["http://www.mendeley.com/documents/?uuid=60307cf6-f5e1-414d-a9d7-4fd6738ade85"]}],"mendeley":{"formattedCitation":"(Kimura &lt;i&gt;et al.&lt;/i&gt;, 2009)","plainTextFormattedCitation":"(Kimura et al., 2009)","previouslyFormattedCitation":"(Kimura &lt;i&gt;et al.&lt;/i&gt;, 2009)"},"properties":{"noteIndex":0},"schema":"https://github.com/citation-style-language/schema/raw/master/csl-citation.json"}</w:instrText>
            </w:r>
            <w:r w:rsidRPr="005A2E25">
              <w:rPr>
                <w:rFonts w:ascii="Arial" w:hAnsi="Arial" w:cs="Arial"/>
                <w:b/>
                <w:bCs/>
                <w:color w:val="000000" w:themeColor="text1"/>
                <w:sz w:val="18"/>
                <w:szCs w:val="18"/>
              </w:rPr>
              <w:fldChar w:fldCharType="separate"/>
            </w:r>
            <w:r w:rsidRPr="005A2E25">
              <w:rPr>
                <w:rFonts w:ascii="Arial" w:hAnsi="Arial" w:cs="Arial"/>
                <w:bCs/>
                <w:noProof/>
                <w:color w:val="000000" w:themeColor="text1"/>
                <w:sz w:val="18"/>
                <w:szCs w:val="18"/>
              </w:rPr>
              <w:t xml:space="preserve">(Kimura </w:t>
            </w:r>
            <w:r w:rsidRPr="005A2E25">
              <w:rPr>
                <w:rFonts w:ascii="Arial" w:hAnsi="Arial" w:cs="Arial"/>
                <w:bCs/>
                <w:i/>
                <w:noProof/>
                <w:color w:val="000000" w:themeColor="text1"/>
                <w:sz w:val="18"/>
                <w:szCs w:val="18"/>
              </w:rPr>
              <w:t>et al.</w:t>
            </w:r>
            <w:r w:rsidRPr="005A2E25">
              <w:rPr>
                <w:rFonts w:ascii="Arial" w:hAnsi="Arial" w:cs="Arial"/>
                <w:bCs/>
                <w:noProof/>
                <w:color w:val="000000" w:themeColor="text1"/>
                <w:sz w:val="18"/>
                <w:szCs w:val="18"/>
              </w:rPr>
              <w:t>, 2009)</w:t>
            </w:r>
            <w:r w:rsidRPr="005A2E25">
              <w:rPr>
                <w:rFonts w:ascii="Arial" w:hAnsi="Arial" w:cs="Arial"/>
                <w:b/>
                <w:bCs/>
                <w:color w:val="000000" w:themeColor="text1"/>
                <w:sz w:val="18"/>
                <w:szCs w:val="18"/>
              </w:rPr>
              <w:fldChar w:fldCharType="end"/>
            </w:r>
          </w:p>
        </w:tc>
        <w:tc>
          <w:tcPr>
            <w:tcW w:w="459" w:type="pct"/>
            <w:vAlign w:val="center"/>
          </w:tcPr>
          <w:p w14:paraId="7232525A"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7" w:type="pct"/>
            <w:vAlign w:val="center"/>
          </w:tcPr>
          <w:p w14:paraId="0F8E442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Immunology","id":"ITEM-1","issue":"1","issued":{"date-parts":[["2015","9"]]},"page":"17-38","publisher":"Elsevier Ltd","title":"An updated molecular basis for mussel immunity","type":"article-journal","volume":"46"},"uris":["http://www.mendeley.com/documents/?uuid=23bb3a0d-da3c-4a02-ab79-4fbec127ab5e"]}],"mendeley":{"formattedCitation":"(Gerdol and Venier, 2015)","plainTextFormattedCitation":"(Gerdol and Venier, 2015)","previouslyFormattedCitation":"(Gerdol and Venier, 2015)"},"properties":{"noteIndex":0},"schema":"https://github.com/citation-style-language/schema/raw/master/csl-citation.json"}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(Gerdol and Venier, 2015)</w:t>
            </w:r>
            <w:r w:rsidRPr="005A2E25">
              <w:rPr>
                <w:rFonts w:ascii="Arial" w:hAnsi="Arial" w:cs="Arial"/>
                <w:color w:val="000000" w:themeColor="text1"/>
                <w:sz w:val="18"/>
                <w:szCs w:val="18"/>
              </w:rPr>
              <w:fldChar w:fldCharType="end"/>
            </w:r>
          </w:p>
        </w:tc>
        <w:tc>
          <w:tcPr>
            <w:tcW w:w="573" w:type="pct"/>
            <w:vAlign w:val="center"/>
          </w:tcPr>
          <w:p w14:paraId="5FD85C2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Align w:val="center"/>
          </w:tcPr>
          <w:p w14:paraId="0A547740"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2017.12.021","ISSN":"0145305X","author":[{"dropping-particle":"","family":"Gerdol","given":"Marco","non-dropping-particle":"","parse-names":false,"suffix":""},{"dropping-particle":"","family":"Luo","given":"Yi-Jyun","non-dropping-particle":"","parse-names":false,"suffix":""},{"dropping-particle":"","family":"Satoh","given":"Noriyuki","non-dropping-particle":"","parse-names":false,"suffix":""},{"dropping-particle":"","family":"Pallavicini","given":"Alberto","non-dropping-particle":"","parse-names":false,"suffix":""}],"container-title":"Developmental &amp; Comparative Immunology","id":"ITEM-1","issued":{"date-parts":[["2018","5"]]},"page":"7-30","title":"Genetic and molecular basis of the immune system in the brachiopod &lt;i&gt;Lingula anatina&lt;/i&gt;","type":"article-journal","volume":"82"},"uris":["http://www.mendeley.com/documents/?uuid=45ef2341-e661-4554-8f24-5dc865368999"]}],"mendeley":{"formattedCitation":"(Gerdol &lt;i&gt;et al.&lt;/i&gt;, 2018)","plainTextFormattedCitation":"(Gerdol et al., 2018)","previouslyFormattedCitation":"(Gerdol &lt;i&gt;et al.&lt;/i&gt;, 2018)"},"properties":{"noteIndex":0},"schema":"https://github.com/citation-style-language/schema/raw/master/csl-citation.json"}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2018)</w:t>
            </w:r>
            <w:r w:rsidRPr="005A2E25">
              <w:rPr>
                <w:rFonts w:ascii="Arial" w:hAnsi="Arial" w:cs="Arial"/>
                <w:color w:val="000000" w:themeColor="text1"/>
                <w:sz w:val="18"/>
                <w:szCs w:val="18"/>
              </w:rPr>
              <w:fldChar w:fldCharType="end"/>
            </w:r>
          </w:p>
        </w:tc>
        <w:tc>
          <w:tcPr>
            <w:tcW w:w="716" w:type="pct"/>
            <w:vAlign w:val="center"/>
          </w:tcPr>
          <w:p w14:paraId="656F8A5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031C3A3A"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43277014" w14:textId="77777777" w:rsidTr="00605F18">
        <w:tc>
          <w:tcPr>
            <w:tcW w:w="539" w:type="pct"/>
          </w:tcPr>
          <w:p w14:paraId="2E9D94CF"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C1r/s</w:t>
            </w:r>
          </w:p>
        </w:tc>
        <w:tc>
          <w:tcPr>
            <w:tcW w:w="493" w:type="pct"/>
            <w:vMerge/>
            <w:vAlign w:val="center"/>
          </w:tcPr>
          <w:p w14:paraId="6E629181" w14:textId="77777777" w:rsidR="001D7AD3" w:rsidRPr="005A2E25" w:rsidRDefault="001D7AD3" w:rsidP="00605F18">
            <w:pPr>
              <w:jc w:val="center"/>
              <w:rPr>
                <w:rFonts w:ascii="Arial" w:hAnsi="Arial" w:cs="Arial"/>
                <w:color w:val="000000" w:themeColor="text1"/>
                <w:sz w:val="18"/>
                <w:szCs w:val="18"/>
              </w:rPr>
            </w:pPr>
          </w:p>
        </w:tc>
        <w:tc>
          <w:tcPr>
            <w:tcW w:w="1618" w:type="pct"/>
            <w:gridSpan w:val="3"/>
            <w:vAlign w:val="center"/>
          </w:tcPr>
          <w:p w14:paraId="5674E691"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rPr>
              <w:fldChar w:fldCharType="begin" w:fldLock="1"/>
            </w:r>
            <w:r w:rsidRPr="005A2E25">
              <w:rPr>
                <w:rFonts w:ascii="Arial" w:hAnsi="Arial" w:cs="Arial"/>
                <w:b/>
                <w:bCs/>
                <w:color w:val="000000" w:themeColor="text1"/>
                <w:sz w:val="18"/>
                <w:szCs w:val="18"/>
              </w:rPr>
              <w:instrText>ADDIN CSL_CITATION {"citationItems":[{"id":"ITEM-1","itemData":{"DOI":"10.1007/s00251-006-0142-1","ISBN":"0025100601421","ISSN":"0093-7711","PMID":"16896831","abstract":"The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-1","issue":"9","issued":{"date-parts":[["2006","9","9"]]},"page":"701-713","title":"Genomic view of the evolution of the complement system","type":"article-journal","volume":"58"},"uris":["http://www.mendeley.com/documents/?uuid=90617cb2-5e83-4116-97fc-3201982e71ad"]}],"mendeley":{"formattedCitation":"(Nonaka and Kimura, 2006)","plainTextFormattedCitation":"(Nonaka and Kimura, 2006)","previouslyFormattedCitation":"(Nonaka and Kimura, 2006)"},"properties":{"noteIndex":0},"schema":"https://github.com/citation-style-language/schema/raw/master/csl-citation.json"}</w:instrText>
            </w:r>
            <w:r w:rsidRPr="005A2E25">
              <w:rPr>
                <w:rFonts w:ascii="Arial" w:hAnsi="Arial" w:cs="Arial"/>
                <w:b/>
                <w:bCs/>
                <w:color w:val="000000" w:themeColor="text1"/>
                <w:sz w:val="18"/>
                <w:szCs w:val="18"/>
              </w:rPr>
              <w:fldChar w:fldCharType="separate"/>
            </w:r>
            <w:r w:rsidRPr="005A2E25">
              <w:rPr>
                <w:rFonts w:ascii="Arial" w:hAnsi="Arial" w:cs="Arial"/>
                <w:bCs/>
                <w:noProof/>
                <w:color w:val="000000" w:themeColor="text1"/>
                <w:sz w:val="18"/>
                <w:szCs w:val="18"/>
              </w:rPr>
              <w:t>(Nonaka and Kimura, 2006)</w:t>
            </w:r>
            <w:r w:rsidRPr="005A2E25">
              <w:rPr>
                <w:rFonts w:ascii="Arial" w:hAnsi="Arial" w:cs="Arial"/>
                <w:b/>
                <w:bCs/>
                <w:color w:val="000000" w:themeColor="text1"/>
                <w:sz w:val="18"/>
                <w:szCs w:val="18"/>
              </w:rPr>
              <w:fldChar w:fldCharType="end"/>
            </w:r>
          </w:p>
        </w:tc>
        <w:tc>
          <w:tcPr>
            <w:tcW w:w="573" w:type="pct"/>
            <w:vAlign w:val="center"/>
          </w:tcPr>
          <w:p w14:paraId="5DBE274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Merge w:val="restart"/>
            <w:vAlign w:val="center"/>
          </w:tcPr>
          <w:p w14:paraId="62F6EB5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b/>
                <w:bCs/>
                <w:color w:val="000000" w:themeColor="text1"/>
                <w:sz w:val="18"/>
                <w:szCs w:val="18"/>
              </w:rPr>
              <w:fldChar w:fldCharType="begin" w:fldLock="1"/>
            </w:r>
            <w:r w:rsidRPr="005A2E25">
              <w:rPr>
                <w:rFonts w:ascii="Arial" w:hAnsi="Arial" w:cs="Arial"/>
                <w:b/>
                <w:bCs/>
                <w:color w:val="000000" w:themeColor="text1"/>
                <w:sz w:val="18"/>
                <w:szCs w:val="18"/>
              </w:rPr>
              <w:instrText>ADDIN CSL_CITATION {"citationItems":[{"id":"ITEM-1","itemData":{"DOI":"10.1007/s00251-006-0142-1","ISBN":"0025100601421","ISSN":"0093-7711","PMID":"16896831","abstract":"The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-1","issue":"9","issued":{"date-parts":[["2006","9","9"]]},"page":"701-713","title":"Genomic view of the evolution of the complement system","type":"article-journal","volume":"58"},"uris":["http://www.mendeley.com/documents/?uuid=90617cb2-5e83-4116-97fc-3201982e71ad"]}],"mendeley":{"formattedCitation":"(Nonaka and Kimura, 2006)","plainTextFormattedCitation":"(Nonaka and Kimura, 2006)","previouslyFormattedCitation":"(Nonaka and Kimura, 2006)"},"properties":{"noteIndex":0},"schema":"https://github.com/citation-style-language/schema/raw/master/csl-citation.json"}</w:instrText>
            </w:r>
            <w:r w:rsidRPr="005A2E25">
              <w:rPr>
                <w:rFonts w:ascii="Arial" w:hAnsi="Arial" w:cs="Arial"/>
                <w:b/>
                <w:bCs/>
                <w:color w:val="000000" w:themeColor="text1"/>
                <w:sz w:val="18"/>
                <w:szCs w:val="18"/>
              </w:rPr>
              <w:fldChar w:fldCharType="separate"/>
            </w:r>
            <w:r w:rsidRPr="005A2E25">
              <w:rPr>
                <w:rFonts w:ascii="Arial" w:hAnsi="Arial" w:cs="Arial"/>
                <w:bCs/>
                <w:noProof/>
                <w:color w:val="000000" w:themeColor="text1"/>
                <w:sz w:val="18"/>
                <w:szCs w:val="18"/>
              </w:rPr>
              <w:t>(Nonaka and Kimura, 2006)</w:t>
            </w:r>
            <w:r w:rsidRPr="005A2E25">
              <w:rPr>
                <w:rFonts w:ascii="Arial" w:hAnsi="Arial" w:cs="Arial"/>
                <w:b/>
                <w:bCs/>
                <w:color w:val="000000" w:themeColor="text1"/>
                <w:sz w:val="18"/>
                <w:szCs w:val="18"/>
              </w:rPr>
              <w:fldChar w:fldCharType="end"/>
            </w:r>
          </w:p>
        </w:tc>
        <w:tc>
          <w:tcPr>
            <w:tcW w:w="716" w:type="pct"/>
            <w:vAlign w:val="center"/>
          </w:tcPr>
          <w:p w14:paraId="35AF9385"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2BBB1528"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5C92230A" w14:textId="77777777" w:rsidTr="00605F18">
        <w:tc>
          <w:tcPr>
            <w:tcW w:w="539" w:type="pct"/>
          </w:tcPr>
          <w:p w14:paraId="5B039338"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MASP</w:t>
            </w:r>
          </w:p>
        </w:tc>
        <w:tc>
          <w:tcPr>
            <w:tcW w:w="493" w:type="pct"/>
            <w:vMerge/>
            <w:vAlign w:val="center"/>
          </w:tcPr>
          <w:p w14:paraId="3333B106" w14:textId="77777777" w:rsidR="001D7AD3" w:rsidRPr="005A2E25" w:rsidRDefault="001D7AD3" w:rsidP="00605F18">
            <w:pPr>
              <w:jc w:val="center"/>
              <w:rPr>
                <w:rFonts w:ascii="Arial" w:hAnsi="Arial" w:cs="Arial"/>
                <w:color w:val="000000" w:themeColor="text1"/>
                <w:sz w:val="18"/>
                <w:szCs w:val="18"/>
              </w:rPr>
            </w:pPr>
          </w:p>
        </w:tc>
        <w:tc>
          <w:tcPr>
            <w:tcW w:w="572" w:type="pct"/>
            <w:vAlign w:val="center"/>
          </w:tcPr>
          <w:p w14:paraId="611AF950"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{"citationItems":[{"id":"ITEM-1","itemData":{"DOI":"10.1016/j.imbio.2009.01.003","ISSN":"01712985","PMID":"19195737","abstract":"The origin of the complement system, one of the major systems of mammalian innate immunity, is more ancient than that of the adaptive immune system, as shown by the identification of the gene for the complement component 3 (C3) in a basic metazoa, cnidarian coral. Only a few reports on the other complement genes of non-chordates have been published, and the composition of the ancient complement system has not been clarified. We performed comprehensive cloning of the complement genes with characteristic domain structures using a Cnidarian, the sea anemone, Nematostella vectensis. Partial sequences of the two C3, two factor B (Bf), and one mannan-binding protein-associated serine protease (MASP) genes were identified in the draft genome data, and the complete coding sequences of these genes were elucidated by RT-PCR and 5′- and 3′-RACE. In contrast, no C6 and factor I family genes were identified. These cnidarian components shared the unique domain structures and most of the functionally critical amino acid residues with their mammalian counterparts, suggesting the conservation of their basic biochemical functions throughout metazoan evolution. In situ hybridization analysis indicated that all five genes are expressed in the tentacles, pharynx, and mesentery in an endoderm-specific manner. These results suggest that the multi-component complement system comprising at least C3, Bf, and MASP was established in a common ancestor of Cnidaria and Bilateria more than 600 million years ago to protect the coelenteron, the primitive gut cavity with putative circulatory functions. © 2009 Elsevier GmbH. All rights reserved.","author":[{"dropping-particle":"","family":"Kimura","given":"Ayuko","non-dropping-particle":"","parse-names":false,"suffix":""},{"dropping-particle":"","family":"Sakaguchi","given":"Eri","non-dropping-particle":"","parse-names":false,"suffix":""},{"dropping-particle":"","family":"Nonaka","given":"Masaru","non-dropping-particle":"","parse-names":false,"suffix":""}],"container-title":"Immunobiology","id":"ITEM-1","issue":"3","issued":{"date-parts":[["2009","3"]]},"page":"165-178","title":"Multi-component complement system of Cnidaria: C3, Bf, and MASP genes expressed in the endodermal tissues of a sea anemone, &lt;i&gt;Nematostella vectensis&lt;/i&gt;","type":"article-journal","volume":"214"},"uris":["http://www.mendeley.com/documents/?uuid=60307cf6-f5e1-414d-a9d7-4fd6738ade85"]},{"id":"ITEM-2","itemData":{"DOI":"10.3389/fmicb.2016.00519","ISSN":"1664-302X","abstract":"The complement system is an innate immune pathway that in vertebrates, is responsible for initial recognition and ultimately phagocytosis and destruction of microbes. Several complement molecules including C3, Factor B, and mannose binding lectin associated serine proteases (MASP) have been characterized in invertebrates and while most studies have focused on their conserved role in defense against pathogens, little is known about their role in managing beneficial microbes. The purpose of this study was to (1) characterize complement pathway genes in the symbiotic sea anemone Aiptasia pallida, (2) investigate the evolution of complement genes in invertebrates, and (3) examine the potential dual role of complement genes Factor B and MASP in the onset and maintenance of cnidarian-dinoflagellate symbiosis and immune challenge using qPCR based studies. The results demonstrate that A. pallida has multiple Factor B genes (Ap_Bf-1, Ap_Bf-2a, and Ap_Bf-2b) and one MASP gene (Ap_MASP). Phylogenetic analysis indicates that the evolutionary history of complement genes is complex, and there have been many gene duplications or gene loss events, even within members of the same phylum. Gene expression analyses revealed a potential role for complement in both onset and maintenance of cnidarian-dinoflagellate symbiosis and immune challenge. Specifically, Ap_Bf-1 and Ap_MASP are significantly upregulated in the light at the onset of symbiosis and in response to challenge with the pathogen Serratia marcescens suggesting that they play a role in the initial recognition of both beneficial and harmful microbes. Ap_Bf-2b in contrast, was generally downregulated during the onset and maintenance of symbiosis and in response to challenge with S. marcescens. Therefore, the exact role of Ap_Bf-2b in response to microbes remains unclear, but the results suggest that the presence of microbes leads to repressed expression. Together, these results indicate functional divergence between Ap_Bf-1 and Ap_Bf-2b, and that Ap_Bf-1 and Ap_MASP may be functioning together in an ancestral hybrid of the lectin and alternative complement pathways. Overall, this study provides information on the role of the complement system in a basal metazoan and its role in host-microbe interactions.","author":[{"dropping-particle":"","family":"Poole","given":"Angela Z.","non-dropping-particle":"","parse-names":false,"suffix":""},{"dropping-particle":"","family":"Kitchen","given":"Sheila A.","non-dropping-particle":"","parse-names":false,"suffix":""},{"dropping-particle":"","family":"Weis","given":"Virginia M.","non-dropping-particle":"","parse-names":false,"suffix":""}],"container-title":"Frontiers in Microbiology","id":"ITEM-2","issued":{"date-parts":[["2016","4","22"]]},"page":"1-18","title":"The role of complement in cnidarian-dinoflagellate symbiosis and immune challenge in the sea anemone &lt;i&gt;Aiptasia pallida&lt;/i&gt;","type":"article-journal","volume":"7"},"uris":["http://www.mendeley.com/documents/?uuid=9e46a589-ddfd-4b27-8df8-635ab45df24a"]},{"id":"ITEM-3","itemData":{"DOI":"10.1016/j.dci.2019.01.010","ISSN":"0145305X","PMID":"30682446","abstract":"A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Immunology","id":"ITEM-3","issue":"November 2018","issued":{"date-parts":[["2019","5"]]},"page":"35-58","publisher":"Elsevier","title":"Derivatives of the lectin complement pathway in Lophotrochozoa","type":"article-journal","volume":"94"},"uris":["http://www.mendeley.com/documents/?uuid=baab566b-2a64-4abc-b421-f982786ea49c"]}],"mendeley":{"formattedCitation":"(Kimura &lt;i&gt;et al.&lt;/i&gt;, 2009; Poole &lt;i&gt;et al.&lt;/i&gt;, 2016; Gorbushin, 2019)","plainTextFormattedCitation":"(Kimura et al., 2009; Poole et al., 2016; Gorbushin, 2019)","previouslyFormattedCitation":"(Kimura &lt;i&gt;et al.&lt;/i&gt;, 2009; Poole &lt;i&gt;et al.&lt;/i&gt;, 2016; Gorbushin, 2019)"},"properties":{"noteIndex":0},"schema":"https://github.com/citation-style-language/schema/raw/master/csl-citation.json"}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(Kimura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xml:space="preserve">, 2009; Poole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2016; Gorbushin, 2019)</w:t>
            </w:r>
            <w:r w:rsidRPr="005A2E25">
              <w:rPr>
                <w:rFonts w:ascii="Arial" w:hAnsi="Arial" w:cs="Arial"/>
                <w:color w:val="000000" w:themeColor="text1"/>
                <w:sz w:val="18"/>
                <w:szCs w:val="18"/>
              </w:rPr>
              <w:fldChar w:fldCharType="end"/>
            </w:r>
          </w:p>
        </w:tc>
        <w:tc>
          <w:tcPr>
            <w:tcW w:w="459" w:type="pct"/>
            <w:vAlign w:val="center"/>
          </w:tcPr>
          <w:p w14:paraId="62DB4C80"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rPr>
              <w:fldChar w:fldCharType="begin" w:fldLock="1"/>
            </w:r>
            <w:r w:rsidRPr="005A2E25">
              <w:rPr>
                <w:rFonts w:ascii="Arial" w:hAnsi="Arial" w:cs="Arial"/>
                <w:b/>
                <w:bCs/>
                <w:color w:val="000000" w:themeColor="text1"/>
                <w:sz w:val="18"/>
                <w:szCs w:val="18"/>
              </w:rPr>
              <w:instrText>ADDIN CSL_CITATION {"citationItems":[{"id":"ITEM-1","itemData":{"DOI":"10.1007/s00251-006-0142-1","ISBN":"0025100601421","ISSN":"0093-7711","PMID":"16896831","abstract":"The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-1","issue":"9","issued":{"date-parts":[["2006","9","9"]]},"page":"701-713","title":"Genomic view of the evolution of the complement system","type":"article-journal","volume":"58"},"uris":["http://www.mendeley.com/documents/?uuid=90617cb2-5e83-4116-97fc-3201982e71ad"]}],"mendeley":{"formattedCitation":"(Nonaka and Kimura, 2006)","plainTextFormattedCitation":"(Nonaka and Kimura, 2006)","previouslyFormattedCitation":"(Nonaka and Kimura, 2006)"},"properties":{"noteIndex":0},"schema":"https://github.com/citation-style-language/schema/raw/master/csl-citation.json"}</w:instrText>
            </w:r>
            <w:r w:rsidRPr="005A2E25">
              <w:rPr>
                <w:rFonts w:ascii="Arial" w:hAnsi="Arial" w:cs="Arial"/>
                <w:b/>
                <w:bCs/>
                <w:color w:val="000000" w:themeColor="text1"/>
                <w:sz w:val="18"/>
                <w:szCs w:val="18"/>
              </w:rPr>
              <w:fldChar w:fldCharType="separate"/>
            </w:r>
            <w:r w:rsidRPr="005A2E25">
              <w:rPr>
                <w:rFonts w:ascii="Arial" w:hAnsi="Arial" w:cs="Arial"/>
                <w:bCs/>
                <w:noProof/>
                <w:color w:val="000000" w:themeColor="text1"/>
                <w:sz w:val="18"/>
                <w:szCs w:val="18"/>
              </w:rPr>
              <w:t>(Nonaka and Kimura, 2006)</w:t>
            </w:r>
            <w:r w:rsidRPr="005A2E25">
              <w:rPr>
                <w:rFonts w:ascii="Arial" w:hAnsi="Arial" w:cs="Arial"/>
                <w:b/>
                <w:bCs/>
                <w:color w:val="000000" w:themeColor="text1"/>
                <w:sz w:val="18"/>
                <w:szCs w:val="18"/>
              </w:rPr>
              <w:fldChar w:fldCharType="end"/>
            </w:r>
          </w:p>
        </w:tc>
        <w:tc>
          <w:tcPr>
            <w:tcW w:w="587" w:type="pct"/>
            <w:vAlign w:val="center"/>
          </w:tcPr>
          <w:p w14:paraId="1212AD8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{"citationItems":[{"id":"ITEM-1","itemData":{"DOI":"10.1016/j.dci.2017.06.009","ISSN":"0145305X","PMID":"28645512","abstract":"The complement system is one of the major effector mechanisms of immune system, playing essential roles in both the innate and adaptive immune responses. In the present study, the counterparts of vertebrate complement components were identified by screening the sequenced genome of Crassostrea gigas, resulting in the identification of 792 gene models containing complement-related domains. The transcriptome of haemocytes at 6, 12 and 24 h post lipopolysaccharides (LPS) stimulation showed differential expression of 77 C1q domain containing proteins, 53 C-type lectins and 42 fibrinogen-related proteins. mRNAs encoding 18 serine protease domain-containing (SPC) proteins, 4 MACPF-domain containing proteins and 11 C3 receptor-like proteins were up-regulated upon LPS stimulation, and CgC3 mRNA was significantly increased at 12 h. The presence of CgC3 was confirmed in cell free plasma and was present in three subunit chains as expected for the processed mature protein. The complement related PRRs with coiled coil regions and SPC proteins with CUB domains may function in the activation of CgC3, whereas, the C3-like receptors with integrin-α/β domain mediated the phagocytosis of C3-labled pathogens. These PRRs appear to serve as opsonins to promote phagocytosis of opsonized pathogens. The overall results suggested the existence of a potential multi-component complement system in C. gigas.","author":[{"dropping-particle":"","family":"Wang","given":"Lingling","non-dropping-particle":"","parse-names":false,"suffix":""},{"dropping-particle":"","family":"Zhang","given":"Huan","non-dropping-particle":"","parse-names":false,"suffix":""},{"dropping-particle":"","family":"Wang","given":"Leilei","non-dropping-particle":"","parse-names":false,"suffix":""},{"dropping-particle":"","family":"Zhang","given":"Daoxiang","non-dropping-particle":"","parse-names":false,"suffix":""},{"dropping-particle":"","family":"Lv","given":"Zhao","non-dropping-particle":"","parse-names":false,"suffix":""},{"dropping-particle":"","family":"Liu","given":"Zhaoqun","non-dropping-particle":"","parse-names":false,"suffix":""},{"dropping-particle":"","family":"Wang","given":"Weilin","non-dropping-particle":"","parse-names":false,"suffix":""},{"dropping-particle":"","family":"Zhou","given":"Zhi","non-dropping-particle":"","parse-names":false,"suffix":""},{"dropping-particle":"","family":"Qiu","given":"Limei","non-dropping-particle":"","parse-names":false,"suffix":""},{"dropping-particle":"","family":"Wang","given":"Hao","non-dropping-particle":"","parse-names":false,"suffix":""},{"dropping-particle":"","family":"Li","given":"Jun","non-dropping-particle":"","parse-names":false,"suffix":""},{"dropping-particle":"","family":"Song","given":"Linsheng","non-dropping-particle":"","parse-names":false,"suffix":""}],"container-title":"Developmental &amp; Comparative Immunology","id":"ITEM-1","issued":{"date-parts":[["2017","11"]]},"page":"209-219","publisher":"Elsevier Ltd","title":"The RNA-seq analysis suggests a potential multi-component complement system in oyster &lt;i&gt;Crassostrea gigas&lt;/i&gt;","type":"article-journal","volume":"76"},"uris":["http://www.mendeley.com/documents/?uuid=e09536c9-f6e1-40c9-aed9-ec01c4f03471"]},{"id":"ITEM-2","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-2","issue":"9","issued":{"date-parts":[["2006","9","9"]]},"page":"701-713","title":"Genomic view of the evolution of the complement system","type":"article-journal","volume":"58"},"uris":["http://www.mendeley.com/documents/?uuid=90617cb2-5e83-4116-97fc-3201982e71ad"]}],"mendeley":{"formattedCitation":"(Nonaka and Kimura, 2006; Wang &lt;i&gt;et al.&lt;/i&gt;, 2017)","plainTextFormattedCitation":"(Nonaka and Kimura, 2006; Wang et al., 2017)","previouslyFormattedCitation":"(Nonaka and Kimura, 2006; Wang &lt;i&gt;et al.&lt;/i&gt;, 2017)"},"properties":{"noteIndex":0},"schema":"https://github.com/citation-style-language/schema/raw/master/csl-citation.json"}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(Nonaka and Kimura, 2006; Wang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w:t>
            </w:r>
            <w:r w:rsidRPr="005A2E25">
              <w:rPr>
                <w:rFonts w:ascii="Arial" w:hAnsi="Arial" w:cs="Arial"/>
                <w:color w:val="000000" w:themeColor="text1"/>
                <w:sz w:val="18"/>
                <w:szCs w:val="18"/>
              </w:rPr>
              <w:fldChar w:fldCharType="end"/>
            </w:r>
          </w:p>
        </w:tc>
        <w:tc>
          <w:tcPr>
            <w:tcW w:w="573" w:type="pct"/>
            <w:vAlign w:val="center"/>
          </w:tcPr>
          <w:p w14:paraId="7198FF5E"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Merge/>
            <w:vAlign w:val="center"/>
          </w:tcPr>
          <w:p w14:paraId="1589B0BD" w14:textId="77777777" w:rsidR="001D7AD3" w:rsidRPr="005A2E25" w:rsidRDefault="001D7AD3" w:rsidP="00605F18">
            <w:pPr>
              <w:jc w:val="center"/>
              <w:rPr>
                <w:rFonts w:ascii="Arial" w:hAnsi="Arial" w:cs="Arial"/>
                <w:color w:val="000000" w:themeColor="text1"/>
                <w:sz w:val="18"/>
                <w:szCs w:val="18"/>
              </w:rPr>
            </w:pPr>
          </w:p>
        </w:tc>
        <w:tc>
          <w:tcPr>
            <w:tcW w:w="716" w:type="pct"/>
            <w:vAlign w:val="center"/>
          </w:tcPr>
          <w:p w14:paraId="5E4DF23D"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6F52F51C"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38C29579" w14:textId="77777777" w:rsidTr="00605F18">
        <w:tc>
          <w:tcPr>
            <w:tcW w:w="539" w:type="pct"/>
          </w:tcPr>
          <w:p w14:paraId="6D5717D0"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MreM</w:t>
            </w:r>
          </w:p>
        </w:tc>
        <w:tc>
          <w:tcPr>
            <w:tcW w:w="493" w:type="pct"/>
            <w:vMerge/>
            <w:vAlign w:val="center"/>
          </w:tcPr>
          <w:p w14:paraId="413976F5" w14:textId="77777777" w:rsidR="001D7AD3" w:rsidRPr="005A2E25" w:rsidRDefault="001D7AD3" w:rsidP="00605F18">
            <w:pPr>
              <w:jc w:val="center"/>
              <w:rPr>
                <w:rFonts w:ascii="Arial" w:hAnsi="Arial" w:cs="Arial"/>
                <w:color w:val="000000" w:themeColor="text1"/>
                <w:sz w:val="18"/>
                <w:szCs w:val="18"/>
              </w:rPr>
            </w:pPr>
          </w:p>
        </w:tc>
        <w:tc>
          <w:tcPr>
            <w:tcW w:w="572" w:type="pct"/>
            <w:vAlign w:val="center"/>
          </w:tcPr>
          <w:p w14:paraId="54955A29"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59" w:type="pct"/>
            <w:vAlign w:val="center"/>
          </w:tcPr>
          <w:p w14:paraId="00B0C9D7" w14:textId="77777777" w:rsidR="001D7AD3" w:rsidRPr="005A2E25" w:rsidRDefault="001D7AD3" w:rsidP="00605F18">
            <w:pPr>
              <w:jc w:val="center"/>
              <w:rPr>
                <w:rFonts w:ascii="Arial" w:hAnsi="Arial" w:cs="Arial"/>
                <w:b/>
                <w:bCs/>
                <w:color w:val="000000" w:themeColor="text1"/>
                <w:sz w:val="18"/>
                <w:szCs w:val="18"/>
                <w:lang w:val="en-US"/>
              </w:rPr>
            </w:pPr>
            <w:r w:rsidRPr="005A2E25">
              <w:rPr>
                <w:rFonts w:ascii="Arial" w:hAnsi="Arial" w:cs="Arial"/>
                <w:b/>
                <w:bCs/>
                <w:color w:val="000000" w:themeColor="text1"/>
                <w:sz w:val="18"/>
                <w:szCs w:val="18"/>
                <w:lang w:val="en-US"/>
              </w:rPr>
              <w:fldChar w:fldCharType="begin" w:fldLock="1"/>
            </w:r>
            <w:r w:rsidRPr="005A2E25">
              <w:rPr>
                <w:rFonts w:ascii="Arial" w:hAnsi="Arial" w:cs="Arial"/>
                <w:b/>
                <w:bCs/>
                <w:color w:val="000000" w:themeColor="text1"/>
                <w:sz w:val="18"/>
                <w:szCs w:val="18"/>
                <w:lang w:val="en-US"/>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lang w:val="en-US"/>
              </w:rPr>
              <w:fldChar w:fldCharType="separate"/>
            </w:r>
            <w:r w:rsidRPr="005A2E25">
              <w:rPr>
                <w:rFonts w:ascii="Arial" w:hAnsi="Arial" w:cs="Arial"/>
                <w:bCs/>
                <w:noProof/>
                <w:color w:val="000000" w:themeColor="text1"/>
                <w:sz w:val="18"/>
                <w:szCs w:val="18"/>
                <w:lang w:val="en-US"/>
              </w:rPr>
              <w:t>(Gorbushin, 2019)</w:t>
            </w:r>
            <w:r w:rsidRPr="005A2E25">
              <w:rPr>
                <w:rFonts w:ascii="Arial" w:hAnsi="Arial" w:cs="Arial"/>
                <w:b/>
                <w:bCs/>
                <w:color w:val="000000" w:themeColor="text1"/>
                <w:sz w:val="18"/>
                <w:szCs w:val="18"/>
                <w:lang w:val="en-US"/>
              </w:rPr>
              <w:fldChar w:fldCharType="end"/>
            </w:r>
          </w:p>
        </w:tc>
        <w:tc>
          <w:tcPr>
            <w:tcW w:w="587" w:type="pct"/>
            <w:vAlign w:val="center"/>
          </w:tcPr>
          <w:p w14:paraId="193BE2A6"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rPr>
              <w:fldChar w:fldCharType="begin" w:fldLock="1"/>
            </w:r>
            <w:r w:rsidRPr="005A2E25">
              <w:rPr>
                <w:rFonts w:ascii="Arial" w:hAnsi="Arial" w:cs="Arial"/>
                <w:b/>
                <w:bCs/>
                <w:color w:val="000000" w:themeColor="text1"/>
                <w:sz w:val="18"/>
                <w:szCs w:val="18"/>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rPr>
              <w:fldChar w:fldCharType="separate"/>
            </w:r>
            <w:r w:rsidRPr="005A2E25">
              <w:rPr>
                <w:rFonts w:ascii="Arial" w:hAnsi="Arial" w:cs="Arial"/>
                <w:bCs/>
                <w:noProof/>
                <w:color w:val="000000" w:themeColor="text1"/>
                <w:sz w:val="18"/>
                <w:szCs w:val="18"/>
              </w:rPr>
              <w:t>(Gorbushin, 2019)</w:t>
            </w:r>
            <w:r w:rsidRPr="005A2E25">
              <w:rPr>
                <w:rFonts w:ascii="Arial" w:hAnsi="Arial" w:cs="Arial"/>
                <w:b/>
                <w:bCs/>
                <w:color w:val="000000" w:themeColor="text1"/>
                <w:sz w:val="18"/>
                <w:szCs w:val="18"/>
              </w:rPr>
              <w:fldChar w:fldCharType="end"/>
            </w:r>
          </w:p>
        </w:tc>
        <w:tc>
          <w:tcPr>
            <w:tcW w:w="573" w:type="pct"/>
            <w:vAlign w:val="center"/>
          </w:tcPr>
          <w:p w14:paraId="2972ADDC"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Align w:val="center"/>
          </w:tcPr>
          <w:p w14:paraId="2F848EB4"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b/>
                <w:bCs/>
                <w:color w:val="000000" w:themeColor="text1"/>
                <w:sz w:val="18"/>
                <w:szCs w:val="18"/>
                <w:lang w:val="en-US"/>
              </w:rPr>
              <w:fldChar w:fldCharType="begin" w:fldLock="1"/>
            </w:r>
            <w:r w:rsidRPr="005A2E25">
              <w:rPr>
                <w:rFonts w:ascii="Arial" w:hAnsi="Arial" w:cs="Arial"/>
                <w:b/>
                <w:bCs/>
                <w:color w:val="000000" w:themeColor="text1"/>
                <w:sz w:val="18"/>
                <w:szCs w:val="18"/>
                <w:lang w:val="en-US"/>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lang w:val="en-US"/>
              </w:rPr>
              <w:fldChar w:fldCharType="separate"/>
            </w:r>
            <w:r w:rsidRPr="005A2E25">
              <w:rPr>
                <w:rFonts w:ascii="Arial" w:hAnsi="Arial" w:cs="Arial"/>
                <w:bCs/>
                <w:noProof/>
                <w:color w:val="000000" w:themeColor="text1"/>
                <w:sz w:val="18"/>
                <w:szCs w:val="18"/>
                <w:lang w:val="en-US"/>
              </w:rPr>
              <w:t>(Gorbushin, 2019)</w:t>
            </w:r>
            <w:r w:rsidRPr="005A2E25">
              <w:rPr>
                <w:rFonts w:ascii="Arial" w:hAnsi="Arial" w:cs="Arial"/>
                <w:b/>
                <w:bCs/>
                <w:color w:val="000000" w:themeColor="text1"/>
                <w:sz w:val="18"/>
                <w:szCs w:val="18"/>
                <w:lang w:val="en-US"/>
              </w:rPr>
              <w:fldChar w:fldCharType="end"/>
            </w:r>
          </w:p>
        </w:tc>
        <w:tc>
          <w:tcPr>
            <w:tcW w:w="716" w:type="pct"/>
            <w:vAlign w:val="center"/>
          </w:tcPr>
          <w:p w14:paraId="0B634CF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7B8BAEEC"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273D1619" w14:textId="77777777" w:rsidTr="00605F18">
        <w:tc>
          <w:tcPr>
            <w:tcW w:w="539" w:type="pct"/>
          </w:tcPr>
          <w:p w14:paraId="1BED1D40"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C1q</w:t>
            </w:r>
          </w:p>
        </w:tc>
        <w:tc>
          <w:tcPr>
            <w:tcW w:w="493" w:type="pct"/>
            <w:vAlign w:val="center"/>
          </w:tcPr>
          <w:p w14:paraId="7287CF0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72" w:type="pct"/>
            <w:vAlign w:val="center"/>
          </w:tcPr>
          <w:p w14:paraId="5F1D4063"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59" w:type="pct"/>
            <w:vAlign w:val="center"/>
          </w:tcPr>
          <w:p w14:paraId="003C0CE1"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lang w:val="en-US"/>
              </w:rPr>
              <w:fldChar w:fldCharType="begin" w:fldLock="1"/>
            </w:r>
            <w:r w:rsidRPr="005A2E25">
              <w:rPr>
                <w:rFonts w:ascii="Arial" w:hAnsi="Arial" w:cs="Arial"/>
                <w:b/>
                <w:bCs/>
                <w:color w:val="000000" w:themeColor="text1"/>
                <w:sz w:val="18"/>
                <w:szCs w:val="18"/>
                <w:lang w:val="en-US"/>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lang w:val="en-US"/>
              </w:rPr>
              <w:fldChar w:fldCharType="separate"/>
            </w:r>
            <w:r w:rsidRPr="005A2E25">
              <w:rPr>
                <w:rFonts w:ascii="Arial" w:hAnsi="Arial" w:cs="Arial"/>
                <w:bCs/>
                <w:noProof/>
                <w:color w:val="000000" w:themeColor="text1"/>
                <w:sz w:val="18"/>
                <w:szCs w:val="18"/>
                <w:lang w:val="en-US"/>
              </w:rPr>
              <w:t>(Gorbushin, 2019)</w:t>
            </w:r>
            <w:r w:rsidRPr="005A2E25">
              <w:rPr>
                <w:rFonts w:ascii="Arial" w:hAnsi="Arial" w:cs="Arial"/>
                <w:b/>
                <w:bCs/>
                <w:color w:val="000000" w:themeColor="text1"/>
                <w:sz w:val="18"/>
                <w:szCs w:val="18"/>
                <w:lang w:val="en-US"/>
              </w:rPr>
              <w:fldChar w:fldCharType="end"/>
            </w:r>
          </w:p>
        </w:tc>
        <w:tc>
          <w:tcPr>
            <w:tcW w:w="587" w:type="pct"/>
            <w:vAlign w:val="center"/>
          </w:tcPr>
          <w:p w14:paraId="1AC6D155"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Immunology","id":"ITEM-1","issue":"1","issued":{"date-parts":[["2015","9"]]},"page":"17-38","publisher":"Elsevier Ltd","title":"An updated molecular basis for mussel immunity","type":"article-journal","volume":"46"},"uris":["http://www.mendeley.com/documents/?uuid=23bb3a0d-da3c-4a02-ab79-4fbec127ab5e"]},{"id":"ITEM-2","itemData":{"DOI":"10.1016/j.dci.2017.06.009","ISSN":"0145305X","PMID":"28645512","abstract":"The complement system is one of the major effector mechanisms of immune system, playing essential roles in both the innate and adaptive immune responses. In the present study, the counterparts of vertebrate complement components were identified by screening the sequenced genome of Crassostrea gigas, resulting in the identification of 792 gene models containing complement-related domains. The transcriptome of haemocytes at 6, 12 and 24 h post lipopolysaccharides (LPS) stimulation showed differential expression of 77 C1q domain containing proteins, 53 C-type lectins and 42 fibrinogen-related proteins. mRNAs encoding 18 serine protease domain-containing (SPC) proteins, 4 MACPF-domain containing proteins and 11 C3 receptor-like proteins were up-regulated upon LPS stimulation, and CgC3 mRNA was significantly increased at 12 h. The presence of CgC3 was confirmed in cell free plasma and was present in three subunit chains as expected for the processed mature protein. The complement related PRRs with coiled coil regions and SPC proteins with CUB domains may function in the activation of CgC3, whereas, the C3-like receptors with integrin-α/β domain mediated the phagocytosis of C3-labled pathogens. These PRRs appear to serve as opsonins to promote phagocytosis of opsonized pathogens. The overall results suggested the existence of a potential multi-component complement system in C. gigas.","author":[{"dropping-particle":"","family":"Wang","given":"Lingling","non-dropping-particle":"","parse-names":false,"suffix":""},{"dropping-particle":"","family":"Zhang","given":"Huan","non-dropping-particle":"","parse-names":false,"suffix":""},{"dropping-particle":"","family":"Wang","given":"Leilei","non-dropping-particle":"","parse-names":false,"suffix":""},{"dropping-particle":"","family":"Zhang","given":"Daoxiang","non-dropping-particle":"","parse-names":false,"suffix":""},{"dropping-particle":"","family":"Lv","given":"Zhao","non-dropping-particle":"","parse-names":false,"suffix":""},{"dropping-particle":"","family":"Liu","given":"Zhaoqun","non-dropping-particle":"","parse-names":false,"suffix":""},{"dropping-particle":"","family":"Wang","given":"Weilin","non-dropping-particle":"","parse-names":false,"suffix":""},{"dropping-particle":"","family":"Zhou","given":"Zhi","non-dropping-particle":"","parse-names":false,"suffix":""},{"dropping-particle":"","family":"Qiu","given":"Limei","non-dropping-particle":"","parse-names":false,"suffix":""},{"dropping-particle":"","family":"Wang","given":"Hao","non-dropping-particle":"","parse-names":false,"suffix":""},{"dropping-particle":"","family":"Li","given":"Jun","non-dropping-particle":"","parse-names":false,"suffix":""},{"dropping-particle":"","family":"Song","given":"Linsheng","non-dropping-particle":"","parse-names":false,"suffix":""}],"container-title":"Developmental &amp; Comparative Immunology","id":"ITEM-2","issued":{"date-parts":[["2017","11"]]},"page":"209-219","publisher":"Elsevier Ltd","title":"The RNA-seq analysis suggests a potential multi-component complement system in oyster &lt;i&gt;Crassostrea gigas&lt;/i&gt;","type":"article-journal","volume":"76"},"uris":["http://www.mendeley.com/documents/?uuid=e09536c9-f6e1-40c9-aed9-ec01c4f03471"]}],"mendeley":{"formattedCitation":"(Gerdol and Venier, 2015; Wang &lt;i&gt;et al.&lt;/i&gt;, 2017)","plainTextFormattedCitation":"(Gerdol and Venier, 2015; Wang et al., 2017)","previouslyFormattedCitation":"(Gerdol and Venier, 2015; Wang &lt;i&gt;et al.&lt;/i&gt;, 2017)"},"properties":{"noteIndex":0},"schema":"https://github.com/citation-style-language/schema/raw/master/csl-citation.json"}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 xml:space="preserve">(Gerdol and Venier, 2015; Wang </w:t>
            </w:r>
            <w:r w:rsidRPr="005A2E25">
              <w:rPr>
                <w:rFonts w:ascii="Arial" w:hAnsi="Arial" w:cs="Arial"/>
                <w:i/>
                <w:noProof/>
                <w:color w:val="000000" w:themeColor="text1"/>
                <w:sz w:val="18"/>
                <w:szCs w:val="18"/>
              </w:rPr>
              <w:t>et al.</w:t>
            </w:r>
            <w:r w:rsidRPr="005A2E25">
              <w:rPr>
                <w:rFonts w:ascii="Arial" w:hAnsi="Arial" w:cs="Arial"/>
                <w:noProof/>
                <w:color w:val="000000" w:themeColor="text1"/>
                <w:sz w:val="18"/>
                <w:szCs w:val="18"/>
              </w:rPr>
              <w:t>, 2017)</w:t>
            </w:r>
            <w:r w:rsidRPr="005A2E25">
              <w:rPr>
                <w:rFonts w:ascii="Arial" w:hAnsi="Arial" w:cs="Arial"/>
                <w:color w:val="000000" w:themeColor="text1"/>
                <w:sz w:val="18"/>
                <w:szCs w:val="18"/>
              </w:rPr>
              <w:fldChar w:fldCharType="end"/>
            </w:r>
          </w:p>
        </w:tc>
        <w:tc>
          <w:tcPr>
            <w:tcW w:w="573" w:type="pct"/>
            <w:vAlign w:val="center"/>
          </w:tcPr>
          <w:p w14:paraId="58596932"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Align w:val="center"/>
          </w:tcPr>
          <w:p w14:paraId="792577AE"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b/>
                <w:bCs/>
                <w:color w:val="000000" w:themeColor="text1"/>
                <w:sz w:val="18"/>
                <w:szCs w:val="18"/>
                <w:lang w:val="en-US"/>
              </w:rPr>
              <w:fldChar w:fldCharType="begin" w:fldLock="1"/>
            </w:r>
            <w:r w:rsidRPr="005A2E25">
              <w:rPr>
                <w:rFonts w:ascii="Arial" w:hAnsi="Arial" w:cs="Arial"/>
                <w:b/>
                <w:bCs/>
                <w:color w:val="000000" w:themeColor="text1"/>
                <w:sz w:val="18"/>
                <w:szCs w:val="18"/>
                <w:lang w:val="en-US"/>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lang w:val="en-US"/>
              </w:rPr>
              <w:fldChar w:fldCharType="separate"/>
            </w:r>
            <w:r w:rsidRPr="005A2E25">
              <w:rPr>
                <w:rFonts w:ascii="Arial" w:hAnsi="Arial" w:cs="Arial"/>
                <w:bCs/>
                <w:noProof/>
                <w:color w:val="000000" w:themeColor="text1"/>
                <w:sz w:val="18"/>
                <w:szCs w:val="18"/>
                <w:lang w:val="en-US"/>
              </w:rPr>
              <w:t>(Gorbushin, 2019)</w:t>
            </w:r>
            <w:r w:rsidRPr="005A2E25">
              <w:rPr>
                <w:rFonts w:ascii="Arial" w:hAnsi="Arial" w:cs="Arial"/>
                <w:b/>
                <w:bCs/>
                <w:color w:val="000000" w:themeColor="text1"/>
                <w:sz w:val="18"/>
                <w:szCs w:val="18"/>
                <w:lang w:val="en-US"/>
              </w:rPr>
              <w:fldChar w:fldCharType="end"/>
            </w:r>
          </w:p>
        </w:tc>
        <w:tc>
          <w:tcPr>
            <w:tcW w:w="716" w:type="pct"/>
            <w:vAlign w:val="center"/>
          </w:tcPr>
          <w:p w14:paraId="2D6D4A38"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54C5117F"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73EE461C" w14:textId="77777777" w:rsidTr="00605F18">
        <w:tc>
          <w:tcPr>
            <w:tcW w:w="539" w:type="pct"/>
          </w:tcPr>
          <w:p w14:paraId="6D857234"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FreDC2</w:t>
            </w:r>
          </w:p>
        </w:tc>
        <w:tc>
          <w:tcPr>
            <w:tcW w:w="493" w:type="pct"/>
            <w:vAlign w:val="center"/>
          </w:tcPr>
          <w:p w14:paraId="337B2CC7"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1031" w:type="pct"/>
            <w:gridSpan w:val="2"/>
          </w:tcPr>
          <w:p w14:paraId="177199C0"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lang w:val="en-US"/>
              </w:rPr>
              <w:fldChar w:fldCharType="begin" w:fldLock="1"/>
            </w:r>
            <w:r w:rsidRPr="005A2E25">
              <w:rPr>
                <w:rFonts w:ascii="Arial" w:hAnsi="Arial" w:cs="Arial"/>
                <w:b/>
                <w:bCs/>
                <w:color w:val="000000" w:themeColor="text1"/>
                <w:sz w:val="18"/>
                <w:szCs w:val="18"/>
                <w:lang w:val="en-US"/>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lang w:val="en-US"/>
              </w:rPr>
              <w:fldChar w:fldCharType="separate"/>
            </w:r>
            <w:r w:rsidRPr="005A2E25">
              <w:rPr>
                <w:rFonts w:ascii="Arial" w:hAnsi="Arial" w:cs="Arial"/>
                <w:bCs/>
                <w:noProof/>
                <w:color w:val="000000" w:themeColor="text1"/>
                <w:sz w:val="18"/>
                <w:szCs w:val="18"/>
                <w:lang w:val="en-US"/>
              </w:rPr>
              <w:t>(Gorbushin, 2019)</w:t>
            </w:r>
            <w:r w:rsidRPr="005A2E25">
              <w:rPr>
                <w:rFonts w:ascii="Arial" w:hAnsi="Arial" w:cs="Arial"/>
                <w:b/>
                <w:bCs/>
                <w:color w:val="000000" w:themeColor="text1"/>
                <w:sz w:val="18"/>
                <w:szCs w:val="18"/>
                <w:lang w:val="en-US"/>
              </w:rPr>
              <w:fldChar w:fldCharType="end"/>
            </w:r>
          </w:p>
        </w:tc>
        <w:tc>
          <w:tcPr>
            <w:tcW w:w="587" w:type="pct"/>
            <w:vAlign w:val="center"/>
          </w:tcPr>
          <w:p w14:paraId="7C240ADA"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{"citationItems":[{"id":"ITEM-1","itemData":{"DOI":"10.1016/j.fsi.2016.05.017","ISSN":"10504648","PMID":"27189918","abstract":"Four exons of the CgFrep1 gene (3333 bp long) encode a putative fibrinogen-related protein (324 aa) bearing a single C-terminal FBG domain. Transcripts of the gene obtained from hemocytes of different Pacific oysters show prominent individual variation based on SNP and indels of tandem repeats resulted in polymorphism of N-terminus of the putative CgFrep1 polypeptide. The polypeptide chain bears N-terminal coiled-coil region potentially acting as inter-subunit interface in the protein oligomerization. It is suggested that CgFrep1 gene encodes the oligomeric lectin composed of at least two subunits.","author":[{"dropping-particle":"","family":"Skazina","given":"M.A.","non-dropping-particle":"","parse-names":false,"suffix":""},{"dropping-particle":"","family":"Gorbushin","given":"A.M.","non-dropping-particle":"","parse-names":false,"suffix":""}],"container-title":"Fish &amp; Shellfish Immunology","id":"ITEM-1","issued":{"date-parts":[["2016","7"]]},"page":"586-588","publisher":"Elsevier Ltd","title":"Characterization of the gene encoding a fibrinogen-related protein expressed in &lt;i&gt;Crassostrea gigas&lt;/i&gt; hemocytes","type":"article-journal","volume":"54"},"uris":["http://www.mendeley.com/documents/?uuid=f14fe580-dd31-417b-a13b-46edab2793e3"]},{"id":"ITEM-2","itemData":{"DOI":"10.1016/j.dci.2019.01.010","ISSN":"0145305X","PMID":"30682446","abstract":"A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Immunology","id":"ITEM-2","issue":"November 2018","issued":{"date-parts":[["2019","5"]]},"page":"35-58","publisher":"Elsevier","title":"Derivatives of the lectin complement pathway in Lophotrochozoa","type":"article-journal","volume":"94"},"uris":["http://www.mendeley.com/documents/?uuid=baab566b-2a64-4abc-b421-f982786ea49c"]},{"id":"ITEM-3","itemData":{"DOI":"10.1016/j.fsi.2015.02.013","ISSN":"10504648","abstract":"Non-self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Immunology","id":"ITEM-3","issue":"1","issued":{"date-parts":[["2015","9"]]},"page":"17-38","publisher":"Elsevier Ltd","title":"An updated molecular basis for mussel immunity","type":"article-journal","volume":"46"},"uris":["http://www.mendeley.com/documents/?uuid=23bb3a0d-da3c-4a02-ab79-4fbec127ab5e"]}],"mendeley":{"formattedCitation":"(Gerdol and Venier, 2015; Skazina and Gorbushin, 2016; Gorbushin, 2019)","plainTextFormattedCitation":"(Gerdol and Venier, 2015; Skazina and Gorbushin, 2016; Gorbushin, 2019)","previouslyFormattedCitation":"(Gerdol and Venier, 2015; Skazina and Gorbushin, 2016; Gorbushin, 2019)"},"properties":{"noteIndex":0},"schema":"https://github.com/citation-style-language/schema/raw/master/csl-citation.json"}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(Gerdol and Venier, 2015; Skazina and Gorbushin, 2016; Gorbushin, 2019)</w:t>
            </w:r>
            <w:r w:rsidRPr="005A2E25">
              <w:rPr>
                <w:rFonts w:ascii="Arial" w:hAnsi="Arial" w:cs="Arial"/>
                <w:color w:val="000000" w:themeColor="text1"/>
                <w:sz w:val="18"/>
                <w:szCs w:val="18"/>
              </w:rPr>
              <w:fldChar w:fldCharType="end"/>
            </w:r>
          </w:p>
        </w:tc>
        <w:tc>
          <w:tcPr>
            <w:tcW w:w="573" w:type="pct"/>
            <w:vAlign w:val="center"/>
          </w:tcPr>
          <w:p w14:paraId="0DC13E91"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Align w:val="center"/>
          </w:tcPr>
          <w:p w14:paraId="4989ED68"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b/>
                <w:bCs/>
                <w:color w:val="000000" w:themeColor="text1"/>
                <w:sz w:val="18"/>
                <w:szCs w:val="18"/>
                <w:lang w:val="en-US"/>
              </w:rPr>
              <w:fldChar w:fldCharType="begin" w:fldLock="1"/>
            </w:r>
            <w:r w:rsidRPr="005A2E25">
              <w:rPr>
                <w:rFonts w:ascii="Arial" w:hAnsi="Arial" w:cs="Arial"/>
                <w:b/>
                <w:bCs/>
                <w:color w:val="000000" w:themeColor="text1"/>
                <w:sz w:val="18"/>
                <w:szCs w:val="18"/>
                <w:lang w:val="en-US"/>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lang w:val="en-US"/>
              </w:rPr>
              <w:fldChar w:fldCharType="separate"/>
            </w:r>
            <w:r w:rsidRPr="005A2E25">
              <w:rPr>
                <w:rFonts w:ascii="Arial" w:hAnsi="Arial" w:cs="Arial"/>
                <w:bCs/>
                <w:noProof/>
                <w:color w:val="000000" w:themeColor="text1"/>
                <w:sz w:val="18"/>
                <w:szCs w:val="18"/>
                <w:lang w:val="en-US"/>
              </w:rPr>
              <w:t>(Gorbushin, 2019)</w:t>
            </w:r>
            <w:r w:rsidRPr="005A2E25">
              <w:rPr>
                <w:rFonts w:ascii="Arial" w:hAnsi="Arial" w:cs="Arial"/>
                <w:b/>
                <w:bCs/>
                <w:color w:val="000000" w:themeColor="text1"/>
                <w:sz w:val="18"/>
                <w:szCs w:val="18"/>
                <w:lang w:val="en-US"/>
              </w:rPr>
              <w:fldChar w:fldCharType="end"/>
            </w:r>
          </w:p>
        </w:tc>
        <w:tc>
          <w:tcPr>
            <w:tcW w:w="716" w:type="pct"/>
            <w:vAlign w:val="center"/>
          </w:tcPr>
          <w:p w14:paraId="4B65997B"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13BDD057"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r w:rsidR="001D7AD3" w:rsidRPr="005A2E25" w14:paraId="581BD4A3" w14:textId="77777777" w:rsidTr="00605F18">
        <w:tc>
          <w:tcPr>
            <w:tcW w:w="539" w:type="pct"/>
          </w:tcPr>
          <w:p w14:paraId="17049C55" w14:textId="77777777" w:rsidR="001D7AD3" w:rsidRPr="005A2E25" w:rsidRDefault="001D7AD3" w:rsidP="00605F18">
            <w:pPr>
              <w:rPr>
                <w:rFonts w:ascii="Arial" w:hAnsi="Arial" w:cs="Arial"/>
                <w:b/>
                <w:bCs/>
                <w:color w:val="000000" w:themeColor="text1"/>
                <w:sz w:val="18"/>
                <w:szCs w:val="18"/>
              </w:rPr>
            </w:pPr>
            <w:r w:rsidRPr="005A2E25">
              <w:rPr>
                <w:rFonts w:ascii="Arial" w:hAnsi="Arial" w:cs="Arial"/>
                <w:b/>
                <w:bCs/>
                <w:color w:val="000000" w:themeColor="text1"/>
                <w:sz w:val="18"/>
                <w:szCs w:val="18"/>
              </w:rPr>
              <w:t>CTLDC2</w:t>
            </w:r>
          </w:p>
        </w:tc>
        <w:tc>
          <w:tcPr>
            <w:tcW w:w="493" w:type="pct"/>
            <w:vAlign w:val="center"/>
          </w:tcPr>
          <w:p w14:paraId="26EE1B9B"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1031" w:type="pct"/>
            <w:gridSpan w:val="2"/>
          </w:tcPr>
          <w:p w14:paraId="17A5E207" w14:textId="77777777" w:rsidR="001D7AD3" w:rsidRPr="005A2E25" w:rsidRDefault="001D7AD3" w:rsidP="00605F18">
            <w:pPr>
              <w:jc w:val="center"/>
              <w:rPr>
                <w:rFonts w:ascii="Arial" w:hAnsi="Arial" w:cs="Arial"/>
                <w:b/>
                <w:bCs/>
                <w:color w:val="000000" w:themeColor="text1"/>
                <w:sz w:val="18"/>
                <w:szCs w:val="18"/>
              </w:rPr>
            </w:pPr>
            <w:r w:rsidRPr="005A2E25">
              <w:rPr>
                <w:rFonts w:ascii="Arial" w:hAnsi="Arial" w:cs="Arial"/>
                <w:b/>
                <w:bCs/>
                <w:color w:val="000000" w:themeColor="text1"/>
                <w:sz w:val="18"/>
                <w:szCs w:val="18"/>
                <w:lang w:val="en-US"/>
              </w:rPr>
              <w:fldChar w:fldCharType="begin" w:fldLock="1"/>
            </w:r>
            <w:r w:rsidRPr="005A2E25">
              <w:rPr>
                <w:rFonts w:ascii="Arial" w:hAnsi="Arial" w:cs="Arial"/>
                <w:b/>
                <w:bCs/>
                <w:color w:val="000000" w:themeColor="text1"/>
                <w:sz w:val="18"/>
                <w:szCs w:val="18"/>
                <w:lang w:val="en-US"/>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5A2E25">
              <w:rPr>
                <w:rFonts w:ascii="Arial" w:hAnsi="Arial" w:cs="Arial"/>
                <w:b/>
                <w:bCs/>
                <w:color w:val="000000" w:themeColor="text1"/>
                <w:sz w:val="18"/>
                <w:szCs w:val="18"/>
                <w:lang w:val="en-US"/>
              </w:rPr>
              <w:fldChar w:fldCharType="separate"/>
            </w:r>
            <w:r w:rsidRPr="005A2E25">
              <w:rPr>
                <w:rFonts w:ascii="Arial" w:hAnsi="Arial" w:cs="Arial"/>
                <w:bCs/>
                <w:noProof/>
                <w:color w:val="000000" w:themeColor="text1"/>
                <w:sz w:val="18"/>
                <w:szCs w:val="18"/>
                <w:lang w:val="en-US"/>
              </w:rPr>
              <w:t>(Gorbushin, 2019)</w:t>
            </w:r>
            <w:r w:rsidRPr="005A2E25">
              <w:rPr>
                <w:rFonts w:ascii="Arial" w:hAnsi="Arial" w:cs="Arial"/>
                <w:b/>
                <w:bCs/>
                <w:color w:val="000000" w:themeColor="text1"/>
                <w:sz w:val="18"/>
                <w:szCs w:val="18"/>
                <w:lang w:val="en-US"/>
              </w:rPr>
              <w:fldChar w:fldCharType="end"/>
            </w:r>
          </w:p>
        </w:tc>
        <w:tc>
          <w:tcPr>
            <w:tcW w:w="587" w:type="pct"/>
            <w:vAlign w:val="center"/>
          </w:tcPr>
          <w:p w14:paraId="51DCDC6A"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Immunology","id":"ITEM-1","issue":"1","issued":{"date-parts":[["2015","9"]]},"page":"17-38","publisher":"Elsevier Ltd","title":"An updated molecular basis for mussel immunity","type":"article-journal","volume":"46"},"uris":["http://www.mendeley.com/documents/?uuid=23bb3a0d-da3c-4a02-ab79-4fbec127ab5e"]},{"id":"ITEM-2","itemData":{"DOI":"10.1016/j.dci.2019.01.010","ISSN":"0145305X","PMID":"30682446","abstract":"A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Immunology","id":"ITEM-2","issue":"November 2018","issued":{"date-parts":[["2019","5"]]},"page":"35-58","publisher":"Elsevier","title":"Derivatives of the lectin complement pathway in Lophotrochozoa","type":"article-journal","volume":"94"},"uris":["http://www.mendeley.com/documents/?uuid=baab566b-2a64-4abc-b421-f982786ea49c"]}],"mendeley":{"formattedCitation":"(Gerdol and Venier, 2015; Gorbushin, 2019)","plainTextFormattedCitation":"(Gerdol and Venier, 2015; Gorbushin, 2019)","previouslyFormattedCitation":"(Gerdol and Venier, 2015; Gorbushin, 2019)"},"properties":{"noteIndex":0},"schema":"https://github.com/citation-style-language/schema/raw/master/csl-citation.json"}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(Gerdol and Venier, 2015; Gorbushin, 2019)</w:t>
            </w:r>
            <w:r w:rsidRPr="005A2E25">
              <w:rPr>
                <w:rFonts w:ascii="Arial" w:hAnsi="Arial" w:cs="Arial"/>
                <w:color w:val="000000" w:themeColor="text1"/>
                <w:sz w:val="18"/>
                <w:szCs w:val="18"/>
              </w:rPr>
              <w:fldChar w:fldCharType="end"/>
            </w:r>
          </w:p>
        </w:tc>
        <w:tc>
          <w:tcPr>
            <w:tcW w:w="573" w:type="pct"/>
            <w:vAlign w:val="center"/>
          </w:tcPr>
          <w:p w14:paraId="2100BF5A"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582" w:type="pct"/>
            <w:vAlign w:val="center"/>
          </w:tcPr>
          <w:p w14:paraId="34B9A84D"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fldChar w:fldCharType="begin" w:fldLock="1"/>
            </w:r>
            <w:r w:rsidRPr="005A2E25">
              <w:rPr>
                <w:rFonts w:ascii="Arial" w:hAnsi="Arial" w:cs="Arial"/>
                <w:color w:val="000000" w:themeColor="text1"/>
                <w:sz w:val="18"/>
                <w:szCs w:val="18"/>
              </w:rPr>
              <w:instrText>ADDIN CSL_CITATION {"citationItems":[{"id":"ITEM-1","itemData":{"DOI":"10.1016/j.fsi.2015.02.013","ISSN":"10504648","abstract":"Non-self recognition with the consequent tolerance or immune reaction is a crucial process to succeed as living organisms. At the same time the interactions between host species and their microbiome, including potential pathogens and parasites, significantly contribute to animal life diversity. Marine filter-feeding bivalves, mussels in particular, can survive also in heavily anthropized coastal waters despite being constantly surrounded by microorganisms. Based on the first outline of the Mytilus galloprovincialis immunome dated 2011, the continuously growing transcript data and the recent release of a draft mussel genome, we explored the available sequence data and scientific literature to reinforce our knowledge on the main gene-encoded elements of the mussel immune responses, from the pathogen recognition to its clearance. We carefully investigated molecules specialized in the sensing and targeting of potential aggressors, expected to show greater molecular diversification, and outlined, whenever relevant, the interconnected cascades of the intracellular signal transduction.Aiming to explore the diversity of extracellular, membrane-bound and intracellular pattern recognition receptors in mussel, we updated a highly complex immune system, comprising molecules which are described here in detail for the first time (e.g. NOD-like receptors) or which had only been partially characterized in bivalves (e.g. RIG-like receptors). Overall, our comparative sequence analysis supported the identification of over 70 novel full-length immunity-related transcripts in M.galloprovincialis. Nevertheless, the multiplicity of gene functions relevant to immunity, the involvement of part of them in other vital processes, and also the lack of a refined mussel genome make this work still not-exhaustive and support the development of more specific studies.","author":[{"dropping-particle":"","family":"Gerdol","given":"Marco","non-dropping-particle":"","parse-names":false,"suffix":""},{"dropping-particle":"","family":"Venier","given":"Paola","non-dropping-particle":"","parse-names":false,"suffix":""}],"container-title":"Fish &amp; Shellfish Immunology","id":"ITEM-1","issue":"1","issued":{"date-parts":[["2015","9"]]},"page":"17-38","publisher":"Elsevier Ltd","title":"An updated molecular basis for mussel immunity","type":"article-journal","volume":"46"},"uris":["http://www.mendeley.com/documents/?uuid=23bb3a0d-da3c-4a02-ab79-4fbec127ab5e"]},{"id":"ITEM-2","itemData":{"DOI":"10.1016/j.dci.2019.01.010","ISSN":"0145305X","PMID":"30682446","abstract":"A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Immunology","id":"ITEM-2","issue":"November 2018","issued":{"date-parts":[["2019","5"]]},"page":"35-58","publisher":"Elsevier","title":"Derivatives of the lectin complement pathway in Lophotrochozoa","type":"article-journal","volume":"94"},"uris":["http://www.mendeley.com/documents/?uuid=baab566b-2a64-4abc-b421-f982786ea49c"]}],"mendeley":{"formattedCitation":"(Gerdol and Venier, 2015; Gorbushin, 2019)","plainTextFormattedCitation":"(Gerdol and Venier, 2015; Gorbushin, 2019)","previouslyFormattedCitation":"(Gerdol and Venier, 2015; Gorbushin, 2019)"},"properties":{"noteIndex":0},"schema":"https://github.com/citation-style-language/schema/raw/master/csl-citation.json"}</w:instrText>
            </w:r>
            <w:r w:rsidRPr="005A2E25">
              <w:rPr>
                <w:rFonts w:ascii="Arial" w:hAnsi="Arial" w:cs="Arial"/>
                <w:color w:val="000000" w:themeColor="text1"/>
                <w:sz w:val="18"/>
                <w:szCs w:val="18"/>
              </w:rPr>
              <w:fldChar w:fldCharType="separate"/>
            </w:r>
            <w:r w:rsidRPr="005A2E25">
              <w:rPr>
                <w:rFonts w:ascii="Arial" w:hAnsi="Arial" w:cs="Arial"/>
                <w:noProof/>
                <w:color w:val="000000" w:themeColor="text1"/>
                <w:sz w:val="18"/>
                <w:szCs w:val="18"/>
              </w:rPr>
              <w:t>(Gerdol and Venier, 2015; Gorbushin, 2019)</w:t>
            </w:r>
            <w:r w:rsidRPr="005A2E25">
              <w:rPr>
                <w:rFonts w:ascii="Arial" w:hAnsi="Arial" w:cs="Arial"/>
                <w:color w:val="000000" w:themeColor="text1"/>
                <w:sz w:val="18"/>
                <w:szCs w:val="18"/>
              </w:rPr>
              <w:fldChar w:fldCharType="end"/>
            </w:r>
          </w:p>
        </w:tc>
        <w:tc>
          <w:tcPr>
            <w:tcW w:w="716" w:type="pct"/>
            <w:vAlign w:val="center"/>
          </w:tcPr>
          <w:p w14:paraId="517A6C30"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c>
          <w:tcPr>
            <w:tcW w:w="479" w:type="pct"/>
            <w:vAlign w:val="center"/>
          </w:tcPr>
          <w:p w14:paraId="60953B96" w14:textId="77777777" w:rsidR="001D7AD3" w:rsidRPr="005A2E25" w:rsidRDefault="001D7AD3" w:rsidP="00605F18">
            <w:pPr>
              <w:jc w:val="center"/>
              <w:rPr>
                <w:rFonts w:ascii="Arial" w:hAnsi="Arial" w:cs="Arial"/>
                <w:color w:val="000000" w:themeColor="text1"/>
                <w:sz w:val="18"/>
                <w:szCs w:val="18"/>
              </w:rPr>
            </w:pPr>
            <w:r w:rsidRPr="005A2E25">
              <w:rPr>
                <w:rFonts w:ascii="Arial" w:hAnsi="Arial" w:cs="Arial"/>
                <w:color w:val="000000" w:themeColor="text1"/>
                <w:sz w:val="18"/>
                <w:szCs w:val="18"/>
              </w:rPr>
              <w:t>X</w:t>
            </w:r>
          </w:p>
        </w:tc>
      </w:tr>
    </w:tbl>
    <w:p w14:paraId="3EB967AD" w14:textId="77777777" w:rsidR="001D7AD3" w:rsidRDefault="001D7AD3" w:rsidP="001D7AD3">
      <w:pPr>
        <w:rPr>
          <w:rFonts w:ascii="Arial" w:hAnsi="Arial" w:cs="Arial"/>
          <w:b/>
          <w:bCs/>
          <w:sz w:val="18"/>
          <w:szCs w:val="18"/>
          <w:lang w:val="en-US"/>
        </w:rPr>
      </w:pPr>
    </w:p>
    <w:p w14:paraId="69CB385A" w14:textId="77777777" w:rsidR="001D7AD3" w:rsidRDefault="001D7AD3" w:rsidP="001D7AD3">
      <w:pPr>
        <w:rPr>
          <w:rFonts w:ascii="Arial" w:hAnsi="Arial" w:cs="Arial"/>
          <w:b/>
          <w:bCs/>
          <w:sz w:val="18"/>
          <w:szCs w:val="18"/>
          <w:lang w:val="en-US"/>
        </w:rPr>
      </w:pPr>
    </w:p>
    <w:p w14:paraId="343DD31A" w14:textId="77777777" w:rsidR="001D7AD3" w:rsidRDefault="001D7AD3" w:rsidP="001D7AD3">
      <w:pPr>
        <w:rPr>
          <w:rFonts w:ascii="Arial" w:hAnsi="Arial" w:cs="Arial"/>
          <w:b/>
          <w:bCs/>
          <w:sz w:val="18"/>
          <w:szCs w:val="18"/>
          <w:lang w:val="en-US"/>
        </w:rPr>
      </w:pPr>
    </w:p>
    <w:p w14:paraId="42D85055" w14:textId="77777777" w:rsidR="001D7AD3" w:rsidRDefault="001D7AD3" w:rsidP="001D7AD3">
      <w:pPr>
        <w:rPr>
          <w:rFonts w:ascii="Arial" w:hAnsi="Arial" w:cs="Arial"/>
          <w:b/>
          <w:bCs/>
          <w:sz w:val="18"/>
          <w:szCs w:val="18"/>
          <w:lang w:val="en-US"/>
        </w:rPr>
      </w:pPr>
    </w:p>
    <w:tbl>
      <w:tblPr>
        <w:tblStyle w:val="Tablaconcuadrcula"/>
        <w:tblW w:w="5000" w:type="pct"/>
        <w:tblLook w:val="04A0" w:firstRow="1" w:lastRow="0" w:firstColumn="1" w:lastColumn="0" w:noHBand="0" w:noVBand="1"/>
      </w:tblPr>
      <w:tblGrid>
        <w:gridCol w:w="1218"/>
        <w:gridCol w:w="1590"/>
        <w:gridCol w:w="2173"/>
        <w:gridCol w:w="1577"/>
        <w:gridCol w:w="1702"/>
        <w:gridCol w:w="1481"/>
        <w:gridCol w:w="1673"/>
        <w:gridCol w:w="1536"/>
      </w:tblGrid>
      <w:tr w:rsidR="001D7AD3" w:rsidRPr="00805017" w14:paraId="2421E73B" w14:textId="77777777" w:rsidTr="00605F18">
        <w:tc>
          <w:tcPr>
            <w:tcW w:w="470" w:type="pct"/>
            <w:shd w:val="clear" w:color="auto" w:fill="BFBFBF" w:themeFill="background1" w:themeFillShade="BF"/>
          </w:tcPr>
          <w:p w14:paraId="7F8E9615" w14:textId="77777777" w:rsidR="001D7AD3" w:rsidRPr="00805017" w:rsidRDefault="001D7AD3" w:rsidP="00605F18">
            <w:pPr>
              <w:rPr>
                <w:rFonts w:ascii="Arial" w:hAnsi="Arial" w:cs="Arial"/>
                <w:b/>
                <w:bCs/>
                <w:color w:val="000000" w:themeColor="text1"/>
                <w:sz w:val="18"/>
                <w:szCs w:val="18"/>
              </w:rPr>
            </w:pPr>
          </w:p>
        </w:tc>
        <w:tc>
          <w:tcPr>
            <w:tcW w:w="614" w:type="pct"/>
            <w:shd w:val="clear" w:color="auto" w:fill="BFBFBF" w:themeFill="background1" w:themeFillShade="BF"/>
          </w:tcPr>
          <w:p w14:paraId="1C208F3A"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Nematodes</w:t>
            </w:r>
          </w:p>
        </w:tc>
        <w:tc>
          <w:tcPr>
            <w:tcW w:w="839" w:type="pct"/>
            <w:shd w:val="clear" w:color="auto" w:fill="BFBFBF" w:themeFill="background1" w:themeFillShade="BF"/>
          </w:tcPr>
          <w:p w14:paraId="2823779E"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Arthropods</w:t>
            </w:r>
          </w:p>
        </w:tc>
        <w:tc>
          <w:tcPr>
            <w:tcW w:w="609" w:type="pct"/>
            <w:shd w:val="clear" w:color="auto" w:fill="BFBFBF" w:themeFill="background1" w:themeFillShade="BF"/>
          </w:tcPr>
          <w:p w14:paraId="73B0B02D"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Tardigrades</w:t>
            </w:r>
          </w:p>
        </w:tc>
        <w:tc>
          <w:tcPr>
            <w:tcW w:w="657" w:type="pct"/>
            <w:shd w:val="clear" w:color="auto" w:fill="BFBFBF" w:themeFill="background1" w:themeFillShade="BF"/>
          </w:tcPr>
          <w:p w14:paraId="5C63AF00"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Echinoderms</w:t>
            </w:r>
          </w:p>
        </w:tc>
        <w:tc>
          <w:tcPr>
            <w:tcW w:w="572" w:type="pct"/>
            <w:shd w:val="clear" w:color="auto" w:fill="BFBFBF" w:themeFill="background1" w:themeFillShade="BF"/>
          </w:tcPr>
          <w:p w14:paraId="773D6831"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Amphioxus</w:t>
            </w:r>
          </w:p>
        </w:tc>
        <w:tc>
          <w:tcPr>
            <w:tcW w:w="646" w:type="pct"/>
            <w:shd w:val="clear" w:color="auto" w:fill="BFBFBF" w:themeFill="background1" w:themeFillShade="BF"/>
          </w:tcPr>
          <w:p w14:paraId="09D30DCD"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Tunicates</w:t>
            </w:r>
          </w:p>
        </w:tc>
        <w:tc>
          <w:tcPr>
            <w:tcW w:w="593" w:type="pct"/>
            <w:shd w:val="clear" w:color="auto" w:fill="BFBFBF" w:themeFill="background1" w:themeFillShade="BF"/>
          </w:tcPr>
          <w:p w14:paraId="00C51777"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Vertebrates</w:t>
            </w:r>
          </w:p>
        </w:tc>
      </w:tr>
      <w:tr w:rsidR="001D7AD3" w:rsidRPr="00805017" w14:paraId="691B5604" w14:textId="77777777" w:rsidTr="00605F18">
        <w:tc>
          <w:tcPr>
            <w:tcW w:w="470" w:type="pct"/>
          </w:tcPr>
          <w:p w14:paraId="43B08259"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Spatzle</w:t>
            </w:r>
          </w:p>
        </w:tc>
        <w:tc>
          <w:tcPr>
            <w:tcW w:w="614" w:type="pct"/>
            <w:vAlign w:val="center"/>
          </w:tcPr>
          <w:p w14:paraId="65857359"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839" w:type="pct"/>
            <w:vMerge w:val="restart"/>
            <w:vAlign w:val="center"/>
          </w:tcPr>
          <w:p w14:paraId="4BA70BC7"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lang w:val="en-US"/>
              </w:rPr>
              <w:fldChar w:fldCharType="begin" w:fldLock="1"/>
            </w:r>
            <w:r w:rsidRPr="00805017">
              <w:rPr>
                <w:rFonts w:ascii="Arial" w:hAnsi="Arial" w:cs="Arial"/>
                <w:color w:val="000000" w:themeColor="text1"/>
                <w:sz w:val="18"/>
                <w:szCs w:val="18"/>
                <w:lang w:val="en-US"/>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Ecdysozoa","type":"article-journal","volume":"10"},"uris":["http://www.mendeley.com/documents/?uuid=d59fbcc5-e3f1-4ecf-ae5b-b047f07d18be"]},{"id":"ITEM-2","itemData":{"DOI":"10.1016/S0092-8674(00)80172-5","ISSN":"00928674","PMID":"8808632","abstract":"The cytokine-induced activation cascade of NF-κB in mammals and the activation of the morphogen dorsal in Drosophila embryos show striking structural and functional similarities (Toll/IL-1, Cactus/I-κB, and dorsal/NF-κB). Here we demonstrate that these parallels extend to the immune response of Drosophila. In particular, the intracellular components of the dorsoventral signaling pathway (except for dorsal) and the extracellular Toll ligand, spatzle, control expression of the antifungal peptide gene drosomycin in adults. We also show that mutations in the Toll signaling pathway dramatically reduce survival after fungal infection. Antibacterial genes are induced either by a distinct pathway involving the immune deficiency gene (imd) or by combined activation of both imd and dorsoventral pathways.","author":[{"dropping-particle":"","family":"Lemaitre","given":"Bruno","non-dropping-particle":"","parse-names":false,"suffix":""},{"dropping-particle":"","family":"Nicolas","given":"Emmanuelle","non-dropping-particle":"","parse-names":false,"suffix":""},{"dropping-particle":"","family":"Michaut","given":"Lydia","non-dropping-particle":"","parse-names":false,"suffix":""},{"dropping-particle":"","family":"Reichhart","given":"Jean-Marc","non-dropping-particle":"","parse-names":false,"suffix":""},{"dropping-particle":"","family":"Hoffmann","given":"Jules A.","non-dropping-particle":"","parse-names":false,"suffix":""}],"container-title":"Cell","id":"ITEM-2","issue":"6","issued":{"date-parts":[["1996","9"]]},"note":"- Nobel prize in 2011","page":"973-983","title":"The dorsoventral regulatory gene cassette &lt;i&gt;Spätzle/Toll/Cactus&lt;/i&gt; controls the potent antifungal response in &lt;i&gt;Drosophila&lt;/i&gt; adults","type":"article-journal","volume":"86"},"uris":["http://www.mendeley.com/documents/?uuid=dfee453d-4b44-47ba-9c85-b74f271f8022"]},{"id":"ITEM-3","itemData":{"DOI":"10.4049/jimmunol.1002302","ISSN":"0022-1767","PMID":"21209287","abstract":"The identification of the Drosophila melanogaster Toll pathway cascade and the subsequent characterization of TLRs have reshaped our understanding of the immune system. Ever since, Drosophila NF-κB signaling has been actively studied. In flies, the Toll receptors are essential for embryonic development and immunity. In total, nine Toll receptors are encoded in the Drosophila genome, including the Toll pathway receptor Toll. The induction of the Toll pathway by gram-positive bacteria or fungi leads to the activation of cellular immunity as well as the systemic production of certain antimicrobial peptides. The Toll receptor is activated when the proteolytically cleaved ligand Spatzle binds to the receptor, eventually leading to the activation of the NF-κB factors Dorsal-related immunity factor or Dorsal. In this study, we review the current literature on the Toll pathway and compare the Drosophila and mammalian NF-κB pathways.","author":[{"dropping-particle":"","family":"Valanne","given":"Susanna","non-dropping-particle":"","parse-names":false,"suffix":""},{"dropping-particle":"","family":"Wang","given":"Jing-Huan","non-dropping-particle":"","parse-names":false,"suffix":""},{"dropping-particle":"","family":"Rämet","given":"Mika","non-dropping-particle":"","parse-names":false,"suffix":""}],"container-title":"The Journal of Immunology","id":"ITEM-3","issue":"2","issued":{"date-parts":[["2011","1","15"]]},"page":"649-656","title":"The &lt;i&gt;Drosophila&lt;/i&gt; Toll signaling pathway","type":"article-journal","volume":"186"},"uris":["http://www.mendeley.com/documents/?uuid=04102f86-7144-49b8-ba1a-e84f356e20dc"]},{"id":"ITEM-4","itemData":{"DOI":"10.1038/ni0202-121","ISSN":"1529-2908","author":[{"dropping-particle":"","family":"Hoffmann","given":"Jules A.","non-dropping-particle":"","parse-names":false,"suffix":""},{"dropping-particle":"","family":"Reichhart","given":"Jean-Marc","non-dropping-particle":"","parse-names":false,"suffix":""}],"container-title":"Nature Immunology","id":"ITEM-4","issue":"2","issued":{"date-parts":[["2002","2"]]},"page":"121-126","title":"&lt;i&gt;Drosophila&lt;/i&gt; innate immunity: an evolutionary perspective","type":"article-journal","volume":"3"},"uris":["http://www.mendeley.com/documents/?uuid=d591ec3b-5100-44b3-91e1-9616d5c531b0"]},{"id":"ITEM-5","itemData":{"DOI":"10.1038/311223a0","ISSN":"0028-0836","PMID":"6434989","abstract":"Maternal-effect mutations in 10 loci in Drosophila produce totally 'dorsalized' embryos. Injection of RNA isolated from wild-type embryos into mutants at six loci partially restores dorsal-ventral polarity. For the mutant snake, injection of poly(A)+ RNA restores a complete dorsal-ventral pattern. © 1984 Nature Publishing Group.","author":[{"dropping-particle":"V.","family":"Anderson","given":"Kathryn","non-dropping-particle":"","parse-names":false,"suffix":""},{"dropping-particle":"","family":"Nüsslein-Volhard","given":"Christiane","non-dropping-particle":"","parse-names":false,"suffix":""}],"container-title":"Nature","id":"ITEM-5","issue":"5983","issued":{"date-parts":[["1984","9"]]},"page":"223-227","title":"Information for the dorsal–ventral pattern of the &lt;i&gt;Drosophila&lt;/i&gt; embryo is stored as maternal mRNA","type":"article-journal","volume":"311"},"uris":["http://www.mendeley.com/documents/?uuid=07396724-903d-43ca-9dab-dba49313aa1c"]},{"id":"ITEM-6","itemData":{"DOI":"10.1016/0092-8674(85)90274-0","ISSN":"00928674","PMID":"3931918","abstract":"Within the group of maternal effect genes necessary for the establishment of the dorsal-ventral pattern of the Drosophila embryo, the Toll gene mutates to give a singular variety of embryonic phenotypes. Lack of function alleles produce dorsalized embryos as a recessive maternal effect. Dominant gain of function alleles result in ventralized embryos. Other recessive alleles cause partial dorsalization or lateralization of the embryonic pattern. Gene dosage studies indicate that the dominant ventralized phenotype results from an altered activity of the Toll product. Complementation studies show specific trans interactions between copies of the Toll product. Double mutant phenotypes suggest that the products of several other dorsal-group genes regulate the activity of Toll. © 1985.","author":[{"dropping-particle":"V.","family":"Anderson","given":"Kathryn","non-dropping-particle":"","parse-names":false,"suffix":""},{"dropping-particle":"","family":"Jürgens","given":"Gerd","non-dropping-particle":"","parse-names":false,"suffix":""},{"dropping-particle":"","family":"Nüsslein-Volhard","given":"Christiane","non-dropping-particle":"","parse-names":false,"suffix":""}],"container-title":"Cell","id":"ITEM-6","issue":"3","issued":{"date-parts":[["1985","10"]]},"note":"Discovery of Drosophila Toll","page":"779-789","title":"Establishment of dorsal-ventral polarity in the &lt;i&gt;Drosophila &lt;/i&gt;embryo: Genetic studies on the role of the &lt;i&gt;Toll &lt;/i&gt;gene product","type":"article-journal","volume":"42"},"uris":["http://www.mendeley.com/documents/?uuid=9163d2f7-f21f-4a93-a940-a90c03c9b086"]},{"id":"ITEM-7","itemData":{"DOI":"10.1093/molbev/msv093","ISSN":"0737-4038","abstract":"Insects are an important model for the study of innate immune systems, but remarkably little is known about the immune system of other arthropod groups despite their importance as disease vectors, pests, and components of biological diversity. Using comparative genomics, we have characterized the immune system of all the major groups of arthropods beyond insects for the first time - studying five chelicerates, a myriapod, and a crustacean.We found clear traces of an ancient origin of innate immunity, with some arthropods having Toll-like receptors and C3-complement factors that are more closely related in sequence or structure to vertebrates than other arthropods. Across the arthropods some components of the immune system, such as the Toll signaling pathway, are highly conserved. However, there is also remarkable diversity. The chelicerates apparently lack the Imd signaling pathway and beta-1,3 glucan binding proteins - a key class of pathogen recognition receptors. Many genes have large copy number variation across species, and this may sometimes be accompanied by changes in function. For example, we find that peptidoglycan recognition proteins have frequently lost their catalytic activity and switch between secreted and intracellular forms. We also find that there has been widespread and extensive duplication of the cellular immune receptor Dscam (Down syndrome cell adhesion molecule), which may be an alternative way to generate the high diversity produced by alternative splicing in insects. In the antiviral short interfering RNAi pathway Argonaute 2 evolves rapidly and is frequently duplicated, with a highly variable copy number. Our results provide a detailed analysis of the immune systems of several important groups of animals for the first time and lay the foundations for functional work on these groups.","author":[{"dropping-particle":"","family":"Palmer","given":"William J.","non-dropping-particle":"","parse-names":false,"suffix":""},{"dropping-particle":"","family":"Jiggins","given":"Francis M.","non-dropping-particle":"","parse-names":false,"suffix":""}],"container-title":"Molecular Biology and Evolution","id":"ITEM-7","issue":"8","issued":{"date-parts":[["2015","8"]]},"page":"2111-2129","title":"Comparative genomics reveals the origins and diversity of arthropod immune systems","type":"article-journal","volume":"32"},"uris":["http://www.mendeley.com/documents/?uuid=dd76a1a4-60e4-4d10-9b6d-69ed64f474af"]}],"mendeley":{"formattedCitation":"(Anderson and Nüsslein-Volhard, 1984; Anderson &lt;i&gt;et al.&lt;/i&gt;, 1985; Lemaitre &lt;i&gt;et al.&lt;/i&gt;, 1996; Hoffmann and Reichhart, 2002; Valanne &lt;i&gt;et al.&lt;/i&gt;, 2011; Palmer and Jiggins, 2015; Mapalo &lt;i&gt;et al.&lt;/i&gt;, 2020)","plainTextFormattedCitation":"(Anderson and Nüsslein-Volhard, 1984; Anderson et al., 1985; Lemaitre et al., 1996; Hoffmann and Reichhart, 2002; Valanne et al., 2011; Palmer and Jiggins, 2015; Mapalo et al., 2020)","previouslyFormattedCitation":"(Anderson and Nüsslein-Volhard, 1984; Anderson &lt;i&gt;et al.&lt;/i&gt;, 1985; Lemaitre &lt;i&gt;et al.&lt;/i&gt;, 1996; Hoffmann and Reichhart, 2002; Valanne &lt;i&gt;et al.&lt;/i&gt;, 2011; Palmer and Jiggins, 2015; Mapalo &lt;i&gt;et al.&lt;/i&gt;, 2020)"},"properties":{"noteIndex":0},"schema":"https://github.com/citation-style-language/schema/raw/master/csl-citation.json"}</w:instrText>
            </w:r>
            <w:r w:rsidRPr="00805017">
              <w:rPr>
                <w:rFonts w:ascii="Arial" w:hAnsi="Arial" w:cs="Arial"/>
                <w:color w:val="000000" w:themeColor="text1"/>
                <w:sz w:val="18"/>
                <w:szCs w:val="18"/>
                <w:lang w:val="en-US"/>
              </w:rPr>
              <w:fldChar w:fldCharType="separate"/>
            </w:r>
            <w:r w:rsidRPr="00805017">
              <w:rPr>
                <w:rFonts w:ascii="Arial" w:hAnsi="Arial" w:cs="Arial"/>
                <w:noProof/>
                <w:color w:val="000000" w:themeColor="text1"/>
                <w:sz w:val="18"/>
                <w:szCs w:val="18"/>
                <w:lang w:val="en-US"/>
              </w:rPr>
              <w:t xml:space="preserve">(Anderson and Nüsslein-Volhard, 1984; Anderson </w:t>
            </w:r>
            <w:r w:rsidRPr="00805017">
              <w:rPr>
                <w:rFonts w:ascii="Arial" w:hAnsi="Arial" w:cs="Arial"/>
                <w:i/>
                <w:noProof/>
                <w:color w:val="000000" w:themeColor="text1"/>
                <w:sz w:val="18"/>
                <w:szCs w:val="18"/>
                <w:lang w:val="en-US"/>
              </w:rPr>
              <w:t>et al.</w:t>
            </w:r>
            <w:r w:rsidRPr="00805017">
              <w:rPr>
                <w:rFonts w:ascii="Arial" w:hAnsi="Arial" w:cs="Arial"/>
                <w:noProof/>
                <w:color w:val="000000" w:themeColor="text1"/>
                <w:sz w:val="18"/>
                <w:szCs w:val="18"/>
                <w:lang w:val="en-US"/>
              </w:rPr>
              <w:t xml:space="preserve">, 1985; Lemaitre </w:t>
            </w:r>
            <w:r w:rsidRPr="00805017">
              <w:rPr>
                <w:rFonts w:ascii="Arial" w:hAnsi="Arial" w:cs="Arial"/>
                <w:i/>
                <w:noProof/>
                <w:color w:val="000000" w:themeColor="text1"/>
                <w:sz w:val="18"/>
                <w:szCs w:val="18"/>
                <w:lang w:val="en-US"/>
              </w:rPr>
              <w:t>et al.</w:t>
            </w:r>
            <w:r w:rsidRPr="00805017">
              <w:rPr>
                <w:rFonts w:ascii="Arial" w:hAnsi="Arial" w:cs="Arial"/>
                <w:noProof/>
                <w:color w:val="000000" w:themeColor="text1"/>
                <w:sz w:val="18"/>
                <w:szCs w:val="18"/>
                <w:lang w:val="en-US"/>
              </w:rPr>
              <w:t xml:space="preserve">, 1996; Hoffmann and Reichhart, 2002; Valanne </w:t>
            </w:r>
            <w:r w:rsidRPr="00805017">
              <w:rPr>
                <w:rFonts w:ascii="Arial" w:hAnsi="Arial" w:cs="Arial"/>
                <w:i/>
                <w:noProof/>
                <w:color w:val="000000" w:themeColor="text1"/>
                <w:sz w:val="18"/>
                <w:szCs w:val="18"/>
                <w:lang w:val="en-US"/>
              </w:rPr>
              <w:t>et al.</w:t>
            </w:r>
            <w:r w:rsidRPr="00805017">
              <w:rPr>
                <w:rFonts w:ascii="Arial" w:hAnsi="Arial" w:cs="Arial"/>
                <w:noProof/>
                <w:color w:val="000000" w:themeColor="text1"/>
                <w:sz w:val="18"/>
                <w:szCs w:val="18"/>
                <w:lang w:val="en-US"/>
              </w:rPr>
              <w:t xml:space="preserve">, 2011; Palmer and Jiggins, 2015; Mapalo </w:t>
            </w:r>
            <w:r w:rsidRPr="00805017">
              <w:rPr>
                <w:rFonts w:ascii="Arial" w:hAnsi="Arial" w:cs="Arial"/>
                <w:i/>
                <w:noProof/>
                <w:color w:val="000000" w:themeColor="text1"/>
                <w:sz w:val="18"/>
                <w:szCs w:val="18"/>
                <w:lang w:val="en-US"/>
              </w:rPr>
              <w:t>et al.</w:t>
            </w:r>
            <w:r w:rsidRPr="00805017">
              <w:rPr>
                <w:rFonts w:ascii="Arial" w:hAnsi="Arial" w:cs="Arial"/>
                <w:noProof/>
                <w:color w:val="000000" w:themeColor="text1"/>
                <w:sz w:val="18"/>
                <w:szCs w:val="18"/>
                <w:lang w:val="en-US"/>
              </w:rPr>
              <w:t>, 2020)</w:t>
            </w:r>
            <w:r w:rsidRPr="00805017">
              <w:rPr>
                <w:rFonts w:ascii="Arial" w:hAnsi="Arial" w:cs="Arial"/>
                <w:color w:val="000000" w:themeColor="text1"/>
                <w:sz w:val="18"/>
                <w:szCs w:val="18"/>
                <w:lang w:val="en-US"/>
              </w:rPr>
              <w:fldChar w:fldCharType="end"/>
            </w:r>
          </w:p>
        </w:tc>
        <w:tc>
          <w:tcPr>
            <w:tcW w:w="609" w:type="pct"/>
            <w:vAlign w:val="center"/>
          </w:tcPr>
          <w:p w14:paraId="627BA117"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657" w:type="pct"/>
            <w:vAlign w:val="center"/>
          </w:tcPr>
          <w:p w14:paraId="3BDFDA5B"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72" w:type="pct"/>
            <w:vAlign w:val="center"/>
          </w:tcPr>
          <w:p w14:paraId="15C89739"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46" w:type="pct"/>
            <w:vAlign w:val="center"/>
          </w:tcPr>
          <w:p w14:paraId="4B5E2818"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93" w:type="pct"/>
            <w:vAlign w:val="center"/>
          </w:tcPr>
          <w:p w14:paraId="7634F802"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fldChar w:fldCharType="begin" w:fldLock="1"/>
            </w:r>
            <w:r w:rsidRPr="00805017">
              <w:rPr>
                <w:rFonts w:ascii="Arial" w:hAnsi="Arial" w:cs="Arial"/>
                <w:color w:val="000000" w:themeColor="text1"/>
                <w:sz w:val="18"/>
                <w:szCs w:val="18"/>
                <w:lang w:val="en-US"/>
              </w:rPr>
              <w:instrText>ADDIN CSL_CITATION {"citationItems":[{"id":"ITEM-1","itemData":{"DOI":"10.4049/jimmunol.1002302","ISSN":"0022-1767","PMID":"21209287","abstract":"The identification of the Drosophila melanogaster Toll pathway cascade and the subsequent characterization of TLRs have reshaped our understanding of the immune system. Ever since, Drosophila NF-κB signaling has been actively studied. In flies, the Toll receptors are essential for embryonic development and immunity. In total, nine Toll receptors are encoded in the Drosophila genome, including the Toll pathway receptor Toll. The induction of the Toll pathway by gram-positive bacteria or fungi leads to the activation of cellular immunity as well as the systemic production of certain antimicrobial peptides. The Toll receptor is activated when the proteolytically cleaved ligand Spatzle binds to the receptor, eventually leading to the activation of the NF-κB factors Dorsal-related immunity factor or Dorsal. In this study, we review the current literature on the Toll pathway and compare the Drosophila and mammalian NF-κB pathways.","author":[{"dropping-particle":"","family":"Valanne","given":"Susanna","non-dropping-particle":"","parse-names":false,"suffix":""},{"dropping-particle":"","family":"Wang","given":"Jing-Huan","non-dropping-particle":"","parse-names":false,"suffix":""},{"dropping-particle":"","family":"Rämet","given":"Mika","non-dropping-particle":"","parse-names":false,"suffix":""}],"container-title":"The Journal of Immunology","id":"ITEM-1","issue":"2","issued":{"date-parts":[["2011","1","15"]]},"page":"649-656","title":"The &lt;i&gt;Drosophila&lt;/i&gt; Toll signaling pathway","type":"article-journal","volume":"186"},"uris":["http://www.mendeley.com/documents/?uuid=04102f86-7144-49b8-ba1a-e84f356e20dc"]}],"mendeley":{"formattedCitation":"(Valanne &lt;i&gt;et al.&lt;/i&gt;, 2011)","plainTextFormattedCitation":"(Valanne et al., 2011)","previouslyFormattedCitation":"(Valanne &lt;i&gt;et al.&lt;/i&gt;, 2011)"},"properties":{"noteIndex":0},"schema":"https://github.com/citation-style-language/schema/raw/master/csl-citation.json"}</w:instrText>
            </w:r>
            <w:r w:rsidRPr="00805017">
              <w:rPr>
                <w:rFonts w:ascii="Arial" w:hAnsi="Arial" w:cs="Arial"/>
                <w:color w:val="000000" w:themeColor="text1"/>
                <w:sz w:val="18"/>
                <w:szCs w:val="18"/>
                <w:lang w:val="en-US"/>
              </w:rPr>
              <w:fldChar w:fldCharType="separate"/>
            </w:r>
            <w:r w:rsidRPr="00805017">
              <w:rPr>
                <w:rFonts w:ascii="Arial" w:hAnsi="Arial" w:cs="Arial"/>
                <w:noProof/>
                <w:color w:val="000000" w:themeColor="text1"/>
                <w:sz w:val="18"/>
                <w:szCs w:val="18"/>
                <w:lang w:val="en-US"/>
              </w:rPr>
              <w:t xml:space="preserve">(Valanne </w:t>
            </w:r>
            <w:r w:rsidRPr="00805017">
              <w:rPr>
                <w:rFonts w:ascii="Arial" w:hAnsi="Arial" w:cs="Arial"/>
                <w:i/>
                <w:noProof/>
                <w:color w:val="000000" w:themeColor="text1"/>
                <w:sz w:val="18"/>
                <w:szCs w:val="18"/>
                <w:lang w:val="en-US"/>
              </w:rPr>
              <w:t>et al.</w:t>
            </w:r>
            <w:r w:rsidRPr="00805017">
              <w:rPr>
                <w:rFonts w:ascii="Arial" w:hAnsi="Arial" w:cs="Arial"/>
                <w:noProof/>
                <w:color w:val="000000" w:themeColor="text1"/>
                <w:sz w:val="18"/>
                <w:szCs w:val="18"/>
                <w:lang w:val="en-US"/>
              </w:rPr>
              <w:t>, 2011)</w:t>
            </w:r>
            <w:r w:rsidRPr="00805017">
              <w:rPr>
                <w:rFonts w:ascii="Arial" w:hAnsi="Arial" w:cs="Arial"/>
                <w:color w:val="000000" w:themeColor="text1"/>
                <w:sz w:val="18"/>
                <w:szCs w:val="18"/>
                <w:lang w:val="en-US"/>
              </w:rPr>
              <w:fldChar w:fldCharType="end"/>
            </w:r>
          </w:p>
        </w:tc>
      </w:tr>
      <w:tr w:rsidR="001D7AD3" w:rsidRPr="00805017" w14:paraId="6B49FA47" w14:textId="77777777" w:rsidTr="00605F18">
        <w:tc>
          <w:tcPr>
            <w:tcW w:w="470" w:type="pct"/>
          </w:tcPr>
          <w:p w14:paraId="58BFC9DE"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TLR</w:t>
            </w:r>
          </w:p>
        </w:tc>
        <w:tc>
          <w:tcPr>
            <w:tcW w:w="614" w:type="pct"/>
            <w:vAlign w:val="center"/>
          </w:tcPr>
          <w:p w14:paraId="50B03180"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id":"ITEM-2","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-2","issued":{"date-parts":[["2021"]]},"title":"The evolution of the metazoan Toll receptor family and its expression during protostome development","type":"article-journal"},"uris":["http://www.mendeley.com/documents/?uuid=d956b8cf-e356-4440-ad24-9580481193cb"]}],"mendeley":{"formattedCitation":"(Mapalo &lt;i&gt;et al.&lt;/i&gt;, 2020; Orús-Alcalde &lt;i&gt;et al.&lt;/i&gt;, 2021)","plainTextFormattedCitation":"(Mapalo et al., 2020; Orús-Alcalde et al., 2021)","previouslyFormattedCitation":"(Mapalo &lt;i&gt;et al.&lt;/i&gt;, 2020; Orús-Alcalde &lt;i&gt;et al.&lt;/i&gt;, 2021)"},"properties":{"noteIndex":0},"schema":"https://github.com/citation-style-language/schema/raw/master/csl-citation.json"}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2020; Orús-Alcalde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2021)</w:t>
            </w:r>
            <w:r w:rsidRPr="00805017">
              <w:rPr>
                <w:rFonts w:ascii="Arial" w:hAnsi="Arial" w:cs="Arial"/>
                <w:color w:val="000000" w:themeColor="text1"/>
                <w:sz w:val="18"/>
                <w:szCs w:val="18"/>
              </w:rPr>
              <w:fldChar w:fldCharType="end"/>
            </w:r>
          </w:p>
        </w:tc>
        <w:tc>
          <w:tcPr>
            <w:tcW w:w="839" w:type="pct"/>
            <w:vMerge/>
            <w:vAlign w:val="center"/>
          </w:tcPr>
          <w:p w14:paraId="1267CBE7" w14:textId="77777777" w:rsidR="001D7AD3" w:rsidRPr="00805017" w:rsidRDefault="001D7AD3" w:rsidP="00605F18">
            <w:pPr>
              <w:jc w:val="center"/>
              <w:rPr>
                <w:rFonts w:ascii="Arial" w:hAnsi="Arial" w:cs="Arial"/>
                <w:color w:val="000000" w:themeColor="text1"/>
                <w:sz w:val="18"/>
                <w:szCs w:val="18"/>
                <w:lang w:val="en-US"/>
              </w:rPr>
            </w:pPr>
          </w:p>
        </w:tc>
        <w:tc>
          <w:tcPr>
            <w:tcW w:w="609" w:type="pct"/>
            <w:vAlign w:val="center"/>
          </w:tcPr>
          <w:p w14:paraId="33060C93"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id":"ITEM-2","itemData":{"DOI":"10.1101/2021.02.01.429095","author":[{"dropping-particle":"","family":"Orús-Alcalde","given":"Andrea","non-dropping-particle":"","parse-names":false,"suffix":""},{"dropping-particle":"","family":"Lu","given":"Tsai-ming","non-dropping-particle":"","parse-names":false,"suffix":""},{"dropping-particle":"","family":"Hejnol","given":"Andreas","non-dropping-particle":"","parse-names":false,"suffix":""}],"container-title":"BioRxiv","id":"ITEM-2","issued":{"date-parts":[["2021"]]},"title":"The evolution of the metazoan Toll receptor family and its expression during protostome development","type":"article-journal"},"uris":["http://www.mendeley.com/documents/?uuid=d956b8cf-e356-4440-ad24-9580481193cb"]}],"mendeley":{"formattedCitation":"(Mapalo &lt;i&gt;et al.&lt;/i&gt;, 2020; Orús-Alcalde &lt;i&gt;et al.&lt;/i&gt;, 2021)","plainTextFormattedCitation":"(Mapalo et al., 2020; Orús-Alcalde et al., 2021)","previouslyFormattedCitation":"(Mapalo &lt;i&gt;et al.&lt;/i&gt;, 2020; Orús-Alcalde &lt;i&gt;et al.&lt;/i&gt;, 2021)"},"properties":{"noteIndex":0},"schema":"https://github.com/citation-style-language/schema/raw/master/csl-citation.json"}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2020; Orús-Alcalde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2021)</w:t>
            </w:r>
            <w:r w:rsidRPr="00805017">
              <w:rPr>
                <w:rFonts w:ascii="Arial" w:hAnsi="Arial" w:cs="Arial"/>
                <w:color w:val="000000" w:themeColor="text1"/>
                <w:sz w:val="18"/>
                <w:szCs w:val="18"/>
              </w:rPr>
              <w:fldChar w:fldCharType="end"/>
            </w:r>
          </w:p>
        </w:tc>
        <w:tc>
          <w:tcPr>
            <w:tcW w:w="657" w:type="pct"/>
            <w:vMerge w:val="restart"/>
            <w:vAlign w:val="center"/>
          </w:tcPr>
          <w:p w14:paraId="0A1D2AF6"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{"citationItems":[{"id":"ITEM-1","itemData":{"DOI":"10.1016/j.ydbio.2006.08.065","ISSN":"00121606","abstract":"Echinoderms occupy a critical and largely unexplored phylogenetic vantage point from which to infer both the early evolution of bilaterian immunity and the underpinnings of the vertebrate adaptive immune system. Here we present an initial survey of the purple sea urchin genome for genes associated with immunity. An elaborate repertoire of potential immune receptors, regulators and effectors is present, including unprecedented expansions of innate pathogen recognition genes. These include a diverse array of 222 Toll-like receptor (TLR) genes and a coordinate expansion of directly associated signaling adaptors. Notably, a subset of sea urchin TLR genes encodes receptors with structural characteristics previously identified only in protostomes. A similarly expanded set of 203 NOD/NALP-like cytoplasmic recognition proteins is present. These genes have previously been identified only in vertebrates where they are represented in much lower numbers. Genes that mediate the alternative and lectin complement pathways are described, while gene homologues of the terminal pathway are not present. We have also identified several homologues of genes that function in jawed vertebrate adaptive immunity. The most striking of these is a gene cluster with similarity to the jawed vertebrate Recombination Activating Genes 1 and 2 (RAG1/2). Sea urchins are long-lived, complex organisms and these findings reveal an innate immune system of unprecedented complexity. Whether the presumably intense selective processes that molded these gene families also gave rise to novel immune mechanisms akin to adaptive systems remains to be seen. The genome sequence provides immediate opportunities to apply the advantages of the sea urchin model toward problems in developmental and evolutionary immunobiology. © 2006 Elsevier Inc. All rights reserved.","author":[{"dropping-particle":"","family":"Hibino","given":"Taku","non-dropping-particle":"","parse-names":false,"suffix":""},{"dropping-particle":"","family":"Loza-Coll","given":"Mariano","non-dropping-particle":"","parse-names":false,"suffix":""},{"dropping-particle":"","family":"Messier","given":"Cynthia","non-dropping-particle":"","parse-names":false,"suffix":""},{"dropping-particle":"","family":"Majeske","given":"Audrey J.","non-dropping-particle":"","parse-names":false,"suffix":""},{"dropping-particle":"","family":"Cohen","given":"Avis H.","non-dropping-particle":"","parse-names":false,"suffix":""},{"dropping-particle":"","family":"Terwilliger","given":"David P.","non-dropping-particle":"","parse-names":false,"suffix":""},{"dropping-particle":"","family":"Buckley","given":"Katherine M.","non-dropping-particle":"","parse-names":false,"suffix":""},{"dropping-particle":"","family":"Brockton","given":"Virginia","non-dropping-particle":"","parse-names":false,"suffix":""},{"dropping-particle":"V.","family":"Nair","given":"Sham","non-dropping-particle":"","parse-names":false,"suffix":""},{"dropping-particle":"","family":"Berney","given":"Kevin","non-dropping-particle":"","parse-names":false,"suffix":""},{"dropping-particle":"","family":"Fugmann","given":"Sebastian D.","non-dropping-particle":"","parse-names":false,"suffix":""},{"dropping-particle":"","family":"Anderson","given":"Michele K.","non-dropping-particle":"","parse-names":false,"suffix":""},{"dropping-particle":"","family":"Pancer","given":"Zeev","non-dropping-particle":"","parse-names":false,"suffix":""},{"dropping-particle":"","family":"Cameron","given":"R. Andrew","non-dropping-particle":"","parse-names":false,"suffix":""},{"dropping-particle":"","family":"Smith","given":"L. Courtney","non-dropping-particle":"","parse-names":false,"suffix":""},{"dropping-particle":"","family":"Rast","given":"Jonathan P.","non-dropping-particle":"","parse-names":false,"suffix":""}],"container-title":"Developmental Biology","id":"ITEM-1","issue":"1","issued":{"date-parts":[["2006","12"]]},"note":"- P-type/V-type classification","page":"349-365","title":"The immune gene repertoire encoded in the purple sea urchin genome","type":"article-journal","volume":"300"},"uris":["http://www.mendeley.com/documents/?uuid=e5ee6e2f-6c5d-472b-9c8c-5af2fb549c0d"]},{"id":"ITEM-2","itemData":{"DOI":"10.1073/pnas.1617722114","ISSN":"0027-8424","abstract":"Animals have evolved an array of pattern-recognition receptor families essential for recognizing conserved molecular motifs characteristic of pathogenic microbes. One such family is the Toll-like receptors (TLRs). On pathogen binding, TLRs initiate specialized cytokine signaling catered to the class of invading pathogen. This signaling is pivotal for activating adaptive immunity in vertebrates, suggesting a close evolutionary relationship between innate and adaptive immune systems. Despite significant advances toward understanding TLR-facilitated immunity in vertebrates, knowledge of TLR pathway evolution in other deuterostomes is limited. By analyzing genomes and transcriptomes across 37 deuterostome taxa, we shed light on the evolution and diversity of TLR pathway signaling elements. Here, we show that the deuterostome ancestor possessed a molecular toolkit homologous to that which drives canonical MYD88-dependent TLR signaling in contemporary mammalian lineages. We also provide evidence that TLR3-facilitated antiviral signaling predates the origin of its TCAM1 dependence recognized in the vertebrates. SARM1, a negative regulator of TCAM1-dependent pathways in vertebrates, was also found to be present across all major deuterostome lineages despite the apparent absence of TCAM1 in invertebrate deuterostomes. Whether the presence of SARM1 is the result of its role in immunity regulation, neuron physiology, or a function of both is unclear. Additionally, Bayesian phylogenetic analyses corroborate several lineage-specific TLR gene expansions in urchins and cephalochordates. Importantly, our results underscore the need to sample across taxonomic groups to understand evolutionary patterns of the innate immunity foundation on which complex immunological novelties arose.","author":[{"dropping-particle":"","family":"Tassia","given":"Michael G.","non-dropping-particle":"","parse-names":false,"suffix":""},{"dropping-particle":"V.","family":"Whelan","given":"Nathan","non-dropping-particle":"","parse-names":false,"suffix":""},{"dropping-particle":"","family":"Halanych","given":"Kenneth M.","non-dropping-particle":"","parse-names":false,"suffix":""}],"container-title":"Proceedings of the National Academy of Sciences","id":"ITEM-2","issue":"27","issued":{"date-parts":[["2017","7","3"]]},"page":"7055-7060","title":"Toll-like receptor pathway evolution in deuterostomes","type":"article-journal","volume":"114"},"uris":["http://www.mendeley.com/documents/?uuid=b1a69284-1de8-45dd-b308-fecdd6d7d422"]}],"mendeley":{"formattedCitation":"(Hibino &lt;i&gt;et al.&lt;/i&gt;, 2006; Tassia &lt;i&gt;et al.&lt;/i&gt;, 2017)","plainTextFormattedCitation":"(Hibino et al., 2006; Tassia et al., 2017)","previouslyFormattedCitation":"(Hibino &lt;i&gt;et al.&lt;/i&gt;, 2006; Tassia &lt;i&gt;et al.&lt;/i&gt;, 2017)"},"properties":{"noteIndex":0},"schema":"https://github.com/citation-style-language/schema/raw/master/csl-citation.json"}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(Hibino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2006; Tassia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2017)</w:t>
            </w:r>
            <w:r w:rsidRPr="00805017">
              <w:rPr>
                <w:rFonts w:ascii="Arial" w:hAnsi="Arial" w:cs="Arial"/>
                <w:color w:val="000000" w:themeColor="text1"/>
                <w:sz w:val="18"/>
                <w:szCs w:val="18"/>
              </w:rPr>
              <w:fldChar w:fldCharType="end"/>
            </w:r>
          </w:p>
        </w:tc>
        <w:tc>
          <w:tcPr>
            <w:tcW w:w="572" w:type="pct"/>
            <w:vAlign w:val="center"/>
          </w:tcPr>
          <w:p w14:paraId="1C05E4C1"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{"citationItems":[{"id":"ITEM-1","itemData":{"DOI":"10.3389/fimmu.2018.02525","ISSN":"1664-3224","abstract":"Toll-like receptors (TLRs) are important for raising innate immune responses in both invertebrates and vertebrates. Amphioxus belongs to an ancient chordate lineage which shares key features with vertebrates. The genomic research on TLR genes in Branchiostoma floridae and Branchiostoma belcheri reveals the expansion of TLRs in amphioxus. However, the repertoire of TLRs in Branchiostoma lanceolatum has not been studied and the functionality of amphioxus TLRs has not been reported. We have identified from transcriptomic data 30 new putative TLRs in B. lanceolatum and all of them are transcribed in adult amphioxus. Phylogenetic analysis showed that the repertoire of TLRs consists of both non-vertebrate and vertebrate-like TLRs. It also indicated a lineage-specific expansion in orthologous clusters of the vertebrate TLR11 family. We did not detect any representatives of the vertebrate TLR1, TLR3, TLR4, TLR5 and TLR7 families. To gain insight into these TLRs, we studied in depth a particular TLR highly similar to a B. belcheri gene annotated as bbtTLR1. The phylogenetic analysis of this novel BlTLR showed that it clusters with the vertebrate TLR11 family and it might be more related to TLR13 subfamily according to similar domain architecture. Transient and stable expression in HEK293 cells showed that the BlTLR localizes on the plasma membrane, but it did not respond to the most common mammalian TLR ligands. However, when the ectodomain of BlTLR is fused to the TIR domain of human TLR2, the chimeric protein could indeed induce NF-κB transactivation in response to the viral ligand Poly I:C, also indicating that in amphioxus, specific accessory proteins are needed for downstream activation. Based on the phylogenetic, subcellular localization and functional analysis, we propose that the novel BlTLR might be classified as an antiviral receptor sharing at least partly the functions performed by vertebrate TLR22. TLR22 is thought to be viral teleost-specific TLR but here we demonstrate that teleosts and amphioxus TLR22-like probably shared a common ancestor. Additional functional studies with other lancelet TLR genes will enrich our understanding of the immune response in amphioxus and will provide a unique perspective on the evolution of the immune system.","author":[{"dropping-particle":"","family":"Ji","given":"Jie","non-dropping-particle":"","parse-names":false,"suffix":""},{"dropping-particle":"","family":"Ramos-Vicente","given":"David","non-dropping-particle":"","parse-names":false,"suffix":""},{"dropping-particle":"","family":"Navas-Pérez","given":"Enrique","non-dropping-particle":"","parse-names":false,"suffix":""},{"dropping-particle":"","family":"Herrera-Úbeda","given":"Carlos","non-dropping-particle":"","parse-names":false,"suffix":""},{"dropping-particle":"","family":"Lizcano","given":"José Miguel","non-dropping-particle":"","parse-names":false,"suffix":""},{"dropping-particle":"","family":"Garcia-Fernàndez","given":"Jordi","non-dropping-particle":"","parse-names":false,"suffix":""},{"dropping-particle":"","family":"Escrivà","given":"Hector","non-dropping-particle":"","parse-names":false,"suffix":""},{"dropping-particle":"","family":"Bayés","given":"Àlex","non-dropping-particle":"","parse-names":false,"suffix":""},{"dropping-particle":"","family":"Roher","given":"Nerea","non-dropping-particle":"","parse-names":false,"suffix":""}],"container-title":"Frontiers in Immunology","id":"ITEM-1","issued":{"date-parts":[["2018","11","2"]]},"page":"1-15","title":"Characterization of the TLR family in &lt;i&gt;Branchiostoma lanceolatum&lt;/i&gt; and discovery of a novel TLR22-like involved in dsRNA recognition in amphioxus","type":"article-journal","volume":"9"},"uris":["http://www.mendeley.com/documents/?uuid=cdfdf99c-4b9c-407e-b1be-83e6826ab854"]},{"id":"ITEM-2","itemData":{"DOI":"10.1073/pnas.1617722114","ISSN":"0027-8424","abstract":"Animals have evolved an array of pattern-recognition receptor families essential for recognizing conserved molecular motifs characteristic of pathogenic microbes. One such family is the Toll-like receptors (TLRs). On pathogen binding, TLRs initiate specialized cytokine signaling catered to the class of invading pathogen. This signaling is pivotal for activating adaptive immunity in vertebrates, suggesting a close evolutionary relationship between innate and adaptive immune systems. Despite significant advances toward understanding TLR-facilitated immunity in vertebrates, knowledge of TLR pathway evolution in other deuterostomes is limited. By analyzing genomes and transcriptomes across 37 deuterostome taxa, we shed light on the evolution and diversity of TLR pathway signaling elements. Here, we show that the deuterostome ancestor possessed a molecular toolkit homologous to that which drives canonical MYD88-dependent TLR signaling in contemporary mammalian lineages. We also provide evidence that TLR3-facilitated antiviral signaling predates the origin of its TCAM1 dependence recognized in the vertebrates. SARM1, a negative regulator of TCAM1-dependent pathways in vertebrates, was also found to be present across all major deuterostome lineages despite the apparent absence of TCAM1 in invertebrate deuterostomes. Whether the presence of SARM1 is the result of its role in immunity regulation, neuron physiology, or a function of both is unclear. Additionally, Bayesian phylogenetic analyses corroborate several lineage-specific TLR gene expansions in urchins and cephalochordates. Importantly, our results underscore the need to sample across taxonomic groups to understand evolutionary patterns of the innate immunity foundation on which complex immunological novelties arose.","author":[{"dropping-particle":"","family":"Tassia","given":"Michael G.","non-dropping-particle":"","parse-names":false,"suffix":""},{"dropping-particle":"V.","family":"Whelan","given":"Nathan","non-dropping-particle":"","parse-names":false,"suffix":""},{"dropping-particle":"","family":"Halanych","given":"Kenneth M.","non-dropping-particle":"","parse-names":false,"suffix":""}],"container-title":"Proceedings of the National Academy of Sciences","id":"ITEM-2","issue":"27","issued":{"date-parts":[["2017","7","3"]]},"page":"7055-7060","title":"Toll-like receptor pathway evolution in deuterostomes","type":"article-journal","volume":"114"},"uris":["http://www.mendeley.com/documents/?uuid=b1a69284-1de8-45dd-b308-fecdd6d7d422"]}],"mendeley":{"formattedCitation":"(Tassia &lt;i&gt;et al.&lt;/i&gt;, 2017; Ji &lt;i&gt;et al.&lt;/i&gt;, 2018)","plainTextFormattedCitation":"(Tassia et al., 2017; Ji et al., 2018)","previouslyFormattedCitation":"(Tassia &lt;i&gt;et al.&lt;/i&gt;, 2017; Ji &lt;i&gt;et al.&lt;/i&gt;, 2018)"},"properties":{"noteIndex":0},"schema":"https://github.com/citation-style-language/schema/raw/master/csl-citation.json"}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(Tassia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2017; Ji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2018)</w:t>
            </w:r>
            <w:r w:rsidRPr="00805017">
              <w:rPr>
                <w:rFonts w:ascii="Arial" w:hAnsi="Arial" w:cs="Arial"/>
                <w:color w:val="000000" w:themeColor="text1"/>
                <w:sz w:val="18"/>
                <w:szCs w:val="18"/>
              </w:rPr>
              <w:fldChar w:fldCharType="end"/>
            </w:r>
          </w:p>
        </w:tc>
        <w:tc>
          <w:tcPr>
            <w:tcW w:w="646" w:type="pct"/>
            <w:vAlign w:val="center"/>
          </w:tcPr>
          <w:p w14:paraId="29257B3C"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{"citationItems":[{"id":"ITEM-1","itemData":{"DOI":"10.1126/science.1194167","ISSN":"0036-8075","abstract":"Genomes of animals as different as sponges and humans show conservation of global architecture. Here we show that multiple genomic features including transposon diversity, developmental gene repertoire, physical gene order, and intron-exon organization are shattered in the tunicate Oikopleura, belonging to the sister group of vertebrates and retaining chordate morphology. Ancestral architecture of animal genomes can be deeply modified and may therefore be largely nonadaptive. This rapidly evolving animal lineage thus offers unique perspectives on the level of genome plasticity. It also illuminates issues as fundamental as the mechanisms of intron gain.","author":[{"dropping-particle":"","family":"Denoeud","given":"France","non-dropping-particle":"","parse-names":false,"suffix":""},{"dropping-particle":"","family":"Henriet","given":"Simon","non-dropping-particle":"","parse-names":false,"suffix":""},{"dropping-particle":"","family":"Mungpakdee","given":"Sutada","non-dropping-particle":"","parse-names":false,"suffix":""},{"dropping-particle":"","family":"Aury","given":"J.-M.","non-dropping-particle":"","parse-names":false,"suffix":""},{"dropping-particle":"","family":"Silva","given":"Corinne","non-dropping-particle":"Da","parse-names":false,"suffix":""},{"dropping-particle":"","family":"Brinkmann","given":"Henner","non-dropping-particle":"","parse-names":false,"suffix":""},{"dropping-particle":"","family":"Mikhaleva","given":"Jana","non-dropping-particle":"","parse-names":false,"suffix":""},{"dropping-particle":"","family":"Olsen","given":"Lisbeth Charlotte","non-dropping-particle":"","parse-names":false,"suffix":""},{"dropping-particle":"","family":"Jubin","given":"Claire","non-dropping-particle":"","parse-names":false,"suffix":""},{"dropping-particle":"","family":"Canestro","given":"C.","non-dropping-particle":"","parse-names":false,"suffix":""},{"dropping-particle":"","family":"Bouquet","given":"J.-M.","non-dropping-particle":"","parse-names":false,"suffix":""},{"dropping-particle":"","family":"Danks","given":"Gemma","non-dropping-particle":"","parse-names":false,"suffix":""},{"dropping-particle":"","family":"Poulain","given":"Julie","non-dropping-particle":"","parse-names":false,"suffix":""},{"dropping-particle":"","family":"Campsteijn","given":"Coen","non-dropping-particle":"","parse-names":false,"suffix":""},{"dropping-particle":"","family":"Adamski","given":"Marcin","non-dropping-particle":"","parse-names":false,"suffix":""},{"dropping-particle":"","family":"Cross","given":"Ismael","non-dropping-particle":"","parse-names":false,"suffix":""},{"dropping-particle":"","family":"Yadetie","given":"Fekadu","non-dropping-particle":"","parse-names":false,"suffix":""},{"dropping-particle":"","family":"Muffato","given":"Matthieu","non-dropping-particle":"","parse-names":false,"suffix":""},{"dropping-particle":"","family":"Louis","given":"Alexandra","non-dropping-particle":"","parse-names":false,"suffix":""},{"dropping-particle":"","family":"Butcher","given":"Stephen","non-dropping-particle":"","parse-names":false,"suffix":""},{"dropping-particle":"","family":"Tsagkogeorga","given":"Georgia","non-dropping-particle":"","parse-names":false,"suffix":""},{"dropping-particle":"","family":"Konrad","given":"Anke","non-dropping-particle":"","parse-names":false,"suffix":""},{"dropping-particle":"","family":"Singh","given":"Sarabdeep","non-dropping-particle":"","parse-names":false,"suffix":""},{"dropping-particle":"","family":"Jensen","given":"Marit Flo","non-dropping-particle":"","parse-names":false,"suffix":""},{"dropping-particle":"","family":"Cong","given":"Evelyne Huynh","non-dropping-particle":"","parse-names":false,"suffix":""},{"dropping-particle":"","family":"Eikeseth-Otteraa","given":"Helen","non-dropping-particle":"","parse-names":false,"suffix":""},{"dropping-particle":"","family":"Noel","given":"Benjamin","non-dropping-particle":"","parse-names":false,"suffix":""},{"dropping-particle":"","family":"Anthouard","given":"Véronique","non-dropping-particle":"","parse-names":false,"suffix":""},{"dropping-particle":"","family":"Porcel","given":"Betina M.","non-dropping-particle":"","parse-names":false,"suffix":""},{"dropping-particle":"","family":"Kachouri-Lafond","given":"Rym","non-dropping-particle":"","parse-names":false,"suffix":""},{"dropping-particle":"","family":"Nishino","given":"Atsuo","non-dropping-particle":"","parse-names":false,"suffix":""},{"dropping-particle":"","family":"Ugolini","given":"Matteo","non-dropping-particle":"","parse-names":false,"suffix":""},{"dropping-particle":"","family":"Chourrout","given":"P.","non-dropping-particle":"","parse-names":false,"suffix":""},{"dropping-particle":"","family":"Nishida","given":"Hiroki","non-dropping-particle":"","parse-names":false,"suffix":""},{"dropping-particle":"","family":"Aasland","given":"Rein","non-dropping-particle":"","parse-names":false,"suffix":""},{"dropping-particle":"","family":"Huzurbazar","given":"Snehalata","non-dropping-particle":"","parse-names":false,"suffix":""},{"dropping-particle":"","family":"Westhof","given":"Eric","non-dropping-particle":"","parse-names":false,"suffix":""},{"dropping-particle":"","family":"Delsuc","given":"Frédéric","non-dropping-particle":"","parse-names":false,"suffix":""},{"dropping-particle":"","family":"Lehrach","given":"Hans","non-dropping-particle":"","parse-names":false,"suffix":""},{"dropping-particle":"","family":"Reinhardt","given":"Richard","non-dropping-particle":"","parse-names":false,"suffix":""},{"dropping-particle":"","family":"Weissenbach","given":"Jean","non-dropping-particle":"","parse-names":false,"suffix":""},{"dropping-particle":"","family":"Roy","given":"Scott W.","non-dropping-particle":"","parse-names":false,"suffix":""},{"dropping-particle":"","family":"Artiguenave","given":"François","non-dropping-particle":"","parse-names":false,"suffix":""},{"dropping-particle":"","family":"Postlethwait","given":"John H.","non-dropping-particle":"","parse-names":false,"suffix":""},{"dropping-particle":"","family":"Manak","given":"J. Robert","non-dropping-particle":"","parse-names":false,"suffix":""},{"dropping-particle":"","family":"Thompson","given":"Eric M.","non-dropping-particle":"","parse-names":false,"suffix":""},{"dropping-particle":"","family":"Jaillon","given":"Olivier","non-dropping-particle":"","parse-names":false,"suffix":""},{"dropping-particle":"","family":"Pasquier","given":"Louis","non-dropping-particle":"Du","parse-names":false,"suffix":""},{"dropping-particle":"","family":"Boudinot","given":"Pierre","non-dropping-particle":"","parse-names":false,"suffix":""},{"dropping-particle":"","family":"Liberles","given":"David A.","non-dropping-particle":"","parse-names":false,"suffix":""},{"dropping-particle":"","family":"Volff","given":"J.-N.","non-dropping-particle":"","parse-names":false,"suffix":""},{"dropping-particle":"","family":"Philippe","given":"Hervé","non-dropping-particle":"","parse-names":false,"suffix":""},{"dropping-particle":"","family":"Lenhard","given":"Boris","non-dropping-particle":"","parse-names":false,"suffix":""},{"dropping-particle":"","family":"Crollius","given":"Hugues Roest","non-dropping-particle":"","parse-names":false,"suffix":""},{"dropping-particle":"","family":"Wincker","given":"Patrick","non-dropping-particle":"","parse-names":false,"suffix":""},{"dropping-particle":"","family":"Chourrout","given":"Daniel","non-dropping-particle":"","parse-names":false,"suffix":""}],"container-title":"Science","id":"ITEM-1","issue":"6009","issued":{"date-parts":[["2010","12","3"]]},"note":"- Sequences in oikopleura","page":"1381-1385","title":"Plasticity of animal genome architecture unmasked by rapid evolution of a pelagic tunicate","type":"article-journal","volume":"330"},"uris":["http://www.mendeley.com/documents/?uuid=3f0c31d4-59fc-44ae-a3fd-5f4f3167d96e"]},{"id":"ITEM-2","itemData":{"DOI":"10.1074/jbc.M109.032433","ISSN":"0021-9258","abstract":"Key transmembrane proteins in the innate immune system, Toll-like receptors (TLRs), have been suggested to occur in the genome of non-mammalian organisms including invertebrates. However, authentic invertebrate TLRs have been neither structurally nor functionally investigated. In this paper, we originally present the structures, localization, ligand recognition, activities, and inflammatory cytokine production of all TLRs of the ascidian Ciona intestinalis, designated as Ci-TLR1 and Ci-TLR2. The amino acid sequence of Ci-TLR1 and Ci-TLR2 were found to possess unique structural organization with moderate sequence similarity to functionally characterized vertebrate TLRs. ci-tlr1 and ci-tlr2 genes were expressed predominantly in the stomach and intestine as well as in hemocytes. Ci-TLR1 and Ci-TLR2 expressed in HEK293 cells, unlike vertebrate TLRs, were localized to both the plasma membrane and endosomes. Intriguingly, both Ci-TLR1 and Ci-TLR2 stimulate NF-κB induction in response to multiple pathogenic ligands such as double-stranded RNA, and bacterial cell wall components that are differentially recognized by respective vertebrate TLRs, revealing that Ci-TLRs recognize broader pathogen-associated molecular patterns than vertebrate TLRs. The Ci-TLR-stimulating pathogenic ligands also induced the expression of Ci-TNFα in the intestine and stomach where Ci-TLRs are expressed. These results provide evidence that the TLR-triggered innate immune systems are essentially conserved in ascidians, and that Ci-TLRs possess \"hybrid\" biological and immunological functions, compared with vertebrate TLRs. Moreover, it is presumed that chordate TLR ancestors also acquired the Ci-TLR-like multiple cellular localization and pathogen-associated molecular pattern recognition. © 2009 by The American Society for Biochemistry and Molecular Biology, Inc.","author":[{"dropping-particle":"","family":"Sasaki","given":"Naoko","non-dropping-particle":"","parse-names":false,"suffix":""},{"dropping-particle":"","family":"Ogasawara","given":"Michio","non-dropping-particle":"","parse-names":false,"suffix":""},{"dropping-particle":"","family":"Sekiguchi","given":"Toshio","non-dropping-particle":"","parse-names":false,"suffix":""},{"dropping-particle":"","family":"Kusumoto","given":"Shoichi","non-dropping-particle":"","parse-names":false,"suffix":""},{"dropping-particle":"","family":"Satake","given":"Honoo","non-dropping-particle":"","parse-names":false,"suffix":""}],"container-title":"Journal of Biological Chemistry","id":"ITEM-2","issue":"40","issued":{"date-parts":[["2009","10","2"]]},"note":"-Ciona sequences","page":"27336-27343","title":"Toll-like Receptors of the ascidian &lt;i&gt;Ciona intestinalis&lt;/i&gt;","type":"article-journal","volume":"284"},"uris":["http://www.mendeley.com/documents/?uuid=6d755b49-6623-4a73-8638-814e6ccb7e25"]},{"id":"ITEM-3","itemData":{"DOI":"10.1073/pnas.1617722114","ISSN":"0027-8424","abstract":"Animals have evolved an array of pattern-recognition receptor families essential for recognizing conserved molecular motifs characteristic of pathogenic microbes. One such family is the Toll-like receptors (TLRs). On pathogen binding, TLRs initiate specialized cytokine signaling catered to the class of invading pathogen. This signaling is pivotal for activating adaptive immunity in vertebrates, suggesting a close evolutionary relationship between innate and adaptive immune systems. Despite significant advances toward understanding TLR-facilitated immunity in vertebrates, knowledge of TLR pathway evolution in other deuterostomes is limited. By analyzing genomes and transcriptomes across 37 deuterostome taxa, we shed light on the evolution and diversity of TLR pathway signaling elements. Here, we show that the deuterostome ancestor possessed a molecular toolkit homologous to that which drives canonical MYD88-dependent TLR signaling in contemporary mammalian lineages. We also provide evidence that TLR3-facilitated antiviral signaling predates the origin of its TCAM1 dependence recognized in the vertebrates. SARM1, a negative regulator of TCAM1-dependent pathways in vertebrates, was also found to be present across all major deuterostome lineages despite the apparent absence of TCAM1 in invertebrate deuterostomes. Whether the presence of SARM1 is the result of its role in immunity regulation, neuron physiology, or a function of both is unclear. Additionally, Bayesian phylogenetic analyses corroborate several lineage-specific TLR gene expansions in urchins and cephalochordates. Importantly, our results underscore the need to sample across taxonomic groups to understand evolutionary patterns of the innate immunity foundation on which complex immunological novelties arose.","author":[{"dropping-particle":"","family":"Tassia","given":"Michael G.","non-dropping-particle":"","parse-names":false,"suffix":""},{"dropping-particle":"V.","family":"Whelan","given":"Nathan","non-dropping-particle":"","parse-names":false,"suffix":""},{"dropping-particle":"","family":"Halanych","given":"Kenneth M.","non-dropping-particle":"","parse-names":false,"suffix":""}],"container-title":"Proceedings of the National Academy of Sciences","id":"ITEM-3","issue":"27","issued":{"date-parts":[["2017","7","3"]]},"page":"7055-7060","title":"Toll-like receptor pathway evolution in deuterostomes","type":"article-journal","volume":"114"},"uris":["http://www.mendeley.com/documents/?uuid=b1a69284-1de8-45dd-b308-fecdd6d7d422"]}],"mendeley":{"formattedCitation":"(Sasaki &lt;i&gt;et al.&lt;/i&gt;, 2009; Denoeud &lt;i&gt;et al.&lt;/i&gt;, 2010; Tassia &lt;i&gt;et al.&lt;/i&gt;, 2017)","plainTextFormattedCitation":"(Sasaki et al., 2009; Denoeud et al., 2010; Tassia et al., 2017)","previouslyFormattedCitation":"(Sasaki &lt;i&gt;et al.&lt;/i&gt;, 2009; Denoeud &lt;i&gt;et al.&lt;/i&gt;, 2010; Tassia &lt;i&gt;et al.&lt;/i&gt;, 2017)"},"properties":{"noteIndex":0},"schema":"https://github.com/citation-style-language/schema/raw/master/csl-citation.json"}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(Sasaki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2009; Denoeud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2010; Tassia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2017)</w:t>
            </w:r>
            <w:r w:rsidRPr="00805017">
              <w:rPr>
                <w:rFonts w:ascii="Arial" w:hAnsi="Arial" w:cs="Arial"/>
                <w:color w:val="000000" w:themeColor="text1"/>
                <w:sz w:val="18"/>
                <w:szCs w:val="18"/>
              </w:rPr>
              <w:fldChar w:fldCharType="end"/>
            </w:r>
          </w:p>
        </w:tc>
        <w:tc>
          <w:tcPr>
            <w:tcW w:w="593" w:type="pct"/>
            <w:vAlign w:val="center"/>
          </w:tcPr>
          <w:p w14:paraId="1DF56C57"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{"citationItems":[{"id":"ITEM-1","itemData":{"DOI":"10.1038/41131","ISSN":"0028-0836","abstract":"Induction of the adaptive immune response depends on the expression of co-stimulatory molecules and cytokines by antigen-presenting cells. The mechanisms that control the initial induction of these signals upon infection are poorly understood. It has been proposed that their expression is controlled by the non-clonal, or innate, component of immunity that preceded in evolution the development of an adaptive immune system in vertebrates. We report here the cloning and characterization of a human homologue of the Drosophila toll protein (Toll) which has been shown to induce the innate immune response in adult Drosophila. Like Drosophila Toll, human Toll is a type I transmembrane protein with an extracellular domain consisting of a leucine-rich repeat (LRR) domain, and a cytoplasmic domain homologous to the cytoplasmic domain of the human interleukin (IL)-I receptor. Both Drosophila Toll and the IL-1 receptor are known to signal through the NF-κB pathway. We show that a constitutively active mutant of human Toll transfected into human cell lines can induce the activation of NF-κB and the expression of NF-κB- controlled genes for the inflammatory cytokines 1L-1, IL-6 and IL-8, as well as the expression of the costimulatory molecule B7.1, which is required for the activation of naive T cells.","author":[{"dropping-particle":"","family":"Medzhitov","given":"Ruslan","non-dropping-particle":"","parse-names":false,"suffix":""},{"dropping-particle":"","family":"Preston-Hurlburt","given":"Paula","non-dropping-particle":"","parse-names":false,"suffix":""},{"dropping-particle":"","family":"Janeway","given":"Charles A.","non-dropping-particle":"","parse-names":false,"suffix":""}],"container-title":"Nature","id":"ITEM-1","issue":"6640","issued":{"date-parts":[["1997","7"]]},"note":"- First mammal TLR to be discovered --&amp;gt; TLR4 in humans","page":"394-397","title":"A human homologue of the &lt;i&gt;Drosophila&lt;/i&gt; Toll protein signals activation of adaptive immunity","type":"article-journal","volume":"388"},"uris":["http://www.mendeley.com/documents/?uuid=7d2f4c8d-376f-4bb7-a736-8e2d3015c0dd"]},{"id":"ITEM-2","itemData":{"DOI":"10.1073/pnas.95.2.588","ISSN":"0027-8424","PMID":"9435236","abstract":"The discovery of sequence homology between the cytoplasmic domains of Drosophila Toll and human interleukin 1 receptors has sown the conviction that both molecules trigger related signaling pathways tied to the nuclear translocation of Rel-type transcription factors. This conserved signaling scheme governs an evolutionarily ancient immune response in both insects and vertebrates. We report the molecular cloning of a class of putative human receptors with a protein architecture that is similar to Drosophila Toll in both intra- and extracellular segments. Five human Toll-like receptors-named TLRs 1-5-are probably the direct homologs of the fly molecule and, as such, could constitute an important and unrecognized component of innate immunity in humans. Intriguingly, the evolutionary retention of TLRs in vertebrates may indicate another role-akin to Toll in the dorsoventralization of the Drosophila embryo-as regulators of early morphogenetic patterning. Multiple tissue mRNA blots indicate markedly different patterns of expression for the human TLRs. By using fluorescence in situ hybridization and sequence-tagged site database analyses, we also show that the cognate Tlr genes reside on chromosomes 4 (TLRs 1, 2, and 3), 9 (TLR4), and 1 (TLR5). Structure prediction of the aligned Toll-homology domains from varied insect and human TLRs, vertebrate interleukin 1 receptors and MyD88 factors, and plant disease-resistance proteins recognizes a parallel β/α fold with an acidic active site; a similar structure notably recurs in a class of response regulators broadly involved in transducing sensory information in bacteria.","author":[{"dropping-particle":"","family":"Rock","given":"Fernando L.","non-dropping-particle":"","parse-names":false,"suffix":""},{"dropping-particle":"","family":"Hardiman","given":"Gary","non-dropping-particle":"","parse-names":false,"suffix":""},{"dropping-particle":"","family":"Timans","given":"Jackie C.","non-dropping-particle":"","parse-names":false,"suffix":""},{"dropping-particle":"","family":"Kastelein","given":"Robert A.","non-dropping-particle":"","parse-names":false,"suffix":""},{"dropping-particle":"","family":"Bazan","given":"J. Fernando","non-dropping-particle":"","parse-names":false,"suffix":""}],"container-title":"Proceedings of the National Academy of Sciences","id":"ITEM-2","issue":"2","issued":{"date-parts":[["1998","1","20"]]},"note":"- Compares structure of Drosophila TLR and human","page":"588-593","title":"A family of human receptors structurally related to &lt;i&gt;Drosophila&lt;/i&gt; Toll","type":"article-journal","volume":"95"},"uris":["http://www.mendeley.com/documents/?uuid=7a62534e-b043-42ac-8bda-2de6442437df"]}],"mendeley":{"formattedCitation":"(Medzhitov &lt;i&gt;et al.&lt;/i&gt;, 1997; Rock &lt;i&gt;et al.&lt;/i&gt;, 1998)","plainTextFormattedCitation":"(Medzhitov et al., 1997; Rock et al., 1998)","previouslyFormattedCitation":"(Medzhitov &lt;i&gt;et al.&lt;/i&gt;, 1997; Rock &lt;i&gt;et al.&lt;/i&gt;, 1998)"},"properties":{"noteIndex":0},"schema":"https://github.com/citation-style-language/schema/raw/master/csl-citation.json"}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(Medzhitov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1997; Rock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1998)</w:t>
            </w:r>
            <w:r w:rsidRPr="00805017">
              <w:rPr>
                <w:rFonts w:ascii="Arial" w:hAnsi="Arial" w:cs="Arial"/>
                <w:color w:val="000000" w:themeColor="text1"/>
                <w:sz w:val="18"/>
                <w:szCs w:val="18"/>
              </w:rPr>
              <w:fldChar w:fldCharType="end"/>
            </w:r>
          </w:p>
        </w:tc>
      </w:tr>
      <w:tr w:rsidR="001D7AD3" w:rsidRPr="00805017" w14:paraId="01A48D63" w14:textId="77777777" w:rsidTr="00605F18">
        <w:tc>
          <w:tcPr>
            <w:tcW w:w="470" w:type="pct"/>
          </w:tcPr>
          <w:p w14:paraId="10136A3C"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MyD88</w:t>
            </w:r>
          </w:p>
        </w:tc>
        <w:tc>
          <w:tcPr>
            <w:tcW w:w="614" w:type="pct"/>
            <w:vAlign w:val="center"/>
          </w:tcPr>
          <w:p w14:paraId="53DF3DC3"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839" w:type="pct"/>
            <w:vMerge/>
            <w:vAlign w:val="center"/>
          </w:tcPr>
          <w:p w14:paraId="365143FF" w14:textId="77777777" w:rsidR="001D7AD3" w:rsidRPr="00805017" w:rsidRDefault="001D7AD3" w:rsidP="00605F18">
            <w:pPr>
              <w:jc w:val="center"/>
              <w:rPr>
                <w:rFonts w:ascii="Arial" w:hAnsi="Arial" w:cs="Arial"/>
                <w:color w:val="000000" w:themeColor="text1"/>
                <w:sz w:val="18"/>
                <w:szCs w:val="18"/>
              </w:rPr>
            </w:pPr>
          </w:p>
        </w:tc>
        <w:tc>
          <w:tcPr>
            <w:tcW w:w="609" w:type="pct"/>
            <w:vMerge w:val="restart"/>
            <w:vAlign w:val="center"/>
          </w:tcPr>
          <w:p w14:paraId="66AA6587"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657" w:type="pct"/>
            <w:vMerge/>
            <w:vAlign w:val="center"/>
          </w:tcPr>
          <w:p w14:paraId="3205C85B" w14:textId="77777777" w:rsidR="001D7AD3" w:rsidRPr="00805017" w:rsidRDefault="001D7AD3" w:rsidP="00605F18">
            <w:pPr>
              <w:jc w:val="center"/>
              <w:rPr>
                <w:rFonts w:ascii="Arial" w:hAnsi="Arial" w:cs="Arial"/>
                <w:color w:val="000000" w:themeColor="text1"/>
                <w:sz w:val="18"/>
                <w:szCs w:val="18"/>
                <w:lang w:val="en-US"/>
              </w:rPr>
            </w:pPr>
          </w:p>
        </w:tc>
        <w:tc>
          <w:tcPr>
            <w:tcW w:w="572" w:type="pct"/>
            <w:vAlign w:val="center"/>
          </w:tcPr>
          <w:p w14:paraId="22E41C82"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{"citationItems":[{"id":"ITEM-1","itemData":{"DOI":"10.1073/pnas.1617722114","ISSN":"0027-8424","abstract":"Animals have evolved an array of pattern-recognition receptor families essential for recognizing conserved molecular motifs characteristic of pathogenic microbes. One such family is the Toll-like receptors (TLRs). On pathogen binding, TLRs initiate specialized cytokine signaling catered to the class of invading pathogen. This signaling is pivotal for activating adaptive immunity in vertebrates, suggesting a close evolutionary relationship between innate and adaptive immune systems. Despite significant advances toward understanding TLR-facilitated immunity in vertebrates, knowledge of TLR pathway evolution in other deuterostomes is limited. By analyzing genomes and transcriptomes across 37 deuterostome taxa, we shed light on the evolution and diversity of TLR pathway signaling elements. Here, we show that the deuterostome ancestor possessed a molecular toolkit homologous to that which drives canonical MYD88-dependent TLR signaling in contemporary mammalian lineages. We also provide evidence that TLR3-facilitated antiviral signaling predates the origin of its TCAM1 dependence recognized in the vertebrates. SARM1, a negative regulator of TCAM1-dependent pathways in vertebrates, was also found to be present across all major deuterostome lineages despite the apparent absence of TCAM1 in invertebrate deuterostomes. Whether the presence of SARM1 is the result of its role in immunity regulation, neuron physiology, or a function of both is unclear. Additionally, Bayesian phylogenetic analyses corroborate several lineage-specific TLR gene expansions in urchins and cephalochordates. Importantly, our results underscore the need to sample across taxonomic groups to understand evolutionary patterns of the innate immunity foundation on which complex immunological novelties arose.","author":[{"dropping-particle":"","family":"Tassia","given":"Michael G.","non-dropping-particle":"","parse-names":false,"suffix":""},{"dropping-particle":"V.","family":"Whelan","given":"Nathan","non-dropping-particle":"","parse-names":false,"suffix":""},{"dropping-particle":"","family":"Halanych","given":"Kenneth M.","non-dropping-particle":"","parse-names":false,"suffix":""}],"container-title":"Proceedings of the National Academy of Sciences","id":"ITEM-1","issue":"27","issued":{"date-parts":[["2017","7","3"]]},"page":"7055-7060","title":"Toll-like receptor pathway evolution in deuterostomes","type":"article-journal","volume":"114"},"uris":["http://www.mendeley.com/documents/?uuid=b1a69284-1de8-45dd-b308-fecdd6d7d422"]},{"id":"ITEM-2","itemData":{"DOI":"10.1016/j.molimm.2009.03.022","ISSN":"01615890","PMID":"19394698","abstract":"A big bang expansion of the Vertebrate-type (V-type) TLRs was reported in amphioxus. To shed lights on its implications, a unique TLR which is reversely inserted into an intron of amphioxus PSMB7-10 by retrotransposition in the highly polymorphic proto-MHC region was cloned from Chinese amphioxus (Branchiostoma belcheri tsingtauense) and named as bbtTLR1. In situ assays showed that bbtTLR1 was predominantly expressed in pharynx and gut from larva to adult stages, which are considered as the first frontlines of amphioxus defense system. Acute immune challenges revealed that the expression of bbtTLR1 was stimulated by bacteria and their cell wall components, while suppressed by Glucan and Poly I:C in the digestive system. Amphioxus also had dozens of TIR adaptors from which we cloned bbtMyD88. BbtMyD88 expressed in 293T cells led to the activation of NF-κB pathway through its DEATH and middle domains. Moreover, this activation could be enhanced by bbtTLR1 through the direct association with bbtMyD88. In summary, this study provides evidence for the immune-relation of amphioxus V-type TLRs, and suggests that amphioxus TLR1 and MyD88 represent a basic evolutionary pathway. © 2009 Elsevier Ltd. All rights reserved.","author":[{"dropping-particle":"","family":"Yuan","given":"Shaochun","non-dropping-particle":"","parse-names":false,"suffix":""},{"dropping-particle":"","family":"Huang","given":"Shengfeng","non-dropping-particle":"","parse-names":false,"suffix":""},{"dropping-particle":"","family":"Zhang","given":"Wei","non-dropping-particle":"","parse-names":false,"suffix":""},{"dropping-particle":"","family":"Wu","given":"Tao","non-dropping-particle":"","parse-names":false,"suffix":""},{"dropping-particle":"","family":"Dong","given":"Meiling","non-dropping-particle":"","parse-names":false,"suffix":""},{"dropping-particle":"","family":"Yu","given":"Yanhong","non-dropping-particle":"","parse-names":false,"suffix":""},{"dropping-particle":"","family":"Liu","given":"Tong","non-dropping-particle":"","parse-names":false,"suffix":""},{"dropping-particle":"","family":"Wu","given":"Kui","non-dropping-particle":"","parse-names":false,"suffix":""},{"dropping-particle":"","family":"Liu","given":"Huiling","non-dropping-particle":"","parse-names":false,"suffix":""},{"dropping-particle":"","family":"Yang","given":"Manyi","non-dropping-particle":"","parse-names":false,"suffix":""},{"dropping-particle":"","family":"Zhang","given":"Hongwei","non-dropping-particle":"","parse-names":false,"suffix":""},{"dropping-particle":"","family":"Xu","given":"Anlong","non-dropping-particle":"","parse-names":false,"suffix":""}],"container-title":"Molecular Immunology","id":"ITEM-2","issue":"11-12","issued":{"date-parts":[["2009","7"]]},"page":"2348-2356","title":"An amphioxus TLR with dynamic embryonic expression pattern responses to pathogens and activates NF-κB pathway via MyD88","type":"article-journal","volume":"46"},"uris":["http://www.mendeley.com/documents/?uuid=e2f14ec8-9bb3-4c78-be11-c22dca5ce73b"]}],"mendeley":{"formattedCitation":"(Yuan &lt;i&gt;et al.&lt;/i&gt;, 2009; Tassia &lt;i&gt;et al.&lt;/i&gt;, 2017)","plainTextFormattedCitation":"(Yuan et al., 2009; Tassia et al., 2017)","previouslyFormattedCitation":"(Yuan &lt;i&gt;et al.&lt;/i&gt;, 2009; Tassia &lt;i&gt;et al.&lt;/i&gt;, 2017)"},"properties":{"noteIndex":0},"schema":"https://github.com/citation-style-language/schema/raw/master/csl-citation.json"}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(Yuan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2009; Tassia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2017)</w:t>
            </w:r>
            <w:r w:rsidRPr="00805017">
              <w:rPr>
                <w:rFonts w:ascii="Arial" w:hAnsi="Arial" w:cs="Arial"/>
                <w:color w:val="000000" w:themeColor="text1"/>
                <w:sz w:val="18"/>
                <w:szCs w:val="18"/>
              </w:rPr>
              <w:fldChar w:fldCharType="end"/>
            </w:r>
          </w:p>
        </w:tc>
        <w:tc>
          <w:tcPr>
            <w:tcW w:w="646" w:type="pct"/>
            <w:vMerge w:val="restart"/>
            <w:vAlign w:val="center"/>
          </w:tcPr>
          <w:p w14:paraId="24266BB7"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{"citationItems":[{"id":"ITEM-1","itemData":{"DOI":"10.1073/pnas.1617722114","ISSN":"0027-8424","abstract":"Animals have evolved an array of pattern-recognition receptor families essential for recognizing conserved molecular motifs characteristic of pathogenic microbes. One such family is the Toll-like receptors (TLRs). On pathogen binding, TLRs initiate specialized cytokine signaling catered to the class of invading pathogen. This signaling is pivotal for activating adaptive immunity in vertebrates, suggesting a close evolutionary relationship between innate and adaptive immune systems. Despite significant advances toward understanding TLR-facilitated immunity in vertebrates, knowledge of TLR pathway evolution in other deuterostomes is limited. By analyzing genomes and transcriptomes across 37 deuterostome taxa, we shed light on the evolution and diversity of TLR pathway signaling elements. Here, we show that the deuterostome ancestor possessed a molecular toolkit homologous to that which drives canonical MYD88-dependent TLR signaling in contemporary mammalian lineages. We also provide evidence that TLR3-facilitated antiviral signaling predates the origin of its TCAM1 dependence recognized in the vertebrates. SARM1, a negative regulator of TCAM1-dependent pathways in vertebrates, was also found to be present across all major deuterostome lineages despite the apparent absence of TCAM1 in invertebrate deuterostomes. Whether the presence of SARM1 is the result of its role in immunity regulation, neuron physiology, or a function of both is unclear. Additionally, Bayesian phylogenetic analyses corroborate several lineage-specific TLR gene expansions in urchins and cephalochordates. Importantly, our results underscore the need to sample across taxonomic groups to understand evolutionary patterns of the innate immunity foundation on which complex immunological novelties arose.","author":[{"dropping-particle":"","family":"Tassia","given":"Michael G.","non-dropping-particle":"","parse-names":false,"suffix":""},{"dropping-particle":"V.","family":"Whelan","given":"Nathan","non-dropping-particle":"","parse-names":false,"suffix":""},{"dropping-particle":"","family":"Halanych","given":"Kenneth M.","non-dropping-particle":"","parse-names":false,"suffix":""}],"container-title":"Proceedings of the National Academy of Sciences","id":"ITEM-1","issue":"27","issued":{"date-parts":[["2017","7","3"]]},"page":"7055-7060","title":"Toll-like receptor pathway evolution in deuterostomes","type":"article-journal","volume":"114"},"uris":["http://www.mendeley.com/documents/?uuid=b1a69284-1de8-45dd-b308-fecdd6d7d422"]},{"id":"ITEM-2","itemData":{"DOI":"10.1007/s00251-003-0606-5","ISBN":"8135800339","ISSN":"0093-7711","PMID":"14530883","abstract":"Genome-wide sequence analysis in the invertebrate chordate, Ciona intestinalis, has provided a comprehensive picture of immune-related genes in an organism that occupies a key phylogenetic position in vertebrate evolution. The pivotal genes for adaptive immunity, such as the major histocompatibility complex (MHC) class I and II genes, T-cell receptors, or dimeric immunoglobulin molecules, have not been identified in the Ciona genome. Many genes involved in innate immunity have been identified, including complement components, Toll-like receptors, and the genes involved in intracellular signal transduction of immune responses, and show both expansion and unexpected diversity in comparison with the vertebrates. In addition, a number of genes were identified which predicted integral membrane proteins with extracellular C-type lectin or immunoglobulin domains and intracellular immunoreceptor tyrosine-based inhibitory motifs (ITIMs) and immunoreceptor tyrosine-based activation motifs (ITAMs) (plus their associated signal transduction molecules), suggesting that activating and inhibitory receptors have an MHC-independent function and an early evolutionary origin. A crucial component of vertebrate adaptive immunity is somatic diversification, and the recombination activating genes (RAG) and activation-induced cytidine deaminase (AID) genes responsible for the Generation of diversity are not present in Ciona. However, there are key V regions, the essential feature of an immunoglobulin superfamily VC1-like core, and possible proto-MHC regions scattered throughout the genome waiting for Godot.","author":[{"dropping-particle":"","family":"Azumi","given":"Kaoru","non-dropping-particle":"","parse-names":false,"suffix":""},{"dropping-particle":"","family":"Santis","given":"Rosaria","non-dropping-particle":"De","parse-names":false,"suffix":""},{"dropping-particle":"","family":"Tomaso","given":"Anthony","non-dropping-particle":"De","parse-names":false,"suffix":""},{"dropping-particle":"","family":"Rigoutsos","given":"Isidore","non-dropping-particle":"","parse-names":false,"suffix":""},{"dropping-particle":"","family":"Yoshizaki","given":"Fumiko","non-dropping-particle":"","parse-names":false,"suffix":""},{"dropping-particle":"","family":"Pinto","given":"Maria Rosaria","non-dropping-particle":"","parse-names":false,"suffix":""},{"dropping-particle":"","family":"Marino","given":"Rita","non-dropping-particle":"","parse-names":false,"suffix":""},{"dropping-particle":"","family":"Shida","given":"Kazuhito","non-dropping-particle":"","parse-names":false,"suffix":""},{"dropping-particle":"","family":"Ikeda","given":"Makoto","non-dropping-particle":"","parse-names":false,"suffix":""},{"dropping-particle":"","family":"Ikeda","given":"Masami","non-dropping-particle":"","parse-names":false,"suffix":""},{"dropping-particle":"","family":"Arai","given":"Masafumi","non-dropping-particle":"","parse-names":false,"suffix":""},{"dropping-particle":"","family":"Inoue","given":"Yasuhito","non-dropping-particle":"","parse-names":false,"suffix":""},{"dropping-particle":"","family":"Shimizu","given":"Toshio","non-dropping-particle":"","parse-names":false,"suffix":""},{"dropping-particle":"","family":"Satoh","given":"Nori","non-dropping-particle":"","parse-names":false,"suffix":""},{"dropping-particle":"","family":"Rokhsar","given":"Daniel S.","non-dropping-particle":"","parse-names":false,"suffix":""},{"dropping-particle":"","family":"Pasquier","given":"Louis","non-dropping-particle":"Du","parse-names":false,"suffix":""},{"dropping-particle":"","family":"Kasahara","given":"Masanori","non-dropping-particle":"","parse-names":false,"suffix":""},{"dropping-particle":"","family":"Satake","given":"Masanobu","non-dropping-particle":"","parse-names":false,"suffix":""},{"dropping-particle":"","family":"Nonaka","given":"Masaru","non-dropping-particle":"","parse-names":false,"suffix":""}],"container-title":"Immunogenetics","id":"ITEM-2","issue":"8","issued":{"date-parts":[["2003","11","7"]]},"page":"570-581","title":"Genomic analysis of immunity in a Urochordate and the emergence of the vertebrate immune system: “waiting for Godot”","type":"article-journal","volume":"55"},"uris":["http://www.mendeley.com/documents/?uuid=e7da1dc6-9af8-4176-a52d-f8f94bb7f04c"]}],"mendeley":{"formattedCitation":"(Azumi &lt;i&gt;et al.&lt;/i&gt;, 2003; Tassia &lt;i&gt;et al.&lt;/i&gt;, 2017)","plainTextFormattedCitation":"(Azumi et al., 2003; Tassia et al., 2017)","previouslyFormattedCitation":"(Azumi &lt;i&gt;et al.&lt;/i&gt;, 2003; Tassia &lt;i&gt;et al.&lt;/i&gt;, 2017)"},"properties":{"noteIndex":0},"schema":"https://github.com/citation-style-language/schema/raw/master/csl-citation.json"}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(Azumi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2003; Tassia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2017)</w:t>
            </w:r>
            <w:r w:rsidRPr="00805017">
              <w:rPr>
                <w:rFonts w:ascii="Arial" w:hAnsi="Arial" w:cs="Arial"/>
                <w:color w:val="000000" w:themeColor="text1"/>
                <w:sz w:val="18"/>
                <w:szCs w:val="18"/>
              </w:rPr>
              <w:fldChar w:fldCharType="end"/>
            </w:r>
          </w:p>
        </w:tc>
        <w:tc>
          <w:tcPr>
            <w:tcW w:w="593" w:type="pct"/>
            <w:vAlign w:val="center"/>
          </w:tcPr>
          <w:p w14:paraId="70FEFFB4"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{"citationItems":[{"id":"ITEM-1","itemData":{"DOI":"10.1016/S1097-2765(00)80136-7","ISSN":"10972765","PMID":"9734363","abstract":"The Toll-mediated signaling cascade using the NF-κB pathway has been shown to be essential for immune responses in adult Drosophila, and we recently reported that a human homolog of the Drosophila Toll protein induces various immune response genes via this pathway. We now demonstrate that signaling by the human Toll receptor employs an adaptor protein, MyD88, and induces activation of NF-κB via the Pelle-like kinase IRAK and the TRAF6 protein, similar to IL-1R-mediated NF-κB activation. However, we find that Toll and IL-1R signaling pathways are not identical with respect to AP-1 activation. Finally, our findings implicate MyD88 as a general adaptor/regulator molecule for the Toll/IL-1R family of receptors for innate immunity.","author":[{"dropping-particle":"","family":"Medzhitov","given":"Ruslan","non-dropping-particle":"","parse-names":false,"suffix":""},{"dropping-particle":"","family":"Preston-Hurlburt","given":"Paula","non-dropping-particle":"","parse-names":false,"suffix":""},{"dropping-particle":"","family":"Kopp","given":"Elizabeth","non-dropping-particle":"","parse-names":false,"suffix":""},{"dropping-particle":"","family":"Stadlen","given":"Andrew","non-dropping-particle":"","parse-names":false,"suffix":""},{"dropping-particle":"","family":"Chen","given":"Chaoqun","non-dropping-particle":"","parse-names":false,"suffix":""},{"dropping-particle":"","family":"Ghosh","given":"Sankar","non-dropping-particle":"","parse-names":false,"suffix":""},{"dropping-particle":"","family":"Janeway","given":"Charles A.","non-dropping-particle":"","parse-names":false,"suffix":""}],"container-title":"Molecular Cell","id":"ITEM-1","issue":"2","issued":{"date-parts":[["1998","8"]]},"page":"253-258","title":"MyD88 Is an adaptor protein in the hToll/IL-1 receptor family signaling pathways","type":"article-journal","volume":"2"},"uris":["http://www.mendeley.com/documents/?uuid=62cd476b-de6b-48c7-b16a-3e2c7f189957"]},{"id":"ITEM-2","itemData":{"DOI":"10.1016/S1074-7613(00)80402-1","ISSN":"10747613","PMID":"9430229","abstract":"IL-1 is a proinflammatory cytokine that signals through a receptor complex of two different transmembrane chains to generate multiple cellular responses, including activation of the transcription factor NF-κB. Here we show that MyD88, a previously described protein of unknown function, is recruited to the IL-1 receptor complex following IL-1 stimulation. MyD88 binds to both IRAK (IL-1 receptor-associated kinase) and the heterocomplex (the signaling complex) of the two receptor chains and thereby mediates the association of IRAK with the receptor. Ectopic expression of MyD88 or its death domain-containing N-terminus activates NF-κB. The C-terminus of MyD88 interacts with the IL-1 receptor and blocks NF-κB activation induced by IL- 1, but not by TNF. Thus, MyD88 plays the same role in IL-1 signaling as TRADD and Tube do in TNF and Toll pathways, respectively: it couples a serine/threonine protein kinase to the receptor complex.","author":[{"dropping-particle":"","family":"Wesche","given":"Holger","non-dropping-particle":"","parse-names":false,"suffix":""},{"dropping-particle":"","family":"Henzel","given":"William J.","non-dropping-particle":"","parse-names":false,"suffix":""},{"dropping-particle":"","family":"Shillinglaw","given":"Wendy","non-dropping-particle":"","parse-names":false,"suffix":""},{"dropping-particle":"","family":"Li","given":"Shyun","non-dropping-particle":"","parse-names":false,"suffix":""},{"dropping-particle":"","family":"Cao","given":"Zhaodan","non-dropping-particle":"","parse-names":false,"suffix":""}],"container-title":"Immunity","id":"ITEM-2","issue":"6","issued":{"date-parts":[["1997","12"]]},"page":"837-847","title":"MyD88: An adapter that recruits IRAK to the IL-1 receptor complex","type":"article-journal","volume":"7"},"uris":["http://www.mendeley.com/documents/?uuid=231bf1df-de4a-4507-af1b-f5d5a4998257"]}],"mendeley":{"formattedCitation":"(Wesche &lt;i&gt;et al.&lt;/i&gt;, 1997; Medzhitov &lt;i&gt;et al.&lt;/i&gt;, 1998)","plainTextFormattedCitation":"(Wesche et al., 1997; Medzhitov et al., 1998)","previouslyFormattedCitation":"(Wesche &lt;i&gt;et al.&lt;/i&gt;, 1997; Medzhitov &lt;i&gt;et al.&lt;/i&gt;, 1998)"},"properties":{"noteIndex":0},"schema":"https://github.com/citation-style-language/schema/raw/master/csl-citation.json"}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(Wesche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1997; Medzhitov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1998)</w:t>
            </w:r>
            <w:r w:rsidRPr="00805017">
              <w:rPr>
                <w:rFonts w:ascii="Arial" w:hAnsi="Arial" w:cs="Arial"/>
                <w:color w:val="000000" w:themeColor="text1"/>
                <w:sz w:val="18"/>
                <w:szCs w:val="18"/>
              </w:rPr>
              <w:fldChar w:fldCharType="end"/>
            </w:r>
          </w:p>
        </w:tc>
      </w:tr>
      <w:tr w:rsidR="001D7AD3" w:rsidRPr="00805017" w14:paraId="00914BC8" w14:textId="77777777" w:rsidTr="00605F18">
        <w:tc>
          <w:tcPr>
            <w:tcW w:w="470" w:type="pct"/>
          </w:tcPr>
          <w:p w14:paraId="20D0BF25"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Irak</w:t>
            </w:r>
          </w:p>
        </w:tc>
        <w:tc>
          <w:tcPr>
            <w:tcW w:w="614" w:type="pct"/>
            <w:vAlign w:val="center"/>
          </w:tcPr>
          <w:p w14:paraId="0341C06B"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839" w:type="pct"/>
            <w:vMerge/>
            <w:vAlign w:val="center"/>
          </w:tcPr>
          <w:p w14:paraId="0C7F7CEA" w14:textId="77777777" w:rsidR="001D7AD3" w:rsidRPr="00805017" w:rsidRDefault="001D7AD3" w:rsidP="00605F18">
            <w:pPr>
              <w:jc w:val="center"/>
              <w:rPr>
                <w:rFonts w:ascii="Arial" w:hAnsi="Arial" w:cs="Arial"/>
                <w:color w:val="000000" w:themeColor="text1"/>
                <w:sz w:val="18"/>
                <w:szCs w:val="18"/>
              </w:rPr>
            </w:pPr>
          </w:p>
        </w:tc>
        <w:tc>
          <w:tcPr>
            <w:tcW w:w="609" w:type="pct"/>
            <w:vMerge/>
            <w:vAlign w:val="center"/>
          </w:tcPr>
          <w:p w14:paraId="11E7C30A" w14:textId="77777777" w:rsidR="001D7AD3" w:rsidRPr="00805017" w:rsidRDefault="001D7AD3" w:rsidP="00605F18">
            <w:pPr>
              <w:jc w:val="center"/>
              <w:rPr>
                <w:rFonts w:ascii="Arial" w:hAnsi="Arial" w:cs="Arial"/>
                <w:color w:val="000000" w:themeColor="text1"/>
                <w:sz w:val="18"/>
                <w:szCs w:val="18"/>
              </w:rPr>
            </w:pPr>
          </w:p>
        </w:tc>
        <w:tc>
          <w:tcPr>
            <w:tcW w:w="657" w:type="pct"/>
            <w:vMerge/>
            <w:vAlign w:val="center"/>
          </w:tcPr>
          <w:p w14:paraId="033214EE" w14:textId="77777777" w:rsidR="001D7AD3" w:rsidRPr="00805017" w:rsidRDefault="001D7AD3" w:rsidP="00605F18">
            <w:pPr>
              <w:jc w:val="center"/>
              <w:rPr>
                <w:rFonts w:ascii="Arial" w:hAnsi="Arial" w:cs="Arial"/>
                <w:color w:val="000000" w:themeColor="text1"/>
                <w:sz w:val="18"/>
                <w:szCs w:val="18"/>
              </w:rPr>
            </w:pPr>
          </w:p>
        </w:tc>
        <w:tc>
          <w:tcPr>
            <w:tcW w:w="572" w:type="pct"/>
            <w:vAlign w:val="center"/>
          </w:tcPr>
          <w:p w14:paraId="3359A72F"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{"citationItems":[{"id":"ITEM-1","itemData":{"DOI":"10.1073/pnas.1617722114","ISSN":"0027-8424","abstract":"Animals have evolved an array of pattern-recognition receptor families essential for recognizing conserved molecular motifs characteristic of pathogenic microbes. One such family is the Toll-like receptors (TLRs). On pathogen binding, TLRs initiate specialized cytokine signaling catered to the class of invading pathogen. This signaling is pivotal for activating adaptive immunity in vertebrates, suggesting a close evolutionary relationship between innate and adaptive immune systems. Despite significant advances toward understanding TLR-facilitated immunity in vertebrates, knowledge of TLR pathway evolution in other deuterostomes is limited. By analyzing genomes and transcriptomes across 37 deuterostome taxa, we shed light on the evolution and diversity of TLR pathway signaling elements. Here, we show that the deuterostome ancestor possessed a molecular toolkit homologous to that which drives canonical MYD88-dependent TLR signaling in contemporary mammalian lineages. We also provide evidence that TLR3-facilitated antiviral signaling predates the origin of its TCAM1 dependence recognized in the vertebrates. SARM1, a negative regulator of TCAM1-dependent pathways in vertebrates, was also found to be present across all major deuterostome lineages despite the apparent absence of TCAM1 in invertebrate deuterostomes. Whether the presence of SARM1 is the result of its role in immunity regulation, neuron physiology, or a function of both is unclear. Additionally, Bayesian phylogenetic analyses corroborate several lineage-specific TLR gene expansions in urchins and cephalochordates. Importantly, our results underscore the need to sample across taxonomic groups to understand evolutionary patterns of the innate immunity foundation on which complex immunological novelties arose.","author":[{"dropping-particle":"","family":"Tassia","given":"Michael G.","non-dropping-particle":"","parse-names":false,"suffix":""},{"dropping-particle":"V.","family":"Whelan","given":"Nathan","non-dropping-particle":"","parse-names":false,"suffix":""},{"dropping-particle":"","family":"Halanych","given":"Kenneth M.","non-dropping-particle":"","parse-names":false,"suffix":""}],"container-title":"Proceedings of the National Academy of Sciences","id":"ITEM-1","issue":"27","issued":{"date-parts":[["2017","7","3"]]},"page":"7055-7060","title":"Toll-like receptor pathway evolution in deuterostomes","type":"article-journal","volume":"114"},"uris":["http://www.mendeley.com/documents/?uuid=b1a69284-1de8-45dd-b308-fecdd6d7d422"]}],"mendeley":{"formattedCitation":"(Tassia &lt;i&gt;et al.&lt;/i&gt;, 2017)","plainTextFormattedCitation":"(Tassia et al., 2017)","previouslyFormattedCitation":"(Tassia &lt;i&gt;et al.&lt;/i&gt;, 2017)"},"properties":{"noteIndex":0},"schema":"https://github.com/citation-style-language/schema/raw/master/csl-citation.json"}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(Tassia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2017)</w:t>
            </w:r>
            <w:r w:rsidRPr="00805017">
              <w:rPr>
                <w:rFonts w:ascii="Arial" w:hAnsi="Arial" w:cs="Arial"/>
                <w:color w:val="000000" w:themeColor="text1"/>
                <w:sz w:val="18"/>
                <w:szCs w:val="18"/>
              </w:rPr>
              <w:fldChar w:fldCharType="end"/>
            </w:r>
          </w:p>
        </w:tc>
        <w:tc>
          <w:tcPr>
            <w:tcW w:w="646" w:type="pct"/>
            <w:vMerge/>
            <w:vAlign w:val="center"/>
          </w:tcPr>
          <w:p w14:paraId="116F7CD0" w14:textId="77777777" w:rsidR="001D7AD3" w:rsidRPr="00805017" w:rsidRDefault="001D7AD3" w:rsidP="00605F18">
            <w:pPr>
              <w:jc w:val="center"/>
              <w:rPr>
                <w:rFonts w:ascii="Arial" w:hAnsi="Arial" w:cs="Arial"/>
                <w:color w:val="000000" w:themeColor="text1"/>
                <w:sz w:val="18"/>
                <w:szCs w:val="18"/>
              </w:rPr>
            </w:pPr>
          </w:p>
        </w:tc>
        <w:tc>
          <w:tcPr>
            <w:tcW w:w="593" w:type="pct"/>
            <w:vMerge w:val="restart"/>
            <w:vAlign w:val="center"/>
          </w:tcPr>
          <w:p w14:paraId="7D13EDA8"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{"citationItems":[{"id":"ITEM-1","itemData":{"DOI":"10.1016/S1074-7613(00)80402-1","ISSN":"10747613","PMID":"9430229","abstract":"IL-1 is a proinflammatory cytokine that signals through a receptor complex of two different transmembrane chains to generate multiple cellular responses, including activation of the transcription factor NF-κB. Here we show that MyD88, a previously described protein of unknown function, is recruited to the IL-1 receptor complex following IL-1 stimulation. MyD88 binds to both IRAK (IL-1 receptor-associated kinase) and the heterocomplex (the signaling complex) of the two receptor chains and thereby mediates the association of IRAK with the receptor. Ectopic expression of MyD88 or its death domain-containing N-terminus activates NF-κB. The C-terminus of MyD88 interacts with the IL-1 receptor and blocks NF-κB activation induced by IL- 1, but not by TNF. Thus, MyD88 plays the same role in IL-1 signaling as TRADD and Tube do in TNF and Toll pathways, respectively: it couples a serine/threonine protein kinase to the receptor complex.","author":[{"dropping-particle":"","family":"Wesche","given":"Holger","non-dropping-particle":"","parse-names":false,"suffix":""},{"dropping-particle":"","family":"Henzel","given":"William J.","non-dropping-particle":"","parse-names":false,"suffix":""},{"dropping-particle":"","family":"Shillinglaw","given":"Wendy","non-dropping-particle":"","parse-names":false,"suffix":""},{"dropping-particle":"","family":"Li","given":"Shyun","non-dropping-particle":"","parse-names":false,"suffix":""},{"dropping-particle":"","family":"Cao","given":"Zhaodan","non-dropping-particle":"","parse-names":false,"suffix":""}],"container-title":"Immunity","id":"ITEM-1","issue":"6","issued":{"date-parts":[["1997","12"]]},"page":"837-847","title":"MyD88: An adapter that recruits IRAK to the IL-1 receptor complex","type":"article-journal","volume":"7"},"uris":["http://www.mendeley.com/documents/?uuid=231bf1df-de4a-4507-af1b-f5d5a4998257"]}],"mendeley":{"formattedCitation":"(Wesche &lt;i&gt;et al.&lt;/i&gt;, 1997)","plainTextFormattedCitation":"(Wesche et al., 1997)","previouslyFormattedCitation":"(Wesche &lt;i&gt;et al.&lt;/i&gt;, 1997)"},"properties":{"noteIndex":0},"schema":"https://github.com/citation-style-language/schema/raw/master/csl-citation.json"}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(Wesche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1997)</w:t>
            </w:r>
            <w:r w:rsidRPr="00805017">
              <w:rPr>
                <w:rFonts w:ascii="Arial" w:hAnsi="Arial" w:cs="Arial"/>
                <w:color w:val="000000" w:themeColor="text1"/>
                <w:sz w:val="18"/>
                <w:szCs w:val="18"/>
              </w:rPr>
              <w:fldChar w:fldCharType="end"/>
            </w:r>
          </w:p>
        </w:tc>
      </w:tr>
      <w:tr w:rsidR="001D7AD3" w:rsidRPr="00805017" w14:paraId="538F4027" w14:textId="77777777" w:rsidTr="00605F18">
        <w:tc>
          <w:tcPr>
            <w:tcW w:w="470" w:type="pct"/>
          </w:tcPr>
          <w:p w14:paraId="6114F3F9"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NF</w:t>
            </w:r>
            <w:r w:rsidRPr="00805017">
              <w:rPr>
                <w:rFonts w:ascii="Arial" w:hAnsi="Arial" w:cs="Arial"/>
                <w:b/>
                <w:bCs/>
                <w:color w:val="000000" w:themeColor="text1"/>
                <w:sz w:val="18"/>
                <w:szCs w:val="18"/>
                <w:lang w:val="en-US"/>
              </w:rPr>
              <w:sym w:font="Symbol" w:char="F06B"/>
            </w:r>
            <w:r w:rsidRPr="00805017">
              <w:rPr>
                <w:rFonts w:ascii="Arial" w:hAnsi="Arial" w:cs="Arial"/>
                <w:b/>
                <w:bCs/>
                <w:color w:val="000000" w:themeColor="text1"/>
                <w:sz w:val="18"/>
                <w:szCs w:val="18"/>
              </w:rPr>
              <w:t>B-p65</w:t>
            </w:r>
          </w:p>
        </w:tc>
        <w:tc>
          <w:tcPr>
            <w:tcW w:w="614" w:type="pct"/>
            <w:vAlign w:val="center"/>
          </w:tcPr>
          <w:p w14:paraId="7BE079C3"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839" w:type="pct"/>
            <w:vMerge/>
            <w:vAlign w:val="center"/>
          </w:tcPr>
          <w:p w14:paraId="6DAC1F21" w14:textId="77777777" w:rsidR="001D7AD3" w:rsidRPr="00805017" w:rsidRDefault="001D7AD3" w:rsidP="00605F18">
            <w:pPr>
              <w:jc w:val="center"/>
              <w:rPr>
                <w:rFonts w:ascii="Arial" w:hAnsi="Arial" w:cs="Arial"/>
                <w:color w:val="000000" w:themeColor="text1"/>
                <w:sz w:val="18"/>
                <w:szCs w:val="18"/>
              </w:rPr>
            </w:pPr>
          </w:p>
        </w:tc>
        <w:tc>
          <w:tcPr>
            <w:tcW w:w="609" w:type="pct"/>
            <w:vMerge/>
            <w:vAlign w:val="center"/>
          </w:tcPr>
          <w:p w14:paraId="7F332766" w14:textId="77777777" w:rsidR="001D7AD3" w:rsidRPr="00805017" w:rsidRDefault="001D7AD3" w:rsidP="00605F18">
            <w:pPr>
              <w:jc w:val="center"/>
              <w:rPr>
                <w:rFonts w:ascii="Arial" w:hAnsi="Arial" w:cs="Arial"/>
                <w:color w:val="000000" w:themeColor="text1"/>
                <w:sz w:val="18"/>
                <w:szCs w:val="18"/>
              </w:rPr>
            </w:pPr>
          </w:p>
        </w:tc>
        <w:tc>
          <w:tcPr>
            <w:tcW w:w="657" w:type="pct"/>
            <w:vAlign w:val="center"/>
          </w:tcPr>
          <w:p w14:paraId="687B8257"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{"citationItems":[{"id":"ITEM-1","itemData":{"DOI":"10.1016/j.ydbio.2006.08.065","ISSN":"00121606","abstract":"Echinoderms occupy a critical and largely unexplored phylogenetic vantage point from which to infer both the early evolution of bilaterian immunity and the underpinnings of the vertebrate adaptive immune system. Here we present an initial survey of the purple sea urchin genome for genes associated with immunity. An elaborate repertoire of potential immune receptors, regulators and effectors is present, including unprecedented expansions of innate pathogen recognition genes. These include a diverse array of 222 Toll-like receptor (TLR) genes and a coordinate expansion of directly associated signaling adaptors. Notably, a subset of sea urchin TLR genes encodes receptors with structural characteristics previously identified only in protostomes. A similarly expanded set of 203 NOD/NALP-like cytoplasmic recognition proteins is present. These genes have previously been identified only in vertebrates where they are represented in much lower numbers. Genes that mediate the alternative and lectin complement pathways are described, while gene homologues of the terminal pathway are not present. We have also identified several homologues of genes that function in jawed vertebrate adaptive immunity. The most striking of these is a gene cluster with similarity to the jawed vertebrate Recombination Activating Genes 1 and 2 (RAG1/2). Sea urchins are long-lived, complex organisms and these findings reveal an innate immune system of unprecedented complexity. Whether the presumably intense selective processes that molded these gene families also gave rise to novel immune mechanisms akin to adaptive systems remains to be seen. The genome sequence provides immediate opportunities to apply the advantages of the sea urchin model toward problems in developmental and evolutionary immunobiology. © 2006 Elsevier Inc. All rights reserved.","author":[{"dropping-particle":"","family":"Hibino","given":"Taku","non-dropping-particle":"","parse-names":false,"suffix":""},{"dropping-particle":"","family":"Loza-Coll","given":"Mariano","non-dropping-particle":"","parse-names":false,"suffix":""},{"dropping-particle":"","family":"Messier","given":"Cynthia","non-dropping-particle":"","parse-names":false,"suffix":""},{"dropping-particle":"","family":"Majeske","given":"Audrey J.","non-dropping-particle":"","parse-names":false,"suffix":""},{"dropping-particle":"","family":"Cohen","given":"Avis H.","non-dropping-particle":"","parse-names":false,"suffix":""},{"dropping-particle":"","family":"Terwilliger","given":"David P.","non-dropping-particle":"","parse-names":false,"suffix":""},{"dropping-particle":"","family":"Buckley","given":"Katherine M.","non-dropping-particle":"","parse-names":false,"suffix":""},{"dropping-particle":"","family":"Brockton","given":"Virginia","non-dropping-particle":"","parse-names":false,"suffix":""},{"dropping-particle":"V.","family":"Nair","given":"Sham","non-dropping-particle":"","parse-names":false,"suffix":""},{"dropping-particle":"","family":"Berney","given":"Kevin","non-dropping-particle":"","parse-names":false,"suffix":""},{"dropping-particle":"","family":"Fugmann","given":"Sebastian D.","non-dropping-particle":"","parse-names":false,"suffix":""},{"dropping-particle":"","family":"Anderson","given":"Michele K.","non-dropping-particle":"","parse-names":false,"suffix":""},{"dropping-particle":"","family":"Pancer","given":"Zeev","non-dropping-particle":"","parse-names":false,"suffix":""},{"dropping-particle":"","family":"Cameron","given":"R. Andrew","non-dropping-particle":"","parse-names":false,"suffix":""},{"dropping-particle":"","family":"Smith","given":"L. Courtney","non-dropping-particle":"","parse-names":false,"suffix":""},{"dropping-particle":"","family":"Rast","given":"Jonathan P.","non-dropping-particle":"","parse-names":false,"suffix":""}],"container-title":"Developmental Biology","id":"ITEM-1","issue":"1","issued":{"date-parts":[["2006","12"]]},"note":"- P-type/V-type classification","page":"349-365","title":"The immune gene repertoire encoded in the purple sea urchin genome","type":"article-journal","volume":"300"},"uris":["http://www.mendeley.com/documents/?uuid=e5ee6e2f-6c5d-472b-9c8c-5af2fb549c0d"]}],"mendeley":{"formattedCitation":"(Hibino &lt;i&gt;et al.&lt;/i&gt;, 2006)","plainTextFormattedCitation":"(Hibino et al., 2006)","previouslyFormattedCitation":"(Hibino &lt;i&gt;et al.&lt;/i&gt;, 2006)"},"properties":{"noteIndex":0},"schema":"https://github.com/citation-style-language/schema/raw/master/csl-citation.json"}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(Hibino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2006)</w:t>
            </w:r>
            <w:r w:rsidRPr="00805017">
              <w:rPr>
                <w:rFonts w:ascii="Arial" w:hAnsi="Arial" w:cs="Arial"/>
                <w:color w:val="000000" w:themeColor="text1"/>
                <w:sz w:val="18"/>
                <w:szCs w:val="18"/>
              </w:rPr>
              <w:fldChar w:fldCharType="end"/>
            </w:r>
          </w:p>
        </w:tc>
        <w:tc>
          <w:tcPr>
            <w:tcW w:w="572" w:type="pct"/>
            <w:vAlign w:val="center"/>
          </w:tcPr>
          <w:p w14:paraId="65444168"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{"citationItems":[{"id":"ITEM-1","itemData":{"DOI":"10.1073/pnas.1617722114","ISSN":"0027-8424","abstract":"Animals have evolved an array of pattern-recognition receptor families essential for recognizing conserved molecular motifs characteristic of pathogenic microbes. One such family is the Toll-like receptors (TLRs). On pathogen binding, TLRs initiate specialized cytokine signaling catered to the class of invading pathogen. This signaling is pivotal for activating adaptive immunity in vertebrates, suggesting a close evolutionary relationship between innate and adaptive immune systems. Despite significant advances toward understanding TLR-facilitated immunity in vertebrates, knowledge of TLR pathway evolution in other deuterostomes is limited. By analyzing genomes and transcriptomes across 37 deuterostome taxa, we shed light on the evolution and diversity of TLR pathway signaling elements. Here, we show that the deuterostome ancestor possessed a molecular toolkit homologous to that which drives canonical MYD88-dependent TLR signaling in contemporary mammalian lineages. We also provide evidence that TLR3-facilitated antiviral signaling predates the origin of its TCAM1 dependence recognized in the vertebrates. SARM1, a negative regulator of TCAM1-dependent pathways in vertebrates, was also found to be present across all major deuterostome lineages despite the apparent absence of TCAM1 in invertebrate deuterostomes. Whether the presence of SARM1 is the result of its role in immunity regulation, neuron physiology, or a function of both is unclear. Additionally, Bayesian phylogenetic analyses corroborate several lineage-specific TLR gene expansions in urchins and cephalochordates. Importantly, our results underscore the need to sample across taxonomic groups to understand evolutionary patterns of the innate immunity foundation on which complex immunological novelties arose.","author":[{"dropping-particle":"","family":"Tassia","given":"Michael G.","non-dropping-particle":"","parse-names":false,"suffix":""},{"dropping-particle":"V.","family":"Whelan","given":"Nathan","non-dropping-particle":"","parse-names":false,"suffix":""},{"dropping-particle":"","family":"Halanych","given":"Kenneth M.","non-dropping-particle":"","parse-names":false,"suffix":""}],"container-title":"Proceedings of the National Academy of Sciences","id":"ITEM-1","issue":"27","issued":{"date-parts":[["2017","7","3"]]},"page":"7055-7060","title":"Toll-like receptor pathway evolution in deuterostomes","type":"article-journal","volume":"114"},"uris":["http://www.mendeley.com/documents/?uuid=b1a69284-1de8-45dd-b308-fecdd6d7d422"]},{"id":"ITEM-2","itemData":{"DOI":"10.1016/j.molimm.2009.03.022","ISSN":"01615890","PMID":"19394698","abstract":"A big bang expansion of the Vertebrate-type (V-type) TLRs was reported in amphioxus. To shed lights on its implications, a unique TLR which is reversely inserted into an intron of amphioxus PSMB7-10 by retrotransposition in the highly polymorphic proto-MHC region was cloned from Chinese amphioxus (Branchiostoma belcheri tsingtauense) and named as bbtTLR1. In situ assays showed that bbtTLR1 was predominantly expressed in pharynx and gut from larva to adult stages, which are considered as the first frontlines of amphioxus defense system. Acute immune challenges revealed that the expression of bbtTLR1 was stimulated by bacteria and their cell wall components, while suppressed by Glucan and Poly I:C in the digestive system. Amphioxus also had dozens of TIR adaptors from which we cloned bbtMyD88. BbtMyD88 expressed in 293T cells led to the activation of NF-κB pathway through its DEATH and middle domains. Moreover, this activation could be enhanced by bbtTLR1 through the direct association with bbtMyD88. In summary, this study provides evidence for the immune-relation of amphioxus V-type TLRs, and suggests that amphioxus TLR1 and MyD88 represent a basic evolutionary pathway. © 2009 Elsevier Ltd. All rights reserved.","author":[{"dropping-particle":"","family":"Yuan","given":"Shaochun","non-dropping-particle":"","parse-names":false,"suffix":""},{"dropping-particle":"","family":"Huang","given":"Shengfeng","non-dropping-particle":"","parse-names":false,"suffix":""},{"dropping-particle":"","family":"Zhang","given":"Wei","non-dropping-particle":"","parse-names":false,"suffix":""},{"dropping-particle":"","family":"Wu","given":"Tao","non-dropping-particle":"","parse-names":false,"suffix":""},{"dropping-particle":"","family":"Dong","given":"Meiling","non-dropping-particle":"","parse-names":false,"suffix":""},{"dropping-particle":"","family":"Yu","given":"Yanhong","non-dropping-particle":"","parse-names":false,"suffix":""},{"dropping-particle":"","family":"Liu","given":"Tong","non-dropping-particle":"","parse-names":false,"suffix":""},{"dropping-particle":"","family":"Wu","given":"Kui","non-dropping-particle":"","parse-names":false,"suffix":""},{"dropping-particle":"","family":"Liu","given":"Huiling","non-dropping-particle":"","parse-names":false,"suffix":""},{"dropping-particle":"","family":"Yang","given":"Manyi","non-dropping-particle":"","parse-names":false,"suffix":""},{"dropping-particle":"","family":"Zhang","given":"Hongwei","non-dropping-particle":"","parse-names":false,"suffix":""},{"dropping-particle":"","family":"Xu","given":"Anlong","non-dropping-particle":"","parse-names":false,"suffix":""}],"container-title":"Molecular Immunology","id":"ITEM-2","issue":"11-12","issued":{"date-parts":[["2009","7"]]},"page":"2348-2356","title":"An amphioxus TLR with dynamic embryonic expression pattern responses to pathogens and activates NF-κB pathway via MyD88","type":"article-journal","volume":"46"},"uris":["http://www.mendeley.com/documents/?uuid=e2f14ec8-9bb3-4c78-be11-c22dca5ce73b"]}],"mendeley":{"formattedCitation":"(Yuan &lt;i&gt;et al.&lt;/i&gt;, 2009; Tassia &lt;i&gt;et al.&lt;/i&gt;, 2017)","plainTextFormattedCitation":"(Yuan et al., 2009; Tassia et al., 2017)","previouslyFormattedCitation":"(Yuan &lt;i&gt;et al.&lt;/i&gt;, 2009; Tassia &lt;i&gt;et al.&lt;/i&gt;, 2017)"},"properties":{"noteIndex":0},"schema":"https://github.com/citation-style-language/schema/raw/master/csl-citation.json"}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(Yuan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2009; Tassia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2017)</w:t>
            </w:r>
            <w:r w:rsidRPr="00805017">
              <w:rPr>
                <w:rFonts w:ascii="Arial" w:hAnsi="Arial" w:cs="Arial"/>
                <w:color w:val="000000" w:themeColor="text1"/>
                <w:sz w:val="18"/>
                <w:szCs w:val="18"/>
              </w:rPr>
              <w:fldChar w:fldCharType="end"/>
            </w:r>
          </w:p>
        </w:tc>
        <w:tc>
          <w:tcPr>
            <w:tcW w:w="646" w:type="pct"/>
            <w:vAlign w:val="center"/>
          </w:tcPr>
          <w:p w14:paraId="068E3203"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{"citationItems":[{"id":"ITEM-1","itemData":{"DOI":"10.1007/s00251-003-0606-5","ISBN":"8135800339","ISSN":"0093-7711","PMID":"14530883","abstract":"Genome-wide sequence analysis in the invertebrate chordate, Ciona intestinalis, has provided a comprehensive picture of immune-related genes in an organism that occupies a key phylogenetic position in vertebrate evolution. The pivotal genes for adaptive immunity, such as the major histocompatibility complex (MHC) class I and II genes, T-cell receptors, or dimeric immunoglobulin molecules, have not been identified in the Ciona genome. Many genes involved in innate immunity have been identified, including complement components, Toll-like receptors, and the genes involved in intracellular signal transduction of immune responses, and show both expansion and unexpected diversity in comparison with the vertebrates. In addition, a number of genes were identified which predicted integral membrane proteins with extracellular C-type lectin or immunoglobulin domains and intracellular immunoreceptor tyrosine-based inhibitory motifs (ITIMs) and immunoreceptor tyrosine-based activation motifs (ITAMs) (plus their associated signal transduction molecules), suggesting that activating and inhibitory receptors have an MHC-independent function and an early evolutionary origin. A crucial component of vertebrate adaptive immunity is somatic diversification, and the recombination activating genes (RAG) and activation-induced cytidine deaminase (AID) genes responsible for the Generation of diversity are not present in Ciona. However, there are key V regions, the essential feature of an immunoglobulin superfamily VC1-like core, and possible proto-MHC regions scattered throughout the genome waiting for Godot.","author":[{"dropping-particle":"","family":"Azumi","given":"Kaoru","non-dropping-particle":"","parse-names":false,"suffix":""},{"dropping-particle":"","family":"Santis","given":"Rosaria","non-dropping-particle":"De","parse-names":false,"suffix":""},{"dropping-particle":"","family":"Tomaso","given":"Anthony","non-dropping-particle":"De","parse-names":false,"suffix":""},{"dropping-particle":"","family":"Rigoutsos","given":"Isidore","non-dropping-particle":"","parse-names":false,"suffix":""},{"dropping-particle":"","family":"Yoshizaki","given":"Fumiko","non-dropping-particle":"","parse-names":false,"suffix":""},{"dropping-particle":"","family":"Pinto","given":"Maria Rosaria","non-dropping-particle":"","parse-names":false,"suffix":""},{"dropping-particle":"","family":"Marino","given":"Rita","non-dropping-particle":"","parse-names":false,"suffix":""},{"dropping-particle":"","family":"Shida","given":"Kazuhito","non-dropping-particle":"","parse-names":false,"suffix":""},{"dropping-particle":"","family":"Ikeda","given":"Makoto","non-dropping-particle":"","parse-names":false,"suffix":""},{"dropping-particle":"","family":"Ikeda","given":"Masami","non-dropping-particle":"","parse-names":false,"suffix":""},{"dropping-particle":"","family":"Arai","given":"Masafumi","non-dropping-particle":"","parse-names":false,"suffix":""},{"dropping-particle":"","family":"Inoue","given":"Yasuhito","non-dropping-particle":"","parse-names":false,"suffix":""},{"dropping-particle":"","family":"Shimizu","given":"Toshio","non-dropping-particle":"","parse-names":false,"suffix":""},{"dropping-particle":"","family":"Satoh","given":"Nori","non-dropping-particle":"","parse-names":false,"suffix":""},{"dropping-particle":"","family":"Rokhsar","given":"Daniel S.","non-dropping-particle":"","parse-names":false,"suffix":""},{"dropping-particle":"","family":"Pasquier","given":"Louis","non-dropping-particle":"Du","parse-names":false,"suffix":""},{"dropping-particle":"","family":"Kasahara","given":"Masanori","non-dropping-particle":"","parse-names":false,"suffix":""},{"dropping-particle":"","family":"Satake","given":"Masanobu","non-dropping-particle":"","parse-names":false,"suffix":""},{"dropping-particle":"","family":"Nonaka","given":"Masaru","non-dropping-particle":"","parse-names":false,"suffix":""}],"container-title":"Immunogenetics","id":"ITEM-1","issue":"8","issued":{"date-parts":[["2003","11","7"]]},"page":"570-581","title":"Genomic analysis of immunity in a Urochordate and the emergence of the vertebrate immune system: “waiting for Godot”","type":"article-journal","volume":"55"},"uris":["http://www.mendeley.com/documents/?uuid=e7da1dc6-9af8-4176-a52d-f8f94bb7f04c"]}],"mendeley":{"formattedCitation":"(Azumi &lt;i&gt;et al.&lt;/i&gt;, 2003)","plainTextFormattedCitation":"(Azumi et al., 2003)","previouslyFormattedCitation":"(Azumi &lt;i&gt;et al.&lt;/i&gt;, 2003)"},"properties":{"noteIndex":0},"schema":"https://github.com/citation-style-language/schema/raw/master/csl-citation.json"}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(Azumi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2003)</w:t>
            </w:r>
            <w:r w:rsidRPr="00805017">
              <w:rPr>
                <w:rFonts w:ascii="Arial" w:hAnsi="Arial" w:cs="Arial"/>
                <w:color w:val="000000" w:themeColor="text1"/>
                <w:sz w:val="18"/>
                <w:szCs w:val="18"/>
              </w:rPr>
              <w:fldChar w:fldCharType="end"/>
            </w:r>
          </w:p>
        </w:tc>
        <w:tc>
          <w:tcPr>
            <w:tcW w:w="593" w:type="pct"/>
            <w:vMerge/>
            <w:vAlign w:val="center"/>
          </w:tcPr>
          <w:p w14:paraId="182160E7" w14:textId="77777777" w:rsidR="001D7AD3" w:rsidRPr="00805017" w:rsidRDefault="001D7AD3" w:rsidP="00605F18">
            <w:pPr>
              <w:jc w:val="center"/>
              <w:rPr>
                <w:rFonts w:ascii="Arial" w:hAnsi="Arial" w:cs="Arial"/>
                <w:color w:val="000000" w:themeColor="text1"/>
                <w:sz w:val="18"/>
                <w:szCs w:val="18"/>
              </w:rPr>
            </w:pPr>
          </w:p>
        </w:tc>
      </w:tr>
      <w:tr w:rsidR="001D7AD3" w:rsidRPr="00805017" w14:paraId="4098C4A6" w14:textId="77777777" w:rsidTr="00605F18">
        <w:tc>
          <w:tcPr>
            <w:tcW w:w="470" w:type="pct"/>
          </w:tcPr>
          <w:p w14:paraId="399D07E3"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Imd</w:t>
            </w:r>
          </w:p>
        </w:tc>
        <w:tc>
          <w:tcPr>
            <w:tcW w:w="614" w:type="pct"/>
            <w:vMerge w:val="restart"/>
            <w:vAlign w:val="center"/>
          </w:tcPr>
          <w:p w14:paraId="584462A2"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839" w:type="pct"/>
            <w:vAlign w:val="center"/>
          </w:tcPr>
          <w:p w14:paraId="5288D284"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{"citationItems":[{"id":"ITEM-1","itemData":{"DOI":"10.1038/ni1356","ISSN":"1529-2908","PMID":"16767093","abstract":"Drosophila rely entirely on an innate immune response to combat microbial infection. Diaminopimelic acid-containing peptidoglycan, produced by Gram-negative bacteria, is recognized by two receptors, PGRP-LC and PGRP-LE, and activates a homolog of transcription factor NF-κB through the Imd signaling pathway. Here we show that full-length PGRP-LE acted as an intracellular receptor for monomeric peptidoglycan, whereas a version of PGRP-LE containing only the PGRP domain functioned extracellularly, like the mammalian CD14 molecule, to enhance PGRP-LC-mediated peptidoglycan recognition on the cell surface. Interaction with the imd signaling protein was not required for PGRP-LC signaling. Instead, PGRP-LC and PGRP-LE signaled through a receptor-interacting protein homotypic interaction motif-like motif. These data demonstrate that like mammals, drosophila use both extracellular and intracellular receptors, which have conserved signaling mechanisms, for innate immune recognition. © 2006 Nature Publishing Group.","author":[{"dropping-particle":"","family":"Kaneko","given":"Takashi","non-dropping-particle":"","parse-names":false,"suffix":""},{"dropping-particle":"","family":"Yano","given":"Tamaki","non-dropping-particle":"","parse-names":false,"suffix":""},{"dropping-particle":"","family":"Aggarwal","given":"Kamna","non-dropping-particle":"","parse-names":false,"suffix":""},{"dropping-particle":"","family":"Lim","given":"Jae-Hong","non-dropping-particle":"","parse-names":false,"suffix":""},{"dropping-particle":"","family":"Ueda","given":"Kazunori","non-dropping-particle":"","parse-names":false,"suffix":""},{"dropping-particle":"","family":"Oshima","given":"Yoshiteru","non-dropping-particle":"","parse-names":false,"suffix":""},{"dropping-particle":"","family":"Peach","given":"Camilla","non-dropping-particle":"","parse-names":false,"suffix":""},{"dropping-particle":"","family":"Erturk-Hasdemir","given":"Deniz","non-dropping-particle":"","parse-names":false,"suffix":""},{"dropping-particle":"","family":"Goldman","given":"William E.","non-dropping-particle":"","parse-names":false,"suffix":""},{"dropping-particle":"","family":"Oh","given":"Byung-Ha","non-dropping-particle":"","parse-names":false,"suffix":""},{"dropping-particle":"","family":"Kurata","given":"Shoichiro","non-dropping-particle":"","parse-names":false,"suffix":""},{"dropping-particle":"","family":"Silverman","given":"Neal","non-dropping-particle":"","parse-names":false,"suffix":""}],"container-title":"Nature Immunology","id":"ITEM-1","issue":"7","issued":{"date-parts":[["2006","7","11"]]},"page":"715-723","title":"PGRP-LC and PGRP-LE have essential yet distinct functions in the &lt;i&gt;Drosophila&lt;/i&gt; immune response to monomeric DAP-type peptidoglycan","type":"article-journal","volume":"7"},"uris":["http://www.mendeley.com/documents/?uuid=c9292a71-e067-4c3f-98d8-08aa562618b2"]}],"mendeley":{"formattedCitation":"(Kaneko &lt;i&gt;et al.&lt;/i&gt;, 2006)","plainTextFormattedCitation":"(Kaneko et al., 2006)","previouslyFormattedCitation":"(Kaneko &lt;i&gt;et al.&lt;/i&gt;, 2006)"},"properties":{"noteIndex":0},"schema":"https://github.com/citation-style-language/schema/raw/master/csl-citation.json"}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(Kaneko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2006)</w:t>
            </w:r>
            <w:r w:rsidRPr="00805017">
              <w:rPr>
                <w:rFonts w:ascii="Arial" w:hAnsi="Arial" w:cs="Arial"/>
                <w:color w:val="000000" w:themeColor="text1"/>
                <w:sz w:val="18"/>
                <w:szCs w:val="18"/>
              </w:rPr>
              <w:fldChar w:fldCharType="end"/>
            </w:r>
          </w:p>
        </w:tc>
        <w:tc>
          <w:tcPr>
            <w:tcW w:w="609" w:type="pct"/>
            <w:vMerge w:val="restart"/>
            <w:vAlign w:val="center"/>
          </w:tcPr>
          <w:p w14:paraId="660100D8"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Genes|Genomes|Genetics","id":"ITEM-1","issue":"3","issued":{"date-parts":[["2020","3"]]},"page":"1137-1148","title":"The unique antimicrobial recognition and signaling pathways in tardigrades with a comparison across Ecdysozoa","type":"article-journal","volume":"10"},"uris":["http://www.mendeley.com/documents/?uuid=d59fbcc5-e3f1-4ecf-ae5b-b047f07d18be"]}],"mendeley":{"formattedCitation":"(Mapalo &lt;i&gt;et al.&lt;/i&gt;, 2020)","plainTextFormattedCitation":"(Mapalo et al., 2020)","previouslyFormattedCitation":"(Mapalo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657" w:type="pct"/>
            <w:vAlign w:val="center"/>
          </w:tcPr>
          <w:p w14:paraId="4F8A5814"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72" w:type="pct"/>
            <w:vAlign w:val="center"/>
          </w:tcPr>
          <w:p w14:paraId="0961C98A"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46" w:type="pct"/>
            <w:vAlign w:val="center"/>
          </w:tcPr>
          <w:p w14:paraId="077D778C"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93" w:type="pct"/>
            <w:vMerge w:val="restart"/>
            <w:vAlign w:val="center"/>
          </w:tcPr>
          <w:p w14:paraId="735FE31D"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{"citationItems":[{"id":"ITEM-1","itemData":{"DOI":"10.4049/jimmunol.1303309","ISSN":"0022-1767","abstract":"The fruit fly, Drosophila melanogaster, has helped us to understand how innate immunity is activated. In addition to the Toll receptor and the Toll signaling pathway, the Drosophila immune response is regulated by another evolutionarily conserved signaling cascade, the immune deficiency (Imd) pathway, which activates NFkB. In fact, the Imd pathway controls the expression of most of the antimicrobial peptides in Drosophila; thus, it is indispensable for normal immunity in flies. In this article, we review the current literature on the Drosophila Imd pathway, with special emphasis on its role in the (patho)physiology of different organs. We discuss the systemic response, as well as local responses, in the epithelial and mucosal surfaces and the nervous system. Copyright © 2014 by The American Association of Immunologists, Inc.","author":[{"dropping-particle":"","family":"Myllymäki","given":"Henna","non-dropping-particle":"","parse-names":false,"suffix":""},{"dropping-particle":"","family":"Valanne","given":"Susanna","non-dropping-particle":"","parse-names":false,"suffix":""},{"dropping-particle":"","family":"Rämet","given":"Mika","non-dropping-particle":"","parse-names":false,"suffix":""}],"container-title":"The Journal of Immunology","id":"ITEM-1","issue":"8","issued":{"date-parts":[["2014","4","15"]]},"page":"3455-3462","title":"The &lt;i&gt;Drosophila &lt;/i&gt;Imd signaling pathway","type":"article-journal","volume":"192"},"uris":["http://www.mendeley.com/documents/?uuid=674c8d7c-1bde-4e86-ba02-eb0c51ec96b2"]}],"mendeley":{"formattedCitation":"(Myllymäki &lt;i&gt;et al.&lt;/i&gt;, 2014)","plainTextFormattedCitation":"(Myllymäki et al., 2014)","previouslyFormattedCitation":"(Myllymäki &lt;i&gt;et al.&lt;/i&gt;, 2014)"},"properties":{"noteIndex":0},"schema":"https://github.com/citation-style-language/schema/raw/master/csl-citation.json"}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(Myllymäki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2014)</w:t>
            </w:r>
            <w:r w:rsidRPr="00805017">
              <w:rPr>
                <w:rFonts w:ascii="Arial" w:hAnsi="Arial" w:cs="Arial"/>
                <w:color w:val="000000" w:themeColor="text1"/>
                <w:sz w:val="18"/>
                <w:szCs w:val="18"/>
              </w:rPr>
              <w:fldChar w:fldCharType="end"/>
            </w:r>
          </w:p>
        </w:tc>
      </w:tr>
      <w:tr w:rsidR="001D7AD3" w:rsidRPr="00805017" w14:paraId="213DAB66" w14:textId="77777777" w:rsidTr="00605F18">
        <w:tc>
          <w:tcPr>
            <w:tcW w:w="470" w:type="pct"/>
          </w:tcPr>
          <w:p w14:paraId="3FBCEA8C"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Fadd</w:t>
            </w:r>
          </w:p>
        </w:tc>
        <w:tc>
          <w:tcPr>
            <w:tcW w:w="614" w:type="pct"/>
            <w:vMerge/>
            <w:vAlign w:val="center"/>
          </w:tcPr>
          <w:p w14:paraId="4D7ED952"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1663FE2D"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{"citationItems":[{"id":"ITEM-1","itemData":{"DOI":"10.1074/jbc.C000341200","ISSN":"00219258","PMID":"10934188","abstract":"Apoptotic cell death occurs through activation of procaspases, the precursors of a group of aspartate-specific cysteine proteases known as caspases. Procaspase activation is mediated by death adapter proteins such as the mammalian proteins FADD and Apaf-1 and the Caenorhabditis elegans protein CED-4. These adapters bind to procaspases and facilitate oligomerization and subsequent auto-proteolytic processing of the zymogens. Here we report cloning and characterization of dFADD, a FADD homologue in Drosophila. dFADD contains a death domain that is highly homologous to the FADD death domain, and it also shares a novel domain with a Drosophila caspase DREDD, which we call death-inducing domain, dFADD binds to DREDD through the death-inducing domain and enhances the cell death activity and proteolytic processing of DREDD. dFADD and DREDD are stabilized by their interaction. The structural and functional similarities between dFADD and FADD suggest the existence of a FADD-like apoptosis pathway in Drosophila.","author":[{"dropping-particle":"","family":"Hu","given":"Shimin","non-dropping-particle":"","parse-names":false,"suffix":""},{"dropping-particle":"","family":"Yang","given":"Xiaolu","non-dropping-particle":"","parse-names":false,"suffix":""}],"container-title":"Journal of Biological Chemistry","id":"ITEM-1","issue":"40","issued":{"date-parts":[["2000","10"]]},"page":"30761-30764","title":"dFADD, a novel death domain-containing adapter protein for the &lt;i&gt;Drosophila&lt;/i&gt; caspase DREDD","type":"article-journal","volume":"275"},"uris":["http://www.mendeley.com/documents/?uuid=1a47f648-7f5f-44d1-98f6-c06fdb41e918"]},{"id":"ITEM-2","itemData":{"DOI":"10.1016/S1074-7613(02)00454-5","ISSN":"10747613","abstract":"Drosophila responds to Gram-negative infections by mounting an immune response that depends on components of the IMD pathway. We recently showed that imd encodes a protein with a death domain with high similarity to that of mammalian RIP. Using a two-hybrid screen in yeast, we have isolated the death protein dFADD as a molecule that associates with IMD. Our data show that loss of dFADD function renders flies highly susceptible to Gram-negative infections without affecting resistance to Gram-positive bacteria. By genetic analysis we show that dFADD acts downstream of IMD in the pathway that controls inducibility of the antibacterial peptide genes.","author":[{"dropping-particle":"","family":"Naitza","given":"Silvia","non-dropping-particle":"","parse-names":false,"suffix":""},{"dropping-particle":"","family":"Rossé","given":"Carine","non-dropping-particle":"","parse-names":false,"suffix":""},{"dropping-particle":"","family":"Kappler","given":"Christine","non-dropping-particle":"","parse-names":false,"suffix":""},{"dropping-particle":"","family":"Georgel","given":"Philippe","non-dropping-particle":"","parse-names":false,"suffix":""},{"dropping-particle":"","family":"Belvin","given":"Marcia","non-dropping-particle":"","parse-names":false,"suffix":""},{"dropping-particle":"","family":"Gubb","given":"David","non-dropping-particle":"","parse-names":false,"suffix":""},{"dropping-particle":"","family":"Camonis","given":"Jacques","non-dropping-particle":"","parse-names":false,"suffix":""},{"dropping-particle":"","family":"Hoffmann","given":"Jules A.","non-dropping-particle":"","parse-names":false,"suffix":""},{"dropping-particle":"","family":"Reichhart","given":"Jean-Marc","non-dropping-particle":"","parse-names":false,"suffix":""}],"container-title":"Immunity","id":"ITEM-2","issue":"5","issued":{"date-parts":[["2002","11"]]},"page":"575-581","title":"The&lt;i&gt; Drosophila &lt;/i&gt;immune defense against gram-negative infection requires the Death protein dFADD","type":"article-journal","volume":"17"},"uris":["http://www.mendeley.com/documents/?uuid=ac2dc3e4-b6e1-4968-ab96-db088375d077"]}],"mendeley":{"formattedCitation":"(Hu and Yang, 2000; Naitza &lt;i&gt;et al.&lt;/i&gt;, 2002)","plainTextFormattedCitation":"(Hu and Yang, 2000; Naitza et al., 2002)","previouslyFormattedCitation":"(Hu and Yang, 2000; Naitza &lt;i&gt;et al.&lt;/i&gt;, 2002)"},"properties":{"noteIndex":0},"schema":"https://github.com/citation-style-language/schema/raw/master/csl-citation.json"}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(Hu and Yang, 2000; Naitza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2002)</w:t>
            </w:r>
            <w:r w:rsidRPr="00805017">
              <w:rPr>
                <w:rFonts w:ascii="Arial" w:hAnsi="Arial" w:cs="Arial"/>
                <w:color w:val="000000" w:themeColor="text1"/>
                <w:sz w:val="18"/>
                <w:szCs w:val="18"/>
              </w:rPr>
              <w:fldChar w:fldCharType="end"/>
            </w:r>
          </w:p>
        </w:tc>
        <w:tc>
          <w:tcPr>
            <w:tcW w:w="609" w:type="pct"/>
            <w:vMerge/>
            <w:vAlign w:val="center"/>
          </w:tcPr>
          <w:p w14:paraId="151AC098" w14:textId="77777777" w:rsidR="001D7AD3" w:rsidRPr="00805017" w:rsidRDefault="001D7AD3" w:rsidP="00605F18">
            <w:pPr>
              <w:jc w:val="center"/>
              <w:rPr>
                <w:rFonts w:ascii="Arial" w:hAnsi="Arial" w:cs="Arial"/>
                <w:color w:val="000000" w:themeColor="text1"/>
                <w:sz w:val="18"/>
                <w:szCs w:val="18"/>
              </w:rPr>
            </w:pPr>
          </w:p>
        </w:tc>
        <w:tc>
          <w:tcPr>
            <w:tcW w:w="657" w:type="pct"/>
            <w:vAlign w:val="center"/>
          </w:tcPr>
          <w:p w14:paraId="3E5B3C32" w14:textId="77777777" w:rsidR="001D7AD3" w:rsidRPr="001D7AD3" w:rsidRDefault="001D7AD3" w:rsidP="00605F18">
            <w:pPr>
              <w:jc w:val="center"/>
              <w:rPr>
                <w:rFonts w:ascii="Arial" w:hAnsi="Arial" w:cs="Arial"/>
                <w:color w:val="000000" w:themeColor="text1"/>
                <w:sz w:val="18"/>
                <w:szCs w:val="18"/>
              </w:rPr>
            </w:pPr>
            <w:r w:rsidRPr="001D7AD3">
              <w:rPr>
                <w:rFonts w:ascii="Arial" w:hAnsi="Arial" w:cs="Arial"/>
                <w:color w:val="000000" w:themeColor="text1"/>
                <w:sz w:val="18"/>
                <w:szCs w:val="18"/>
              </w:rPr>
              <w:t>X</w:t>
            </w:r>
          </w:p>
        </w:tc>
        <w:tc>
          <w:tcPr>
            <w:tcW w:w="572" w:type="pct"/>
            <w:vAlign w:val="center"/>
          </w:tcPr>
          <w:p w14:paraId="4D210DC0" w14:textId="77777777" w:rsidR="001D7AD3" w:rsidRPr="001D7AD3" w:rsidRDefault="001D7AD3" w:rsidP="00605F18">
            <w:pPr>
              <w:jc w:val="center"/>
              <w:rPr>
                <w:rFonts w:ascii="Arial" w:hAnsi="Arial" w:cs="Arial"/>
                <w:color w:val="000000" w:themeColor="text1"/>
                <w:sz w:val="18"/>
                <w:szCs w:val="18"/>
              </w:rPr>
            </w:pPr>
            <w:r w:rsidRPr="001D7AD3">
              <w:rPr>
                <w:rFonts w:ascii="Arial" w:hAnsi="Arial" w:cs="Arial"/>
                <w:color w:val="000000" w:themeColor="text1"/>
                <w:sz w:val="18"/>
                <w:szCs w:val="18"/>
              </w:rPr>
              <w:t>X</w:t>
            </w:r>
          </w:p>
        </w:tc>
        <w:tc>
          <w:tcPr>
            <w:tcW w:w="646" w:type="pct"/>
            <w:vAlign w:val="center"/>
          </w:tcPr>
          <w:p w14:paraId="08195273" w14:textId="77777777" w:rsidR="001D7AD3" w:rsidRPr="001D7AD3" w:rsidRDefault="001D7AD3" w:rsidP="00605F18">
            <w:pPr>
              <w:jc w:val="center"/>
              <w:rPr>
                <w:rFonts w:ascii="Arial" w:hAnsi="Arial" w:cs="Arial"/>
                <w:color w:val="000000" w:themeColor="text1"/>
                <w:sz w:val="18"/>
                <w:szCs w:val="18"/>
              </w:rPr>
            </w:pPr>
            <w:r w:rsidRPr="001D7AD3">
              <w:rPr>
                <w:rFonts w:ascii="Arial" w:hAnsi="Arial" w:cs="Arial"/>
                <w:color w:val="000000" w:themeColor="text1"/>
                <w:sz w:val="18"/>
                <w:szCs w:val="18"/>
              </w:rPr>
              <w:t>X</w:t>
            </w:r>
          </w:p>
        </w:tc>
        <w:tc>
          <w:tcPr>
            <w:tcW w:w="593" w:type="pct"/>
            <w:vMerge/>
            <w:vAlign w:val="center"/>
          </w:tcPr>
          <w:p w14:paraId="4E7CB522" w14:textId="77777777" w:rsidR="001D7AD3" w:rsidRPr="00805017" w:rsidRDefault="001D7AD3" w:rsidP="00605F18">
            <w:pPr>
              <w:jc w:val="center"/>
              <w:rPr>
                <w:rFonts w:ascii="Arial" w:hAnsi="Arial" w:cs="Arial"/>
                <w:color w:val="000000" w:themeColor="text1"/>
                <w:sz w:val="18"/>
                <w:szCs w:val="18"/>
              </w:rPr>
            </w:pPr>
          </w:p>
        </w:tc>
      </w:tr>
      <w:tr w:rsidR="001D7AD3" w:rsidRPr="00805017" w14:paraId="01CC7A92" w14:textId="77777777" w:rsidTr="00605F18">
        <w:tc>
          <w:tcPr>
            <w:tcW w:w="470" w:type="pct"/>
          </w:tcPr>
          <w:p w14:paraId="55E53DEC"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Dredd</w:t>
            </w:r>
          </w:p>
        </w:tc>
        <w:tc>
          <w:tcPr>
            <w:tcW w:w="614" w:type="pct"/>
            <w:vMerge/>
            <w:vAlign w:val="center"/>
          </w:tcPr>
          <w:p w14:paraId="568566B7"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56C26E78"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{"citationItems":[{"id":"ITEM-1","itemData":{"DOI":"10.1074/jbc.C000341200","ISSN":"00219258","PMID":"10934188","abstract":"Apoptotic cell death occurs through activation of procaspases, the precursors of a group of aspartate-specific cysteine proteases known as caspases. Procaspase activation is mediated by death adapter proteins such as the mammalian proteins FADD and Apaf-1 and the Caenorhabditis elegans protein CED-4. These adapters bind to procaspases and facilitate oligomerization and subsequent auto-proteolytic processing of the zymogens. Here we report cloning and characterization of dFADD, a FADD homologue in Drosophila. dFADD contains a death domain that is highly homologous to the FADD death domain, and it also shares a novel domain with a Drosophila caspase DREDD, which we call death-inducing domain, dFADD binds to DREDD through the death-inducing domain and enhances the cell death activity and proteolytic processing of DREDD. dFADD and DREDD are stabilized by their interaction. The structural and functional similarities between dFADD and FADD suggest the existence of a FADD-like apoptosis pathway in Drosophila.","author":[{"dropping-particle":"","family":"Hu","given":"Shimin","non-dropping-particle":"","parse-names":false,"suffix":""},{"dropping-particle":"","family":"Yang","given":"Xiaolu","non-dropping-particle":"","parse-names":false,"suffix":""}],"container-title":"Journal of Biological Chemistry","id":"ITEM-1","issue":"40","issued":{"date-parts":[["2000","10"]]},"page":"30761-30764","title":"dFADD, a novel death domain-containing adapter protein for the &lt;i&gt;Drosophila&lt;/i&gt; caspase DREDD","type":"article-journal","volume":"275"},"uris":["http://www.mendeley.com/documents/?uuid=1a47f648-7f5f-44d1-98f6-c06fdb41e918"]}],"mendeley":{"formattedCitation":"(Hu and Yang, 2000)","plainTextFormattedCitation":"(Hu and Yang, 2000)","previouslyFormattedCitation":"(Hu and Yang, 2000)"},"properties":{"noteIndex":0},"schema":"https://github.com/citation-style-language/schema/raw/master/csl-citation.json"}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(Hu and Yang, 2000)</w:t>
            </w:r>
            <w:r w:rsidRPr="00805017">
              <w:rPr>
                <w:rFonts w:ascii="Arial" w:hAnsi="Arial" w:cs="Arial"/>
                <w:color w:val="000000" w:themeColor="text1"/>
                <w:sz w:val="18"/>
                <w:szCs w:val="18"/>
              </w:rPr>
              <w:fldChar w:fldCharType="end"/>
            </w:r>
          </w:p>
        </w:tc>
        <w:tc>
          <w:tcPr>
            <w:tcW w:w="609" w:type="pct"/>
            <w:vMerge/>
            <w:vAlign w:val="center"/>
          </w:tcPr>
          <w:p w14:paraId="7C14D253" w14:textId="77777777" w:rsidR="001D7AD3" w:rsidRPr="00805017" w:rsidRDefault="001D7AD3" w:rsidP="00605F18">
            <w:pPr>
              <w:jc w:val="center"/>
              <w:rPr>
                <w:rFonts w:ascii="Arial" w:hAnsi="Arial" w:cs="Arial"/>
                <w:color w:val="000000" w:themeColor="text1"/>
                <w:sz w:val="18"/>
                <w:szCs w:val="18"/>
              </w:rPr>
            </w:pPr>
          </w:p>
        </w:tc>
        <w:tc>
          <w:tcPr>
            <w:tcW w:w="657" w:type="pct"/>
            <w:vAlign w:val="center"/>
          </w:tcPr>
          <w:p w14:paraId="45D5A719"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72" w:type="pct"/>
            <w:vAlign w:val="center"/>
          </w:tcPr>
          <w:p w14:paraId="3078481E"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46" w:type="pct"/>
            <w:vAlign w:val="center"/>
          </w:tcPr>
          <w:p w14:paraId="11737F2B"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93" w:type="pct"/>
            <w:vMerge/>
            <w:vAlign w:val="center"/>
          </w:tcPr>
          <w:p w14:paraId="16E2470D" w14:textId="77777777" w:rsidR="001D7AD3" w:rsidRPr="00805017" w:rsidRDefault="001D7AD3" w:rsidP="00605F18">
            <w:pPr>
              <w:jc w:val="center"/>
              <w:rPr>
                <w:rFonts w:ascii="Arial" w:hAnsi="Arial" w:cs="Arial"/>
                <w:color w:val="000000" w:themeColor="text1"/>
                <w:sz w:val="18"/>
                <w:szCs w:val="18"/>
              </w:rPr>
            </w:pPr>
          </w:p>
        </w:tc>
      </w:tr>
      <w:tr w:rsidR="001D7AD3" w:rsidRPr="00805017" w14:paraId="2CCE2980" w14:textId="77777777" w:rsidTr="00605F18">
        <w:tc>
          <w:tcPr>
            <w:tcW w:w="470" w:type="pct"/>
          </w:tcPr>
          <w:p w14:paraId="1C86D309"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Relish</w:t>
            </w:r>
          </w:p>
        </w:tc>
        <w:tc>
          <w:tcPr>
            <w:tcW w:w="614" w:type="pct"/>
            <w:vMerge/>
            <w:vAlign w:val="center"/>
          </w:tcPr>
          <w:p w14:paraId="7B5AC940"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64E789F1"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{"citationItems":[{"id":"ITEM-1","itemData":{"DOI":"10.1073/pnas.93.19.10343","ISSN":"0027-8424","PMID":"8816802","abstract":"NF-κB/Rel transcription factors are central regulators of mammalian immunity and are also implicated in the induction of cecropins and other antibacterial peptides in insects. We identified the gene for Relish, a compound Drosophila protein that, like mammalian p105 and p100, contains both a Rel homology domain and an IκB-like domain. Relish is strongly induced in infected flies, and it can activate transcription from the Cecropin A1 promoter. A Relish transcript is also detected in early embryos, suggesting that it acts in both immunity and embryogenesis. The presence of a compound Rel protein in Drosophila indicates that similar proteins were likely present in primordial immune systems and may serve unique signaling functions.","author":[{"dropping-particle":"","family":"Dushay","given":"Mitchell S.","non-dropping-particle":"","parse-names":false,"suffix":""},{"dropping-particle":"","family":"Asling","given":"B.","non-dropping-particle":"","parse-names":false,"suffix":""},{"dropping-particle":"","family":"Hultmark","given":"Dan","non-dropping-particle":"","parse-names":false,"suffix":""}],"container-title":"Proceedings of the National Academy of Sciences","id":"ITEM-1","issue":"19","issued":{"date-parts":[["1996","9","17"]]},"page":"10343-10347","title":"Origins of immunity: Relish, a compound &lt;i&gt;Rel&lt;i/&gt;-like gene in the antibacterial defense of &lt;i&gt;Drosophila&lt;/i&gt;.","type":"article-journal","volume":"93"},"uris":["http://www.mendeley.com/documents/?uuid=db339677-7e35-4885-9e53-847497f40c39"]},{"id":"ITEM-2","itemData":{"DOI":"10.1073/pnas.162345999","ISSN":"0027-8424","PMID":"12119421","abstract":"The Rel/NF-κB transcription factor Relish performs a central role in the acute-phase response to microbial challenge by activating immune antibacterial peptides. We cloned and molecularly characterized the gene homologous to Drosophila Relish from the mosquito Aedes aegypti. Unlike Drosophila Relish, Aedes Relish has three alternatively spliced transcripts encoding different proteins. First, the predominant Aedes Relish transcript of 3.9 kb contains both the Rel-homology domains and the inhibitor κB (IκB)-like domain, which is similar to Drosophila Relish and to the mammalian p105 and p100 Rel/NF-κB transcription factors. Second, Aedes Relish transcript contains Rel-homology domains identical to those of the major transcript but it completely lacks the IκB-like domain-coding region, which has been replaced by a unique 3'-untranslated region sequence. In the third transcript, a deletion replaces most of the N-terminal sequence and Relhomology domains; however, the IκB-like domain is intact. All three Aedes Relish transcripts were induced by bacterial injection but not by blood feeding. In vitro-translated protein from the Rel-only construct specifically binds to the κB motif from Drosophila cecropin A1 and Aedes defensin genes. PCR and Southern blot hybridization analyses show that these three transcripts originated from the same large inducible mRNA encoded by a single Relish gene.","author":[{"dropping-particle":"","family":"Shin","given":"Sang Woon","non-dropping-particle":"","parse-names":false,"suffix":""},{"dropping-particle":"","family":"Kokoza","given":"Vladimir","non-dropping-particle":"","parse-names":false,"suffix":""},{"dropping-particle":"","family":"Ahmed","given":"Abduelaziz","non-dropping-particle":"","parse-names":false,"suffix":""},{"dropping-particle":"","family":"Raikhel","given":"Alexander S.","non-dropping-particle":"","parse-names":false,"suffix":""}],"container-title":"Proceedings of the National Academy of Sciences","id":"ITEM-2","issue":"15","issued":{"date-parts":[["2002","7","23"]]},"page":"9978-9983","title":"Characterization of three alternatively spliced isoforms of the Rel/NF- B transcription factor Relish from the mosquito &lt;i&gt;Aedes aegypti&lt;/i&gt;","type":"article-journal","volume":"99"},"uris":["http://www.mendeley.com/documents/?uuid=125f04c2-6643-4c9b-be8e-e8012b62849b"]}],"mendeley":{"formattedCitation":"(Dushay &lt;i&gt;et al.&lt;/i&gt;, 1996; Shin &lt;i&gt;et al.&lt;/i&gt;, 2002)","plainTextFormattedCitation":"(Dushay et al., 1996; Shin et al., 2002)","previouslyFormattedCitation":"(Dushay &lt;i&gt;et al.&lt;/i&gt;, 1996; Shin &lt;i&gt;et al.&lt;/i&gt;, 2002)"},"properties":{"noteIndex":0},"schema":"https://github.com/citation-style-language/schema/raw/master/csl-citation.json"}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(Dushay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1996; Shin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2002)</w:t>
            </w:r>
            <w:r w:rsidRPr="00805017">
              <w:rPr>
                <w:rFonts w:ascii="Arial" w:hAnsi="Arial" w:cs="Arial"/>
                <w:color w:val="000000" w:themeColor="text1"/>
                <w:sz w:val="18"/>
                <w:szCs w:val="18"/>
              </w:rPr>
              <w:fldChar w:fldCharType="end"/>
            </w:r>
          </w:p>
        </w:tc>
        <w:tc>
          <w:tcPr>
            <w:tcW w:w="609" w:type="pct"/>
            <w:vMerge/>
            <w:vAlign w:val="center"/>
          </w:tcPr>
          <w:p w14:paraId="21A3DFC2" w14:textId="77777777" w:rsidR="001D7AD3" w:rsidRPr="00805017" w:rsidRDefault="001D7AD3" w:rsidP="00605F18">
            <w:pPr>
              <w:jc w:val="center"/>
              <w:rPr>
                <w:rFonts w:ascii="Arial" w:hAnsi="Arial" w:cs="Arial"/>
                <w:color w:val="000000" w:themeColor="text1"/>
                <w:sz w:val="18"/>
                <w:szCs w:val="18"/>
              </w:rPr>
            </w:pPr>
          </w:p>
        </w:tc>
        <w:tc>
          <w:tcPr>
            <w:tcW w:w="657" w:type="pct"/>
            <w:vAlign w:val="center"/>
          </w:tcPr>
          <w:p w14:paraId="26CBDCF6"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72" w:type="pct"/>
            <w:vAlign w:val="center"/>
          </w:tcPr>
          <w:p w14:paraId="75E887C8"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46" w:type="pct"/>
            <w:vAlign w:val="center"/>
          </w:tcPr>
          <w:p w14:paraId="74ADE942"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93" w:type="pct"/>
            <w:vMerge/>
            <w:vAlign w:val="center"/>
          </w:tcPr>
          <w:p w14:paraId="4EDA6E81" w14:textId="77777777" w:rsidR="001D7AD3" w:rsidRPr="00805017" w:rsidRDefault="001D7AD3" w:rsidP="00605F18">
            <w:pPr>
              <w:jc w:val="center"/>
              <w:rPr>
                <w:rFonts w:ascii="Arial" w:hAnsi="Arial" w:cs="Arial"/>
                <w:color w:val="000000" w:themeColor="text1"/>
                <w:sz w:val="18"/>
                <w:szCs w:val="18"/>
              </w:rPr>
            </w:pPr>
          </w:p>
        </w:tc>
      </w:tr>
      <w:tr w:rsidR="001D7AD3" w:rsidRPr="00805017" w14:paraId="1554FF26" w14:textId="77777777" w:rsidTr="00605F18">
        <w:tc>
          <w:tcPr>
            <w:tcW w:w="470" w:type="pct"/>
          </w:tcPr>
          <w:p w14:paraId="7C1AD6C8"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tPGRP</w:t>
            </w:r>
          </w:p>
        </w:tc>
        <w:tc>
          <w:tcPr>
            <w:tcW w:w="614" w:type="pct"/>
            <w:vAlign w:val="center"/>
          </w:tcPr>
          <w:p w14:paraId="2CAEBB35"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{"citationItems":[{"id":"ITEM-1","itemData":{"DOI":"10.1186/gb-2006-7-8-232","ISSN":"14747596","abstract":"Peptidoglycan recognition proteins (PGRPs) are innate immunity molecules present in insects, mollusks, echinoderms, and vertebrates, but not in nematodes or plants. PGRPs have at least one carboxy-terminal PGRP domain (approximately 165 amino acids long), which is homologous to bacteriophage and bacterial type 2 amidases. Insects have up to 19 PGRPs, classified into short (S) and long (L) forms. The short forms are present in the hemolymph, cuticle, and fat-body cells, and sometimes in epidermal cells in the gut and hemocytes, whereas the long forms are mainly expressed in hemocytes. The expression of insect PGRPs is often upregulated by exposure to bacteria. Insect PGRPs activate the Toll or immune deficiency (Imd) signal transduction pathways or induce proteolytic cascades that generate antimicrobial products, induce phagocytosis, hydrolyze peptidoglycan, and protect insects against infections. Mammals have four PGRPs, which are secreted; it is not clear whether any are directly orthologous to the insect PGRPs. One mammalian PGRP, PGLYRP-2, is an N-acetylmuramoyl-L-alanine amidase that hydrolyzes bacterial peptidoglycan and reduces its proinflammatory activity; PGLYRP-2 is secreted from the liver into the blood and is also induced by bacteria in epithelial cells. The three remaining mammalian PGRPs are bactericidal proteins that are secreted as disulfide-linked homo- and hetero-dimers. PGLYRP-1 is expressed primarily in polymorphonuclear leukocyte granules and PGLYRP-3 and PGLYRP-4 are expressed in the skin, eyes, salivary glands, throat, tongue, esophagus, stomach, and intestine. These three proteins kill bacteria by interacting with cell wall peptidoglycan, rather than permeabilizing bacterial membranes as other antibacterial peptides do. Direct bactericidal activity of these PGRPs either evolved in the vertebrate (or mammalian) lineage or is yet to be discovered in insects. © 2006 BioMed Central Ltd.","author":[{"dropping-particle":"","family":"Dziarski","given":"Roman","non-dropping-particle":"","parse-names":false,"suffix":""},{"dropping-particle":"","family":"Gupta","given":"Dipika","non-dropping-particle":"","parse-names":false,"suffix":""}],"container-title":"Genome Biology","id":"ITEM-1","issue":"8","issued":{"date-parts":[["2006"]]},"page":"1-13","title":"The peptidoglycan recognition proteins (PGRPs)","type":"article-journal","volume":"7"},"uris":["http://www.mendeley.com/documents/?uuid=728021e6-1cd4-44f1-be35-04519ee42eae"]},{"id":"ITEM-2","itemData":{"DOI":"10.1534/g3.119.400734","ISBN":"0000000327855","ISSN":"2160-1836","PMID":"31969428","abstract":"Tardigrades are microscopic animals known to withstand unfavorable abiotic conditions. These animals are also constantly exposed to biotic stresses, including parasites and internal microbiomes. However, the tardigrade immune mechanisms against these biotic stresses are largely uncharacterized. Due to the contentious phylogenetic position of tardigrades, it is not intuitive whether they possess an immune system more similar to that of arthropods ( e.g. , Toll, Imd, and JNK pathways of the Drosophila melanogaster antimicrobial response) or to that of nematodes ( e.g. , the Tir-1/Nsy-1/Sek-1/Pmk-1/Atf-7 signaling cassette [called Tir-1 pathway here]) in Caenorhabditis elegans ). In this study, comparative genomic analyses were conducted to mine homologs of canonical D. melanogaster and C. elegans immune pathway genes from eight tardigrades ( Echiniscoides cf. sigismundi , Echiniscus testudo , Hypsibius exemplaris , Mesobiotus philippinicus , Milnesium tardigradum , Paramacrobiotus richtersi , Richtersius cf. coronifer , and Ramazzottius varieornatus ) and four non-arthropod ecdysozoans (two onychophorans: Epiperipatus sp. and Opisthopatus kwazululandi ; one nematomorph: Paragordius varius ; and one priapulan: Priapulus caudatus ) in order to provide insights into the tardigrade antimicrobial system. No homologs of the intracellular components of the Toll pathway were detected in any of the tardigrades examined. Likewise, no homologs of most of the Imd pathway genes were detected in any of the tardigrades or any of the other non-arthropod ecdysozoans. Both the JNK and Tir-1 pathways, on the other hand, were found to be conserved across ecdysozoans. Interestingly, tardigrades had no detectable homologs of NF-κB , the major activator of antimicrobial response gene expression. Instead, tardigrades appear to possess NF-κB distantly related NFAT homologs. Overall, our results show that tardigrades have a unique gene pathway repertoire that differs from that of other ecdysozoans. Our study also provides a framework for future studies on tardigrade immune responses.","author":[{"dropping-particle":"","family":"Mapalo","given":"Marc A.","non-dropping-particle":"","parse-names":false,"suffix":""},{"dropping-particle":"","family":"Arakawa","given":"Kazuharu","non-dropping-particle":"","parse-names":false,"suffix":""},{"dropping-particle":"","family":"Baker","given":"Caitlin M.","non-dropping-particle":"","parse-names":false,"suffix":""},{"dropping-particle":"","family":"Persson","given":"Dennis K.","non-dropping-particle":"","parse-names":false,"suffix":""},{"dropping-particle":"","family":"Mirano-Bascos","given":"Denise","non-dropping-particle":"","parse-names":false,"suffix":""},{"dropping-particle":"","family":"Giribet","given":"Gonzalo","non-dropping-particle":"","parse-names":false,"suffix":""}],"container-title":"G3 Genes|Genomes|Genetics","id":"ITEM-2","issue":"3","issued":{"date-parts":[["2020","3"]]},"page":"1137-1148","title":"The unique antimicrobial recognition and signaling pathways in tardigrades with a comparison across Ecdysozoa","type":"article-journal","volume":"10"},"uris":["http://www.mendeley.com/documents/?uuid=d59fbcc5-e3f1-4ecf-ae5b-b047f07d18be"]}],"mendeley":{"formattedCitation":"(Dziarski and Gupta, 2006; Mapalo &lt;i&gt;et al.&lt;/i&gt;, 2020)","plainTextFormattedCitation":"(Dziarski and Gupta, 2006; Mapalo et al., 2020)","previouslyFormattedCitation":"(Dziarski and Gupta, 2006; Mapalo &lt;i&gt;et al.&lt;/i&gt;, 2020)"},"properties":{"noteIndex":0},"schema":"https://github.com/citation-style-language/schema/raw/master/csl-citation.json"}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(Dziarski and Gupta, 2006; Mapalo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2020)</w:t>
            </w:r>
            <w:r w:rsidRPr="00805017">
              <w:rPr>
                <w:rFonts w:ascii="Arial" w:hAnsi="Arial" w:cs="Arial"/>
                <w:color w:val="000000" w:themeColor="text1"/>
                <w:sz w:val="18"/>
                <w:szCs w:val="18"/>
              </w:rPr>
              <w:fldChar w:fldCharType="end"/>
            </w:r>
          </w:p>
        </w:tc>
        <w:tc>
          <w:tcPr>
            <w:tcW w:w="839" w:type="pct"/>
            <w:vAlign w:val="center"/>
          </w:tcPr>
          <w:p w14:paraId="4650A02B"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{"citationItems":[{"id":"ITEM-1","itemData":{"DOI":"10.1073/pnas.97.25.13772","ISSN":"0027-8424","abstract":"Peptidoglycans from bacterial cell walls trigger immune responses in insects and mammals. A peptidoglycan recognition protein, PGRP, has been cloned from moths as well as vertebrates and has been shown to participate in peptidoglycan-mediated activation of prophenoloxidase in the silk moth. Here we report that Drosophila expresses 12 PGRP genes, distributed in 8 chromosomal loci on the 3 major chromosomes. By analyzing cDNA clones and genomic databases, we grouped them into two classes: PGRP-SA, SB1, SB2, SC1A, SC1B, SC2, and SD, with short transcripts and short 5'-untranslated regions; and PGRP-LA, LB, LC, LD, and LE, with long transcripts and long 5'-untranslated regions. The predicted structures indicate that the first group encodes extracellular proteins and the second group, intracellular and membrane-spanning proteins. Most PGRP genes are expressed in all postembryonic stages. Peptidoglycan injections strongly induce five of the genes. Transcripts from the different PGRP genes were found in immune competent organs such as fat body, gut, and hemocytes. We demonstrate that at least PGRP-SA and SC1B can bind peptidoglycan, and a function in immunity is likely for this family.","author":[{"dropping-particle":"","family":"Werner","given":"Thomas","non-dropping-particle":"","parse-names":false,"suffix":""},{"dropping-particle":"","family":"Liu","given":"Gang","non-dropping-particle":"","parse-names":false,"suffix":""},{"dropping-particle":"","family":"Kang","given":"Daiwu","non-dropping-particle":"","parse-names":false,"suffix":""},{"dropping-particle":"","family":"Ekengren","given":"Sophia","non-dropping-particle":"","parse-names":false,"suffix":""},{"dropping-particle":"","family":"Steiner","given":"Håkan","non-dropping-particle":"","parse-names":false,"suffix":""},{"dropping-particle":"","family":"Hultmark","given":"Dan","non-dropping-particle":"","parse-names":false,"suffix":""}],"container-title":"Proceedings of the National Academy of Sciences","id":"ITEM-1","issue":"25","issued":{"date-parts":[["2000","12","5"]]},"page":"13772-13777","title":"A family of peptidoglycan recognition proteins in the fruit fly &lt;i&gt;Drosophila melanogaster&lt;/i&gt;","type":"article-journal","volume":"97"},"uris":["http://www.mendeley.com/documents/?uuid=061e3087-8130-450c-96fe-0edf765a0d89"]},{"id":"ITEM-2","itemData":{"DOI":"10.1074/jbc.C300184200","ISSN":"00219258","abstract":"The peptidoglycan recognition protein PGRP-LC is a major activator of the imd/Relish pathway in the Drosophila immune response. Three transcripts are generated by alternative splicing of the complex PGRP-LC gene. The encoded transmembrane proteins share an identical intracellular part, but each has a separate extracellular PGRP-domain: x, y, or a. Here we show that two of these isoforms play unique roles in the response to different microorganisms. Using RNA interference in Drosophila mbn-2 cells, we found that PGRP-LCx is the only isoform required to mediate signals from Gram-positive bacteria and purified bacterial peptidoglycan. By contrast, the recognition of Gram-negative bacteria and bacterial lipopolysaccharide requires both PGRP-LCa and LCx. The third isoform, LCy, is expressed at lower levels and may be partially redundant. Two additional PGRP domains in the gene cluster, z and w, are both included in a single transcript of a separate gene, PGRP-LF. Suppression of this transcript does not block the response to any of the microorganisms tested.","author":[{"dropping-particle":"","family":"Werner","given":"Thomas","non-dropping-particle":"","parse-names":false,"suffix":""},{"dropping-particle":"","family":"Borge-Renberg","given":"Karin","non-dropping-particle":"","parse-names":false,"suffix":""},{"dropping-particle":"","family":"Mellroth","given":"Peter","non-dropping-particle":"","parse-names":false,"suffix":""},{"dropping-particle":"","family":"Steiner","given":"Håkan","non-dropping-particle":"","parse-names":false,"suffix":""},{"dropping-particle":"","family":"Hultmark","given":"Dan","non-dropping-particle":"","parse-names":false,"suffix":""}],"container-title":"Journal of Biological Chemistry","id":"ITEM-2","issue":"29","issued":{"date-parts":[["2003","7"]]},"page":"26319-26322","title":"Functional diversity of the &lt;i&gt;Drosophila PGRP-LC&lt;/i&gt; gene cluster in the response to lipopolysaccharide and peptidoglycan","type":"article-journal","volume":"278"},"uris":["http://www.mendeley.com/documents/?uuid=7fce6b0c-8168-4a4f-ba61-8b5b663b7858"]},{"id":"ITEM-3","itemData":{"DOI":"10.1126/science.1070216","ISSN":"00368075","PMID":"11872802","abstract":"Components of microbial cell walls are potent activators of innate immune responses in animals. For example, the mammalian TLR4 signaling pathway is activated by bacterial lipopolysaccharide and is required for resistance to infection by Gram-negative bacteria. Other components of microbial surfaces, such as peptidoglycan, are also potent activators of innate immune responses, but less is known about how those components activate host defense. Here we show that a peptidoglycan recognition protein, PGRP-LC, is absolutely required for the induction of antibacterial peptide genes in response to infection in Drosophila and acts by controlling activation of the NF-κB family transcription factor Relish.","author":[{"dropping-particle":"","family":"Choe","given":"KM","non-dropping-particle":"","parse-names":false,"suffix":""},{"dropping-particle":"","family":"Werner","given":"T","non-dropping-particle":"","parse-names":false,"suffix":""},{"dropping-particle":"","family":"Stöven","given":"S","non-dropping-particle":"","parse-names":false,"suffix":""},{"dropping-particle":"","family":"Hultmark","given":"D","non-dropping-particle":"","parse-names":false,"suffix":""},{"dropping-particle":"","family":"Anderson","given":"KV","non-dropping-particle":"","parse-names":false,"suffix":""}],"container-title":"Science","id":"ITEM-3","issue":"5566","issued":{"date-parts":[["2002","4","12"]]},"page":"359-362","title":"Requirement for a Peptidoglycan Recognition Protein (PGRP) in Relish Activation and Antibacterial Immune Responses in Drosophila","type":"article-journal","volume":"296"},"uris":["http://www.mendeley.com/documents/?uuid=6bd294f5-99ea-497a-b9a9-6847d09be637"]},{"id":"ITEM-4","itemData":{"DOI":"10.1038/nature734","ISSN":"0028-0836","PMID":"11912488","abstract":"The antimicrobial defence of Drosophila relies largely on the challenge-induced synthesis of an array of potent antimicrobial peptides by the fat body. The defence against Gram-positive bacteria and natural fungal infections is mediated by the Toll signalling pathway, whereas defence against Gram-negative bacteria is dependent on the Immune deficiency (IMD) pathway. Loss-of-function mutations in either pathway reduce the resistance to corresponding infections. The link between microbial infections and activation of these two pathways has remained elusive. The Toll pathway is activated by Gram-positive bacteria through a circulating Peptidoglycan recognition protein (PGRPSA). PGRPs appear to be highly conserved from insects to mammals, and the Drosophila genome contains 13 members. Here we report a mutation in a gene coding for a putative transmembrane protein, PGRP-LC, which reduces survival to Gram-negative sepsis but has no effect on the response to Gram-positive bacteria or natural fungal infections. By genetic epistasis, we demonstrate that PGRP-LC acts upstream of the imd gene. The data on PGRP-SA with respect to the response to Gram-positive infections, together with the present report, indicate that the PGRP family has a principal role in sensing microbial infections in Drosophila.","author":[{"dropping-particle":"","family":"Gottar","given":"Marie","non-dropping-particle":"","parse-names":false,"suffix":""},{"dropping-particle":"","family":"Gobert","given":"Vanessa","non-dropping-particle":"","parse-names":false,"suffix":""},{"dropping-particle":"","family":"Michel","given":"Tatiana","non-dropping-particle":"","parse-names":false,"suffix":""},{"dropping-particle":"","family":"Belvin","given":"Marcia","non-dropping-particle":"","parse-names":false,"suffix":""},{"dropping-particle":"","family":"Duyk","given":"Geoffrey","non-dropping-particle":"","parse-names":false,"suffix":""},{"dropping-particle":"","family":"Hoffmann","given":"Jules A.","non-dropping-particle":"","parse-names":false,"suffix":""},{"dropping-particle":"","family":"Ferrandon","given":"Dominique","non-dropping-particle":"","parse-names":false,"suffix":""},{"dropping-particle":"","family":"Royet","given":"Julien","non-dropping-particle":"","parse-names":false,"suffix":""}],"container-title":"Nature","id":"ITEM-4","issue":"6881","issued":{"date-parts":[["2002","4","24"]]},"page":"640-644","title":"The &lt;i&gt;Drosophila&lt;/i&gt; immune response against Gram-negative bacteria is mediated by a peptidoglycan recognition protein","type":"article-journal","volume":"416"},"uris":["http://www.mendeley.com/documents/?uuid=d95ac109-313c-464d-a326-00ece2ea3f48"]},{"id":"ITEM-5","itemData":{"DOI":"10.1038/nature735","ISSN":"0028-0836","abstract":"The recognition and phagocytosis of microbes by macrophages is a principal aspect of innate immunity that is conserved from insects to humans. Drosophila melanogaster has circulating macrophages that phagocytose microbes similarly to mammalian macrophages, suggesting that insect macrophages can be used as a model to study cell-mediated innate immunity. We devised a double-stranded RNA interference-based screen in macrophage-like Drosophila S2 cells, and have defined 34 gene products involved in phagocytosis. These include proteins that participate in haemocyte development, vesicle transport, actin cytoskeleton regulation and a cell surface receptor. This receptor, Peptidoglycan recognition protein LC (PGRP-LC), is involved in phagocytosis of Gram-negative but not Gram-positive bacteria. Drosophila humoral immunity also distinguishes between Gram-negative and Gram-positive bacteria through the Imd and Toll pathways, respectively; however, a receptor for the Imd pathway has not been identified. Here we show that PGRP-LC is important for antibacterial peptide synthesis induced by Escherichia coli both in vitro and in vivo. Furthermore, totem mutants, which fail to express PGRP-LC, are susceptible to Gram-negative (E. coli), but not Gram-positive, bacterial infection. Our results demonstrate that PGRP-LC is an essential component for recognition and signalling of Gram-negative bacteria. Furthermore, this functional genomic approach is likely to have applications beyond phagocytosis.","author":[{"dropping-particle":"","family":"Rämet","given":"Mika","non-dropping-particle":"","parse-names":false,"suffix":""},{"dropping-particle":"","family":"Manfruelli","given":"Pascal","non-dropping-particle":"","parse-names":false,"suffix":""},{"dropping-particle":"","family":"Pearson","given":"Alan","non-dropping-particle":"","parse-names":false,"suffix":""},{"dropping-particle":"","family":"Mathey-Prevot","given":"Bernard","non-dropping-particle":"","parse-names":false,"suffix":""},{"dropping-particle":"","family":"Ezekowitz","given":"R. Alan B.","non-dropping-particle":"","parse-names":false,"suffix":""}],"container-title":"Nature","id":"ITEM-5","issue":"6881","issued":{"date-parts":[["2002","4","24"]]},"page":"644-648","title":"Functional genomic analysis of phagocytosis and identification of a &lt;i&gt;Drosophila&lt;/i&gt; receptor for &lt;i&gt;E. coli&lt;/i&gt;","type":"article-journal","volume":"416"},"uris":["http://www.mendeley.com/documents/?uuid=5a486dbc-2680-40df-ba82-8f41e5b7c639"]},{"id":"ITEM-6","itemData":{"DOI":"10.1073/pnas.212301199","ISSN":"0027-8424","abstract":"In Drosophila, microbial infection activates an antimicrobial defense system involving the activation of proteolytic cascades in the hemolymph and intracellular signaling pathways, the immune deficiency (imd) and Toll pathways, in immune-responsive tissues. The mechanisms for microbial recognition are largely unknown. We report that, in larvae, the imd-mediated antibacterial defense is activated by peptidoglycan-recognition protein (PGRP)-LE, a PGRP-family member in Drosophila. Consistent with this, PGRP-LE binds to the diaminopimelic acid-type peptidoglycan, a cell-wall component of the bacteria capable of activating the imd pathway, but not to the lysine-type peptidoglycan. Moreover, PGRP-LE activates the prophenoloxidase cascade, a proteolytic cascade in the hemolymph. Therefore, PGRP-LE acts as a pattern-recognition receptor to the diaminopimelic acid-type peptidoglycan and activates both the proteolytic cascade and intracellular signaling in Drosophila immunity.","author":[{"dropping-particle":"","family":"Takehana","given":"Aya","non-dropping-particle":"","parse-names":false,"suffix":""},{"dropping-particle":"","family":"Katsuyama","given":"Tomonori","non-dropping-particle":"","parse-names":false,"suffix":""},{"dropping-particle":"","family":"Yano","given":"Tamaki","non-dropping-particle":"","parse-names":false,"suffix":""},{"dropping-particle":"","family":"Oshima","given":"Yoshiteru","non-dropping-particle":"","parse-names":false,"suffix":""},{"dropping-particle":"","family":"Takada","given":"Haruhiko","non-dropping-particle":"","parse-names":false,"suffix":""},{"dropping-particle":"","family":"Aigaki","given":"Toshiro","non-dropping-particle":"","parse-names":false,"suffix":""},{"dropping-particle":"","family":"Kurata","given":"Shoichiro","non-dropping-particle":"","parse-names":false,"suffix":""}],"container-title":"Proceedings of the National Academy of Sciences","id":"ITEM-6","issue":"21","issued":{"date-parts":[["2002","10","15"]]},"page":"13705-13710","title":"Overexpression of a pattern-recognition receptor, peptidoglycan-recognition protein-LE, activates imd/relish-mediated antibacterial defense and the prophenoloxidase cascade in &lt;i&gt;Drosophila &lt;/i&gt;larvae","type":"article-journal","volume":"99"},"uris":["http://www.mendeley.com/documents/?uuid=efaf61fb-eda5-4db9-b158-a020c5fcac2a"]},{"id":"ITEM-7","itemData":{"DOI":"10.1038/sj.emboj.7600466","ISSN":"0261-4189","PMID":"15538387","abstract":"In innate immunity, pattern recognition molecules recognize cell wall components of microorganisms and activate subsequent immune responses, such as the induction of antimicrobial peptides and melanization in Drosophila. The diaminopimelic acid (DAP)-type peptidoglycan potently activates imd-dependent induction of antibacterial peptides. Peptidoglycan recognition protein (PGRP) family members act as pattern recognition molecules. PGRP-LC loss-of-function mutations affect the imd-dependent induction of antibacterial peptides and resistance to Gram-negative bacteria, whereas PGRP-LE binds to the DAP-type peptidoglycan, and a gain-of-function mutation induces constitutive activation of both the imd pathway and melanization. Here, we generated PGRP-LE null mutants and report that PGRP-LE functions synergistically with PGRP-LC in producing resistance to Escherichia coli and Bacillus megaterium infections, which have the DAP-type peptidoglycan. Consistent with this, PGRP-LE acts both upstream and in parallel with PGRP-LC in the imd pathway, and is required for infection-dependent activation of melanization in Drosophila. A role for PGRP-LE in the epithelial induction of antimicrobial peptides is also suggested.","author":[{"dropping-particle":"","family":"Takehana","given":"Aya","non-dropping-particle":"","parse-names":false,"suffix":""},{"dropping-particle":"","family":"Yano","given":"Tamaki","non-dropping-particle":"","parse-names":false,"suffix":""},{"dropping-particle":"","family":"Mita","given":"Shizuka","non-dropping-particle":"","parse-names":false,"suffix":""},{"dropping-particle":"","family":"Kotani","given":"Atsushi","non-dropping-particle":"","parse-names":false,"suffix":""},{"dropping-particle":"","family":"Oshima","given":"Yoshiteru","non-dropping-particle":"","parse-names":false,"suffix":""},{"dropping-particle":"","family":"Kurata","given":"Shoichiro","non-dropping-particle":"","parse-names":false,"suffix":""}],"container-title":"The EMBO Journal","id":"ITEM-7","issue":"23","issued":{"date-parts":[["2004","11","24"]]},"page":"4690-4700","title":"Peptidoglycan recognition protein (PGRP)-LE and PGRP-LC act synergistically in &lt;i&gt;Drosophila&lt;/i&gt; immunity","type":"article-journal","volume":"23"},"uris":["http://www.mendeley.com/documents/?uuid=c6575d10-c2e7-4d62-9c53-5c8f589ab90d"]},{"id":"ITEM-8","itemData":{"DOI":"10.4049/jimmunol.1600409","ISSN":"0022-1767","abstract":"Copyright © 2017 by The American Association of Immunologists, Inc. All rights reserved. Tracheal cytotoxin (TCT), a monomer of DAP-type peptidoglycan from Bordetella pertussis, causes cytopathology in the respiratory epithelia of mammals and robustly triggers the Drosophila Imd pathway. PGRP-LE, a cytosolic innate immune sensor in Drosophila, directly recognizes TCT and triggers the Imd pathway, yet the mechanisms by which TCT accesses the cytosol are poorly understood. In this study, we report that CG8046, a Drosophila SLC46 family transporter, is a novel transporter facilitating cytosolic recognition of TCT, and plays a crucial role in protecting flies against systemic Escherichia coli infection. In addition, mammalian SLC46A2s promote TCT-triggered NOD1 activation in human epithelial cell lines, indicating that SLC46As is a conserved group of peptidoglycan transporter contributing to cytosolic immune recognition.","author":[{"dropping-particle":"","family":"Paik","given":"Donggi","non-dropping-particle":"","parse-names":false,"suffix":""},{"dropping-particle":"","family":"Monahan","given":"Amanda","non-dropping-particle":"","parse-names":false,"suffix":""},{"dropping-particle":"","family":"Caffrey","given":"Daniel R.","non-dropping-particle":"","parse-names":false,"suffix":""},{"dropping-particle":"","family":"Elling","given":"Roland","non-dropping-particle":"","parse-names":false,"suffix":""},{"dropping-particle":"","family":"Goldman","given":"William E.","non-dropping-particle":"","parse-names":false,"suffix":""},{"dropping-particle":"","family":"Silverman","given":"Neal","non-dropping-particle":"","parse-names":false,"suffix":""}],"container-title":"The Journal of Immunology","id":"ITEM-8","issue":"1","issued":{"date-parts":[["2017","7","1"]]},"page":"263-270","title":"SLC46 Family Transporters Facilitate Cytosolic Innate Immune Recognition of Monomeric Peptidoglycans","type":"article-journal","volume":"199"},"uris":["http://www.mendeley.com/documents/?uuid=c8f9e15a-4f04-4ed8-88b5-5558def78677"]},{"id":"ITEM-9","itemData":{"DOI":"10.1016/j.micpath.2019.103664","ISSN":"08824010","PMID":"31404632","abstract":"Photorhabdus bacteria are potent pathogens of insects and humans. To elucidate the infection strategies Photorhabdus employs to subvert the host innate immune response, it is critical to use model organisms that permit the genetic dissection of the dynamics involved in host-pathogen interactions. Here, we employed the fruit fly Drosophila melanogaster to interrogate the role of the immune deficiency (Imd) pathway receptor peptidoglycan recognition protein LE (PGRP-LE) in the regulation of the fly's response to the insect pathogen Photorhabdus luminescens and the insect/human pathogen P. asymbiotica. We show that PGRP-LE is upregulated in response to injection of Photorhabdus bacteria in background control flies, and that loss-of-function PGRP-LE mutant flies are more sensitive specifically to P. luminescens infection and harbor a higher bacterial burden of this species compared to background controls. Also, our results indicate that the absence of functional PGRP-LE alters the transcriptional pathway activity of Imd and Jnk signaling upon infection with P. asymbiotica, while infection with P. luminescens modifies the activity of Jak/Stat signaling. These findings denote the participation of the PGRP-LE receptor in the response of D. melanogaster to Photorhabdus challenge and contribute to a better understanding of pathogen detection and host immune regulation against virulent microbial invaders.","author":[{"dropping-particle":"","family":"Chevée","given":"Victoria","non-dropping-particle":"","parse-names":false,"suffix":""},{"dropping-particle":"","family":"Sachar","given":"Upasana","non-dropping-particle":"","parse-names":false,"suffix":""},{"dropping-particle":"","family":"Yadav","given":"Shruti","non-dropping-particle":"","parse-names":false,"suffix":""},{"dropping-particle":"","family":"Heryanto","given":"Christa","non-dropping-particle":"","parse-names":false,"suffix":""},{"dropping-particle":"","family":"Eleftherianos","given":"Ioannis","non-dropping-particle":"","parse-names":false,"suffix":""}],"container-title":"Microbial Pathogenesis","id":"ITEM-9","issue":"August","issued":{"date-parts":[["2019","11"]]},"page":"103664","publisher":"Elsevier Ltd","title":"The peptidoglycan recognition protein PGRP-LE regulates the &lt;i&gt;Drosophila &lt;/i&gt;immune response against the pathogen &lt;i&gt;Photorhabdus&lt;/i&gt;","type":"article-journal","volume":"136"},"uris":["http://www.mendeley.com/documents/?uuid=0b0840ae-939b-41a1-8f33-eed0078237e6"]},{"id":"ITEM-10","itemData":{"DOI":"10.1038/ni1356","ISSN":"1529-2908","PMID":"16767093","abstract":"Drosophila rely entirely on an innate immune response to combat microbial infection. Diaminopimelic acid-containing peptidoglycan, produced by Gram-negative bacteria, is recognized by two receptors, PGRP-LC and PGRP-LE, and activates a homolog of transcription factor NF-κB through the Imd signaling pathway. Here we show that full-length PGRP-LE acted as an intracellular receptor for monomeric peptidoglycan, whereas a version of PGRP-LE containing only the PGRP domain functioned extracellularly, like the mammalian CD14 molecule, to enhance PGRP-LC-mediated peptidoglycan recognition on the cell surface. Interaction with the imd signaling protein was not required for PGRP-LC signaling. Instead, PGRP-LC and PGRP-LE signaled through a receptor-interacting protein homotypic interaction motif-like motif. These data demonstrate that like mammals, drosophila use both extracellular and intracellular receptors, which have conserved signaling mechanisms, for innate immune recognition. © 2006 Nature Publishing Group.","author":[{"dropping-particle":"","family":"Kaneko","given":"Takashi","non-dropping-particle":"","parse-names":false,"suffix":""},{"dropping-particle":"","family":"Yano","given":"Tamaki","non-dropping-particle":"","parse-names":false,"suffix":""},{"dropping-particle":"","family":"Aggarwal","given":"Kamna","non-dropping-particle":"","parse-names":false,"suffix":""},{"dropping-particle":"","family":"Lim","given":"Jae-Hong","non-dropping-particle":"","parse-names":false,"suffix":""},{"dropping-particle":"","family":"Ueda","given":"Kazunori","non-dropping-particle":"","parse-names":false,"suffix":""},{"dropping-particle":"","family":"Oshima","given":"Yoshiteru","non-dropping-particle":"","parse-names":false,"suffix":""},{"dropping-particle":"","family":"Peach","given":"Camilla","non-dropping-particle":"","parse-names":false,"suffix":""},{"dropping-particle":"","family":"Erturk-Hasdemir","given":"Deniz","non-dropping-particle":"","parse-names":false,"suffix":""},{"dropping-particle":"","family":"Goldman","given":"William E.","non-dropping-particle":"","parse-names":false,"suffix":""},{"dropping-particle":"","family":"Oh","given":"Byung-Ha","non-dropping-particle":"","parse-names":false,"suffix":""},{"dropping-particle":"","family":"Kurata","given":"Shoichiro","non-dropping-particle":"","parse-names":false,"suffix":""},{"dropping-particle":"","family":"Silverman","given":"Neal","non-dropping-particle":"","parse-names":false,"suffix":""}],"container-title":"Nature Immunology","id":"ITEM-10","issue":"7","issued":{"date-parts":[["2006","7","11"]]},"page":"715-723","title":"PGRP-LC and PGRP-LE have essential yet distinct functions in the &lt;i&gt;Drosophila&lt;/i&gt; immune response to monomeric DAP-type peptidoglycan","type":"article-journal","volume":"7"},"uris":["http://www.mendeley.com/documents/?uuid=c9292a71-e067-4c3f-98d8-08aa562618b2"]}],"mendeley":{"formattedCitation":"(Werner &lt;i&gt;et al.&lt;/i&gt;, 2000, 2003; Choe &lt;i&gt;et al.&lt;/i&gt;, 2002; Gottar &lt;i&gt;et al.&lt;/i&gt;, 2002; Rämet &lt;i&gt;et al.&lt;/i&gt;, 2002; Takehana &lt;i&gt;et al.&lt;/i&gt;, 2002, 2004; Kaneko &lt;i&gt;et al.&lt;/i&gt;, 2006; Paik &lt;i&gt;et al.&lt;/i&gt;, 2017; Chevée &lt;i&gt;et al.&lt;/i&gt;, 2019)","plainTextFormattedCitation":"(Werner et al., 2000, 2003; Choe et al., 2002; Gottar et al., 2002; Rämet et al., 2002; Takehana et al., 2002, 2004; Kaneko et al., 2006; Paik et al., 2017; Chevée et al., 2019)","previouslyFormattedCitation":"(Werner &lt;i&gt;et al.&lt;/i&gt;, 2000, 2003; Choe &lt;i&gt;et al.&lt;/i&gt;, 2002; Gottar &lt;i&gt;et al.&lt;/i&gt;, 2002; Rämet &lt;i&gt;et al.&lt;/i&gt;, 2002; Takehana &lt;i&gt;et al.&lt;/i&gt;, 2002, 2004; Kaneko &lt;i&gt;et al.&lt;/i&gt;, 2006; Paik &lt;i&gt;et al.&lt;/i&gt;, 2017; Chevée &lt;i&gt;et al.&lt;/i&gt;, 2019)"},"properties":{"noteIndex":0},"schema":"https://github.com/citation-style-language/schema/raw/master/csl-citation.json"}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(Werner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2000, 2003; Choe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2002; Gottar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2002; Rämet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2002; Takehana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2002, 2004; Kaneko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2006; Paik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2017; Chevée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2019)</w:t>
            </w:r>
            <w:r w:rsidRPr="00805017">
              <w:rPr>
                <w:rFonts w:ascii="Arial" w:hAnsi="Arial" w:cs="Arial"/>
                <w:color w:val="000000" w:themeColor="text1"/>
                <w:sz w:val="18"/>
                <w:szCs w:val="18"/>
              </w:rPr>
              <w:fldChar w:fldCharType="end"/>
            </w:r>
          </w:p>
        </w:tc>
        <w:tc>
          <w:tcPr>
            <w:tcW w:w="609" w:type="pct"/>
            <w:vMerge/>
            <w:vAlign w:val="center"/>
          </w:tcPr>
          <w:p w14:paraId="1E1D6924" w14:textId="77777777" w:rsidR="001D7AD3" w:rsidRPr="00805017" w:rsidRDefault="001D7AD3" w:rsidP="00605F18">
            <w:pPr>
              <w:jc w:val="center"/>
              <w:rPr>
                <w:rFonts w:ascii="Arial" w:hAnsi="Arial" w:cs="Arial"/>
                <w:color w:val="000000" w:themeColor="text1"/>
                <w:sz w:val="18"/>
                <w:szCs w:val="18"/>
              </w:rPr>
            </w:pPr>
          </w:p>
        </w:tc>
        <w:tc>
          <w:tcPr>
            <w:tcW w:w="657" w:type="pct"/>
            <w:vAlign w:val="center"/>
          </w:tcPr>
          <w:p w14:paraId="6957438C"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t>X</w:t>
            </w:r>
          </w:p>
        </w:tc>
        <w:tc>
          <w:tcPr>
            <w:tcW w:w="572" w:type="pct"/>
            <w:vAlign w:val="center"/>
          </w:tcPr>
          <w:p w14:paraId="53C737E9"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t>X</w:t>
            </w:r>
          </w:p>
        </w:tc>
        <w:tc>
          <w:tcPr>
            <w:tcW w:w="646" w:type="pct"/>
            <w:vAlign w:val="center"/>
          </w:tcPr>
          <w:p w14:paraId="1CB8CE9F"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t>X</w:t>
            </w:r>
          </w:p>
        </w:tc>
        <w:tc>
          <w:tcPr>
            <w:tcW w:w="593" w:type="pct"/>
            <w:vAlign w:val="center"/>
          </w:tcPr>
          <w:p w14:paraId="78DB6F97"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Pr>
                <w:rFonts w:ascii="Arial" w:hAnsi="Arial" w:cs="Arial"/>
                <w:color w:val="000000" w:themeColor="text1"/>
                <w:sz w:val="18"/>
                <w:szCs w:val="18"/>
              </w:rPr>
              <w:instrText>ADDIN CSL_CITATION {"citationItems":[{"id":"ITEM-1","itemData":{"DOI":"10.1073/pnas.95.17.10078","ISSN":"0027-8424","PMID":"9707603","abstract":"Innate nonself recognition must rely on common structures of invading microbes. In a differential display screen for up-regulated immune genes in the moth Trichoplusia ni we have found mechanisms for recognition of bacterial cell wall fragments. One bacteria-induced gene encodes a protein that, after expression in the baculovirus system, was shown to be a peptidoglycan recognition protein (PGRP). It binds strongly to Gram-positive bacteria. We have also cloned the corresponding cDNA from mouse and human and shown this gene to be expressed in a variety of organs, notably organs of the immune system-i.e., bone marrow and spleen. In addition, purified recombinant murine PGRP was shown to possess peptidoglycan affinity. From our results and the sequence homology, we conclude that PGRP is a ubiquitous protein involved in innate immunity, conserved from insects to humans.","author":[{"dropping-particle":"","family":"Kang","given":"Daiwu","non-dropping-particle":"","parse-names":false,"suffix":""},{"dropping-particle":"","family":"Liu","given":"Gang","non-dropping-particle":"","parse-names":false,"suffix":""},{"dropping-particle":"","family":"Lundstrom","given":"A.","non-dropping-particle":"","parse-names":false,"suffix":""},{"dropping-particle":"","family":"Gelius","given":"Eva","non-dropping-particle":"","parse-names":false,"suffix":""},{"dropping-particle":"","family":"Steiner","given":"Håkan","non-dropping-particle":"","parse-names":false,"suffix":""}],"container-title":"Proceedings of the National Academy of Sciences","id":"ITEM-1","issue":"17","issued":{"date-parts":[["1998","8","18"]]},"page":"10078-10082","title":"A peptidoglycan recognition protein in innate immunity conserved from insects to humans","type":"article-journal","volume":"95"},"uris":["http://www.mendeley.com/documents/?uuid=7af5d73b-1356-442b-9e7d-de3f9bb2d073"]}],"mendeley":{"formattedCitation":"(Kang &lt;i&gt;et al.&lt;/i&gt;, 1998)","plainTextFormattedCitation":"(Kang et al., 1998)","previouslyFormattedCitation":"(Kang &lt;i&gt;et al.&lt;/i&gt;, 1998)"},"properties":{"noteIndex":0},"schema":"https://github.com/citation-style-language/schema/raw/master/csl-citation.json"}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(Kang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1998)</w:t>
            </w:r>
            <w:r w:rsidRPr="00805017">
              <w:rPr>
                <w:rFonts w:ascii="Arial" w:hAnsi="Arial" w:cs="Arial"/>
                <w:color w:val="000000" w:themeColor="text1"/>
                <w:sz w:val="18"/>
                <w:szCs w:val="18"/>
              </w:rPr>
              <w:fldChar w:fldCharType="end"/>
            </w:r>
          </w:p>
        </w:tc>
      </w:tr>
      <w:tr w:rsidR="001D7AD3" w:rsidRPr="00805017" w14:paraId="38DA23AE" w14:textId="77777777" w:rsidTr="00605F18">
        <w:tc>
          <w:tcPr>
            <w:tcW w:w="470" w:type="pct"/>
          </w:tcPr>
          <w:p w14:paraId="78CD220D"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C3</w:t>
            </w:r>
          </w:p>
        </w:tc>
        <w:tc>
          <w:tcPr>
            <w:tcW w:w="614" w:type="pct"/>
            <w:vMerge w:val="restart"/>
            <w:vAlign w:val="center"/>
          </w:tcPr>
          <w:p w14:paraId="70A05756"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{"citationItems":[{"id":"ITEM-1","itemData":{"DOI":"10.1126/science.282.5396.2012","ISSN":"00368075","PMID":"9851916","abstract":"The 97-megabase genomic sequence of the nematode Caenorhabditis elegans reveals over 19,000 genes. More than 40 percent of the predicted protein products find significant matches in other organisms. There is a variety of repeated sequences, both local and dispersed. The distinctive distribution of some repeats and highly conserved genes provides evidence for a regional organization of the chromosomes.","author":[{"dropping-particle":"","family":"The C.elegans Sequencing Consortium","given":"","non-dropping-particle":"","parse-names":false,"suffix":""}],"container-title":"Science","id":"ITEM-1","issue":"5396","issued":{"date-parts":[["1998","12","11"]]},"page":"2012-2018","title":"Genome sequence of the nematode &lt;i&gt;C. elegans&lt;/i&gt;: A platform for investigating biology","type":"article-journal","volume":"282"},"uris":["http://www.mendeley.com/documents/?uuid=2aeb8178-aad3-4f50-8705-69f2186d4116"]}],"mendeley":{"formattedCitation":"(The C.elegans Sequencing Consortium, 1998)","plainTextFormattedCitation":"(The C.elegans Sequencing Consortium, 1998)","previouslyFormattedCitation":"(The C.elegans Sequencing Consortium, 1998)"},"properties":{"noteIndex":0},"schema":"https://github.com/citation-style-language/schema/raw/master/csl-citation.json"}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(The C.elegans Sequencing Consortium, 1998)</w:t>
            </w:r>
            <w:r w:rsidRPr="00805017">
              <w:rPr>
                <w:rFonts w:ascii="Arial" w:hAnsi="Arial" w:cs="Arial"/>
                <w:color w:val="000000" w:themeColor="text1"/>
                <w:sz w:val="18"/>
                <w:szCs w:val="18"/>
              </w:rPr>
              <w:fldChar w:fldCharType="end"/>
            </w:r>
          </w:p>
        </w:tc>
        <w:tc>
          <w:tcPr>
            <w:tcW w:w="839" w:type="pct"/>
            <w:vAlign w:val="center"/>
          </w:tcPr>
          <w:p w14:paraId="52437FF1"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{"citationItems":[{"id":"ITEM-1","itemData":{"DOI":"10.1038/sj.emboj.7600533","ISSN":"0261-4189","PMID":"15616573","abstract":"The complement system has been thought to originate exclusively in the deuterostomes. Here, we show that the central complement components already existed in the primitive protostome lineage. A functional homolog of vertebrate complement 3, CrC3, has been isolated from a 'living fossil', the horseshoe crab (Carcinoscorpius rotundicauda). CrC3 resembles human C3 and shows closest homology to C3 sequences of lower deuterostomes. CrC3 and plasma lectins bind a wide range of microbes, forming the frontline innate immune defense system. Additionally, we identified CrC2/Bf, a homolog of vertebrate C2 and Bf that participates in C3 activation, and a C3 receptor-like sequence. Furthermore, complement-mediated phagocytosis of bacteria by the hemocytes of horseshoe crab was also observed. Thus, a primitive yet complex opsonic complement defense system is revealed in the horseshoe crab, a protostome species. Our findings demonstrate an ancient origin of the critical complement components and the opsonic defense mechanism in the Precambrian ancestor of bilateral animals.","author":[{"dropping-particle":"","family":"Zhu","given":"Yong","non-dropping-particle":"","parse-names":false,"suffix":""},{"dropping-particle":"","family":"Thangamani","given":"Saravanan","non-dropping-particle":"","parse-names":false,"suffix":""},{"dropping-particle":"","family":"Ho","given":"Bow","non-dropping-particle":"","parse-names":false,"suffix":""},{"dropping-particle":"","family":"Ding","given":"Jeak Ling","non-dropping-particle":"","parse-names":false,"suffix":""}],"container-title":"The EMBO Journal","id":"ITEM-1","issue":"2","issued":{"date-parts":[["2005","1","26"]]},"page":"382-394","title":"The ancient origin of the complement system","type":"article-journal","volume":"24"},"uris":["http://www.mendeley.com/documents/?uuid=fe496f85-68a4-4797-bab3-9953b19e0a79"]},{"id":"ITEM-2","itemData":{"DOI":"10.4049/jimmunol.181.11.7994","ISSN":"0022-1767","author":[{"dropping-particle":"","family":"Ariki","given":"Shigeru","non-dropping-particle":"","parse-names":false,"suffix":""},{"dropping-particle":"","family":"Takahara","given":"Shusaku","non-dropping-particle":"","parse-names":false,"suffix":""},{"dropping-particle":"","family":"Shibata","given":"Toshio","non-dropping-particle":"","parse-names":false,"suffix":""},{"dropping-particle":"","family":"Fukuoka","given":"Takaaki","non-dropping-particle":"","parse-names":false,"suffix":""},{"dropping-particle":"","family":"Ozaki","given":"Aya","non-dropping-particle":"","parse-names":false,"suffix":""},{"dropping-particle":"","family":"Endo","given":"Yuichi","non-dropping-particle":"","parse-names":false,"suffix":""},{"dropping-particle":"","family":"Fujita","given":"Teizo","non-dropping-particle":"","parse-names":false,"suffix":""},{"dropping-particle":"","family":"Koshiba","given":"Takumi","non-dropping-particle":"","parse-names":false,"suffix":""},{"dropping-particle":"","family":"Kawabata","given":"Shun-ichiro","non-dropping-particle":"","parse-names":false,"suffix":""}],"container-title":"The Journal of Immunology","id":"ITEM-2","issue":"11","issued":{"date-parts":[["2008","12","1"]]},"page":"7994-8001","title":"Factor C Acts as a lipopolysaccharide-responsive C3 convertase in horseshoe crab complement activation","type":"article-journal","volume":"181"},"uris":["http://www.mendeley.com/documents/?uuid=59bdbba8-47b8-4b7a-9105-de8861a7d593"]},{"id":"ITEM-3","itemData":{"DOI":"10.1016/j.dci.2011.05.003","ISSN":"0145305X","PMID":"21663759","abstract":"The thioester-containing protein (TEP) family of genes, found in most Eumetazoan genomes, is classified into two subfamilies: the alpha-2-macroglobulin (A2M) subfamily and the C3 subfamily. Many A2M subfamily members, including insect TEP (iTEP), have been reported from the Arthropoda, whereas the C3 subfamily members have been reported only from two horseshoe crab species thus far. To elucidate the evolution of these genes among the Arthropoda, TEP genes were isolated from a spider, Hasarius adansoni (Chelicerata), by reverse transcription polymerase chain reaction (RT-PCR) amplification using universal degenerate primers specific for the thioester region. Four different TEP genes were identified. Phylogenetic analysis using the entire amino acid sequences of these and various other TEP sequences from the Eumetazoa indicated that two of the spider genes are type C3 (HaadC3-1 and HaadC3-2), one is type A2M (HaadA2M) and the other is closely related to iTEP (HaadiTEP). These results suggest that the common ancestor of the Arthropoda possessed at least three TEP genes, C3, A2M and iTEP and that they were lost differentially in the Crustacean and Hexapodan lineages. © 2011 Elsevier Ltd.","author":[{"dropping-particle":"","family":"Sekiguchi","given":"Reo","non-dropping-particle":"","parse-names":false,"suffix":""},{"dropping-particle":"","family":"Fujito","given":"Naoko T.","non-dropping-particle":"","parse-names":false,"suffix":""},{"dropping-particle":"","family":"Nonaka","given":"Masaru","non-dropping-particle":"","parse-names":false,"suffix":""}],"container-title":"Developmental &amp; Comparative Immunology","id":"ITEM-3","issue":"2","issued":{"date-parts":[["2012","2"]]},"page":"483-489","publisher":"Elsevier Ltd","title":"Evolution of the thioester-containing proteins (TEPs) of the arthropoda, revealed by molecular cloning of TEP genes from a spider, &lt;i&gt;Hasarius adansoni&lt;/i&gt;","type":"article-journal","volume":"36"},"uris":["http://www.mendeley.com/documents/?uuid=03b21ae4-a6c8-45fb-9741-cf4c794dff86"]},{"id":"ITEM-4","itemData":{"DOI":"10.1016/j.dci.2018.02.018","ISSN":"0145305X","PMID":"29501422","abstract":"The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Immunology","id":"ITEM-4","issued":{"date-parts":[["2018","7"]]},"page":"250-263","publisher":"Elsevier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evolution","type":"article-journal","volume":"84"},"uris":["http://www.mendeley.com/documents/?uuid=31479a86-e2f3-435c-8919-2aabf194aa6b"]},{"id":"ITEM-5","itemData":{"DOI":"10.1126/science.287.5461.2185","ISSN":"00368075","PMID":"10731132","abstract":"The fly Drosophila melanogaster is one of the most intensively studied organisms in biology and serves as a model system for the investigation of many developmental and cellular processes common to higher eukaryotes, including humans. We have determined the nucleotide sequence of nearly all of the ~120-megabase euchromatic portion of the Drosophila genome using a whole-genome shotgun sequencing strategy supported by extensive clone-based sequence and a high-quality bacterial artificial chromosome physical map. Efforts are under way to close the remaining gaps, however, the sequence is of sufficient accuracy and contiguity to be declared substantially complete and to support an initial analysis of genome structure and preliminary gene annotation and interpretation. The genome encodes ~13,600 genes, somewhat fewer than the smaller Caenorhabditis elegans genome, but with comparable functional diversity.","author":[{"dropping-particle":"","family":"Adams","given":"M. D.","non-dropping-particle":"","parse-names":false,"suffix":""}],"container-title":"Science","id":"ITEM-5","issue":"5461","issued":{"date-parts":[["2000","3","24"]]},"page":"2185-2195","title":"The genome sequence of &lt;i&gt;Drosophila melanogaster&lt;/i&gt;","type":"article-journal","volume":"287"},"uris":["http://www.mendeley.com/documents/?uuid=79dc5207-52a1-4fc3-9728-8d461c3b43e2"]},{"id":"ITEM-6","itemData":{"DOI":"10.1093/molbev/msv093","ISSN":"0737-4038","abstract":"Insects are an important model for the study of innate immune systems, but remarkably little is known about the immune system of other arthropod groups despite their importance as disease vectors, pests, and components of biological diversity. Using comparative genomics, we have characterized the immune system of all the major groups of arthropods beyond insects for the first time - studying five chelicerates, a myriapod, and a crustacean.We found clear traces of an ancient origin of innate immunity, with some arthropods having Toll-like receptors and C3-complement factors that are more closely related in sequence or structure to vertebrates than other arthropods. Across the arthropods some components of the immune system, such as the Toll signaling pathway, are highly conserved. However, there is also remarkable diversity. The chelicerates apparently lack the Imd signaling pathway and beta-1,3 glucan binding proteins - a key class of pathogen recognition receptors. Many genes have large copy number variation across species, and this may sometimes be accompanied by changes in function. For example, we find that peptidoglycan recognition proteins have frequently lost their catalytic activity and switch between secreted and intracellular forms. We also find that there has been widespread and extensive duplication of the cellular immune receptor Dscam (Down syndrome cell adhesion molecule), which may be an alternative way to generate the high diversity produced by alternative splicing in insects. In the antiviral short interfering RNAi pathway Argonaute 2 evolves rapidly and is frequently duplicated, with a highly variable copy number. Our results provide a detailed analysis of the immune systems of several important groups of animals for the first time and lay the foundations for functional work on these groups.","author":[{"dropping-particle":"","family":"Palmer","given":"William J.","non-dropping-particle":"","parse-names":false,"suffix":""},{"dropping-particle":"","family":"Jiggins","given":"Francis M.","non-dropping-particle":"","parse-names":false,"suffix":""}],"container-title":"Molecular Biology and Evolution","id":"ITEM-6","issue":"8","issued":{"date-parts":[["2015","8"]]},"page":"2111-2129","title":"Comparative genomics reveals the origins and diversity of arthropod immune systems","type":"article-journal","volume":"32"},"uris":["http://www.mendeley.com/documents/?uuid=dd76a1a4-60e4-4d10-9b6d-69ed64f474af"]}],"mendeley":{"formattedCitation":"(Adams, 2000; Zhu &lt;i&gt;et al.&lt;/i&gt;, 2005; Ariki &lt;i&gt;et al.&lt;/i&gt;, 2008; Sekiguchi &lt;i&gt;et al.&lt;/i&gt;, 2012; Palmer and Jiggins, 2015; Gorbushin, 2018)","plainTextFormattedCitation":"(Adams, 2000; Zhu et al., 2005; Ariki et al., 2008; Sekiguchi et al., 2012; Palmer and Jiggins, 2015; Gorbushin, 2018)","previouslyFormattedCitation":"(Adams, 2000; Zhu &lt;i&gt;et al.&lt;/i&gt;, 2005; Ariki &lt;i&gt;et al.&lt;/i&gt;, 2008; Sekiguchi &lt;i&gt;et al.&lt;/i&gt;, 2012; Palmer and Jiggins, 2015; Gorbushin, 2018)"},"properties":{"noteIndex":0},"schema":"https://github.com/citation-style-language/schema/raw/master/csl-citation.json"}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(Adams, 2000; Zhu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2005; Ariki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2008; Sekiguchi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2012; Palmer and Jiggins, 2015; Gorbushin, 2018)</w:t>
            </w:r>
            <w:r w:rsidRPr="00805017">
              <w:rPr>
                <w:rFonts w:ascii="Arial" w:hAnsi="Arial" w:cs="Arial"/>
                <w:color w:val="000000" w:themeColor="text1"/>
                <w:sz w:val="18"/>
                <w:szCs w:val="18"/>
              </w:rPr>
              <w:fldChar w:fldCharType="end"/>
            </w:r>
          </w:p>
        </w:tc>
        <w:tc>
          <w:tcPr>
            <w:tcW w:w="609" w:type="pct"/>
            <w:vAlign w:val="center"/>
          </w:tcPr>
          <w:p w14:paraId="02902A94"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6FBE2410"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{"citationItems":[{"id":"ITEM-1","itemData":{"ISSN":"1824307X","abstract":"Metchnikoff’s use of sea star larvae to observe encapsulation and phagocytosis, which was followed much later by allograft rejection kinetics, revealed that echinoderms had an innate immune system that was lacking of adaptive attributes. Larval sea urchins mount defenses in response to contact with microbes, which are mediated by phagocytic blastocoelar cells and pigment cells. In the adult, the coelomocytes mediate immune responses through phagocytosis and encapsulation of foreign particles in addition to degranulation of antimicrobial molecules. Molecular analysis of immune functions in the sea urchin has demonstrated a complement system that appears to have multiple alternative pathways and several activators of the lectin pathway, but may be missing the terminal pathway. Other genes and proteins involved in the sea urchin immunity include expanded sets of lectins, proteins with scavenger receptor cysteine-rich repeats, Toll-like receptors and associated signalling proteins. A vast array of proteins belonging to the 185/333 family are expressed in coelomocytes in response to lipopolysaccharide and show a surprising level of diversity. The sea urchin innate immune system has a number of large gene families with unexpected complexities and elevated levels of diversification.","author":[{"dropping-particle":"","family":"Smith","given":"L. Courtney","non-dropping-particle":"","parse-names":false,"suffix":""},{"dropping-particle":"","family":"Rast","given":"J. P.","non-dropping-particle":"","parse-names":false,"suffix":""},{"dropping-particle":"","family":"Brockton","given":"V.","non-dropping-particle":"","parse-names":false,"suffix":""},{"dropping-particle":"","family":"Terwilliger","given":"D. P.","non-dropping-particle":"","parse-names":false,"suffix":""},{"dropping-particle":"V.","family":"Nair","given":"S.","non-dropping-particle":"","parse-names":false,"suffix":""},{"dropping-particle":"","family":"Buckley","given":"K. M.","non-dropping-particle":"","parse-names":false,"suffix":""},{"dropping-particle":"","family":"Majeske","given":"A. J.","non-dropping-particle":"","parse-names":false,"suffix":""}],"container-title":"Invertebrate Survival Journal","id":"ITEM-1","issue":"1","issued":{"date-parts":[["2006"]]},"page":"25-39","title":"The sea urchin immune system","type":"article-journal","volume":"3"},"uris":["http://www.mendeley.com/documents/?uuid=bb7a6572-f7dc-41d5-9a98-ba9e8cde079b"]},{"id":"ITEM-2","itemData":{"ISSN":"0022-1767","PMID":"9510203","abstract":"A homologue of complement component C3 (SpC3) has been cloned and sequenced from the purple sea urchin, Strongylocentrotus purpuratus. The preprocessed, deduced protein size is estimated to be 186 kDa with a short leader and two chains, alpha and beta. There are cysteines in conserved positions for interchain disulfide bonding, and there is a conserved thioester site in the alpha-chain with an associated histidine. There are five consensus N-linked glycosylation sites, and putative cleavage sites for factor I and C3 convertase. Partially purified SpC3 on protein gels shows a nonreduced size of 210 kDa and, under reducing conditions, reveals an alpha-chain of 130 kDa and a beta-chain of 80 kDa. These sizes are larger than the deduced sizes, suggesting that the protein has carbohydrates added to most of the consensus N-linked glycosylation sites. Phylogenetic analysis of SpC3 compared with other members of the thioester protein family, which includes C3, C4, C5, and alpha2-macroglobulin, shows that SpC3 is the first divergent complement protein, falling at the base of the complement protein clade. Transcripts from the SpC3 gene (Sp064) are 9 kb, and the gene is expressed specifically in coelomocytes, which are the immunocytes in the sea urchin. Genome blots suggest that SpC3 is encoded by a single copy gene per haploid genome. This is the first identification of a complement component in an invertebrate, and suggests homology of the innate immune system within the deuterostome lineage of animals.","author":[{"dropping-particle":"","family":"Al-Sharif","given":"Walid Z.","non-dropping-particle":"","parse-names":false,"suffix":""},{"dropping-particle":"","family":"Sunyer","given":"J. Oriol","non-dropping-particle":"","parse-names":false,"suffix":""},{"dropping-particle":"","family":"Lambris","given":"John D.","non-dropping-particle":"","parse-names":false,"suffix":""},{"dropping-particle":"","family":"Smith","given":"L. Courtney","non-dropping-particle":"","parse-names":false,"suffix":""}],"container-title":"Journal of immunology (Baltimore, Md. : 1950)","id":"ITEM-2","issue":"6","issued":{"date-parts":[["1998","3","15"]]},"page":"2983-97","title":"Sea urchin coelomocytes specifically express a homologue of the complement component C3.","type":"article-journal","volume":"160"},"uris":["http://www.mendeley.com/documents/?uuid=d5b11b66-c1e1-4dd2-a68e-50dcfffa4a2d"]},{"id":"ITEM-3","itemData":{"ISSN":"1824307X","abstract":"Proteins with obvious similarities to mammalian complement are widely distributed in the animal kingdom. In the vertebrate lineage, deuterostomes like sea urchins and tunicates express proteins that are homologues of C3, the central component of the vertebrate complement cascade. Their genomes also encode molecules resembling factor B from the “alternative” complement activation pathway; and tunicates have collagenous lectins of the type that can activate complement in the absence of antibodies. This suggests that the core components of the complement system evolved before antibodies, which first appear in jawed fish.","author":[{"dropping-particle":"V.","family":"Nair","given":"S.","non-dropping-particle":"","parse-names":false,"suffix":""},{"dropping-particle":"","family":"Ramsden","given":"A.","non-dropping-particle":"","parse-names":false,"suffix":""},{"dropping-particle":"","family":"Raftos","given":"D. A.","non-dropping-particle":"","parse-names":false,"suffix":""}],"container-title":"Invertebrate Survival Journal","id":"ITEM-3","issue":"2","issued":{"date-parts":[["2005"]]},"page":"114-123","title":"Ancient origins: Complement in invertebrates","type":"article-journal","volume":"2"},"uris":["http://www.mendeley.com/documents/?uuid=58a01722-2bee-48a5-8dcd-eb6cb37ce27d"]}],"mendeley":{"formattedCitation":"(Al-Sharif &lt;i&gt;et al.&lt;/i&gt;, 1998; Nair &lt;i&gt;et al.&lt;/i&gt;, 2005; Smith &lt;i&gt;et al.&lt;/i&gt;, 2006)","plainTextFormattedCitation":"(Al-Sharif et al., 1998; Nair et al., 2005; Smith et al., 2006)","previouslyFormattedCitation":"(Al-Sharif &lt;i&gt;et al.&lt;/i&gt;, 1998; Nair &lt;i&gt;et al.&lt;/i&gt;, 2005; Smith &lt;i&gt;et al.&lt;/i&gt;, 2006)"},"properties":{"noteIndex":0},"schema":"https://github.com/citation-style-language/schema/raw/master/csl-citation.json"}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(Al-Sharif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1998; Nair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2005; Smith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2006)</w:t>
            </w:r>
            <w:r w:rsidRPr="00805017">
              <w:rPr>
                <w:rFonts w:ascii="Arial" w:hAnsi="Arial" w:cs="Arial"/>
                <w:color w:val="000000" w:themeColor="text1"/>
                <w:sz w:val="18"/>
                <w:szCs w:val="18"/>
              </w:rPr>
              <w:fldChar w:fldCharType="end"/>
            </w:r>
            <w:r w:rsidRPr="00805017">
              <w:rPr>
                <w:rFonts w:ascii="Arial" w:hAnsi="Arial" w:cs="Arial"/>
                <w:color w:val="000000" w:themeColor="text1"/>
                <w:sz w:val="18"/>
                <w:szCs w:val="18"/>
                <w:lang w:val="en-US"/>
              </w:rPr>
              <w:t xml:space="preserve"> </w:t>
            </w: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{"citationItems":[{"id":"ITEM-1","itemData":{"DOI":"10.1016/j.ydbio.2006.08.065","ISSN":"00121606","abstract":"Echinoderms occupy a critical and largely unexplored phylogenetic vantage point from which to infer both the early evolution of bilaterian immunity and the underpinnings of the vertebrate adaptive immune system. Here we present an initial survey of the purple sea urchin genome for genes associated with immunity. An elaborate repertoire of potential immune receptors, regulators and effectors is present, including unprecedented expansions of innate pathogen recognition genes. These include a diverse array of 222 Toll-like receptor (TLR) genes and a coordinate expansion of directly associated signaling adaptors. Notably, a subset of sea urchin TLR genes encodes receptors with structural characteristics previously identified only in protostomes. A similarly expanded set of 203 NOD/NALP-like cytoplasmic recognition proteins is present. These genes have previously been identified only in vertebrates where they are represented in much lower numbers. Genes that mediate the alternative and lectin complement pathways are described, while gene homologues of the terminal pathway are not present. We have also identified several homologues of genes that function in jawed vertebrate adaptive immunity. The most striking of these is a gene cluster with similarity to the jawed vertebrate Recombination Activating Genes 1 and 2 (RAG1/2). Sea urchins are long-lived, complex organisms and these findings reveal an innate immune system of unprecedented complexity. Whether the presumably intense selective processes that molded these gene families also gave rise to novel immune mechanisms akin to adaptive systems remains to be seen. The genome sequence provides immediate opportunities to apply the advantages of the sea urchin model toward problems in developmental and evolutionary immunobiology. © 2006 Elsevier Inc. All rights reserved.","author":[{"dropping-particle":"","family":"Hibino","given":"Taku","non-dropping-particle":"","parse-names":false,"suffix":""},{"dropping-particle":"","family":"Loza-Coll","given":"Mariano","non-dropping-particle":"","parse-names":false,"suffix":""},{"dropping-particle":"","family":"Messier","given":"Cynthia","non-dropping-particle":"","parse-names":false,"suffix":""},{"dropping-particle":"","family":"Majeske","given":"Audrey J.","non-dropping-particle":"","parse-names":false,"suffix":""},{"dropping-particle":"","family":"Cohen","given":"Avis H.","non-dropping-particle":"","parse-names":false,"suffix":""},{"dropping-particle":"","family":"Terwilliger","given":"David P.","non-dropping-particle":"","parse-names":false,"suffix":""},{"dropping-particle":"","family":"Buckley","given":"Katherine M.","non-dropping-particle":"","parse-names":false,"suffix":""},{"dropping-particle":"","family":"Brockton","given":"Virginia","non-dropping-particle":"","parse-names":false,"suffix":""},{"dropping-particle":"V.","family":"Nair","given":"Sham","non-dropping-particle":"","parse-names":false,"suffix":""},{"dropping-particle":"","family":"Berney","given":"Kevin","non-dropping-particle":"","parse-names":false,"suffix":""},{"dropping-particle":"","family":"Fugmann","given":"Sebastian D.","non-dropping-particle":"","parse-names":false,"suffix":""},{"dropping-particle":"","family":"Anderson","given":"Michele K.","non-dropping-particle":"","parse-names":false,"suffix":""},{"dropping-particle":"","family":"Pancer","given":"Zeev","non-dropping-particle":"","parse-names":false,"suffix":""},{"dropping-particle":"","family":"Cameron","given":"R. Andrew","non-dropping-particle":"","parse-names":false,"suffix":""},{"dropping-particle":"","family":"Smith","given":"L. Courtney","non-dropping-particle":"","parse-names":false,"suffix":""},{"dropping-particle":"","family":"Rast","given":"Jonathan P.","non-dropping-particle":"","parse-names":false,"suffix":""}],"container-title":"Developmental Biology","id":"ITEM-1","issue":"1","issued":{"date-parts":[["2006","12"]]},"note":"- P-type/V-type classification","page":"349-365","title":"The immune gene repertoire encoded in the purple sea urchin genome","type":"article-journal","volume":"300"},"uris":["http://www.mendeley.com/documents/?uuid=e5ee6e2f-6c5d-472b-9c8c-5af2fb549c0d"]}],"mendeley":{"formattedCitation":"(Hibino &lt;i&gt;et al.&lt;/i&gt;, 2006)","plainTextFormattedCitation":"(Hibino et al., 2006)","previouslyFormattedCitation":"(Hibino &lt;i&gt;et al.&lt;/i&gt;, 2006)"},"properties":{"noteIndex":0},"schema":"https://github.com/citation-style-language/schema/raw/master/csl-citation.json"}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(Hibino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2006)</w:t>
            </w:r>
            <w:r w:rsidRPr="00805017">
              <w:rPr>
                <w:rFonts w:ascii="Arial" w:hAnsi="Arial" w:cs="Arial"/>
                <w:color w:val="000000" w:themeColor="text1"/>
                <w:sz w:val="18"/>
                <w:szCs w:val="18"/>
              </w:rPr>
              <w:fldChar w:fldCharType="end"/>
            </w:r>
          </w:p>
        </w:tc>
        <w:tc>
          <w:tcPr>
            <w:tcW w:w="572" w:type="pct"/>
            <w:vAlign w:val="center"/>
          </w:tcPr>
          <w:p w14:paraId="6C7A71C6"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{"citationItems":[{"id":"ITEM-1","itemData":{"DOI":"10.1007/s00239-001-0068-z","ISSN":"0022-2844","PMID":"11965439","abstract":"The mammalian immune system has cytotoxic mechanisms, both cellular and humoral, that destroy the membrane integrity of target cells. The main effector molecules of these cytolytic mechanisms - perforin, used by killer lymphocytes, and the membrane attack complex (MAC) components of the complement system - share a unique module called the MAC/perforin module. Until now, both immunological cytotoxicity and the MAC/perforin module have been reported only in jawed vertebrates. Here, we report the identification of a protein containing the MAC/perforin module from the invertebrate cephalochordate, amphioxus (Branchiostoma belcheri), using expressed sequence tag (EST) analysis of the notochord. The deduced amino acid sequence of this molecule is most similar to the primary structure of human complement component C6 and is designated AmphiC6. AmphiC6 shares a unique modular structure, including the MAC/perforin module, with human C6 and other MAC components. Another EST clone predicts the presence of a thioester-containing protein with the closest structural similarity to vertebrate C3 (therefore designated AmphiC3). AmphiC3 retains most of the functionally important residues of vertebrate C3 and is shown by phylogenetic analysis to be derived directly from the common ancestor of vertebrate C3, C4, and C5. Only opsonic activity has been assigned to the invertebrate complement system until now. Therefore, this is the first molecular evidence for complement-mediated immunological cytotoxicity in invertebrates.","author":[{"dropping-particle":"","family":"Suzuki","given":"Miho M.","non-dropping-particle":"","parse-names":false,"suffix":""},{"dropping-particle":"","family":"Satoh","given":"Nori","non-dropping-particle":"","parse-names":false,"suffix":""},{"dropping-particle":"","family":"Nonaka","given":"Masaru","non-dropping-particle":"","parse-names":false,"suffix":""}],"container-title":"Journal of Molecular Evolution","id":"ITEM-1","issue":"5","issued":{"date-parts":[["2002","5","1"]]},"page":"671-679","title":"C6-like and C3-like molecules from the cephalochordate, amphioxus, suggest a cytolytic complement system in invertebrates","type":"article-journal","volume":"54"},"uris":["http://www.mendeley.com/documents/?uuid=1faba80d-a0ab-4558-8d07-e62b6ba44984"]}],"mendeley":{"formattedCitation":"(Suzuki &lt;i&gt;et al.&lt;/i&gt;, 2002)","plainTextFormattedCitation":"(Suzuki et al., 2002)","previouslyFormattedCitation":"(Suzuki &lt;i&gt;et al.&lt;/i&gt;, 2002)"},"properties":{"noteIndex":0},"schema":"https://github.com/citation-style-language/schema/raw/master/csl-citation.json"}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(Suzuki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2002)</w:t>
            </w:r>
            <w:r w:rsidRPr="00805017">
              <w:rPr>
                <w:rFonts w:ascii="Arial" w:hAnsi="Arial" w:cs="Arial"/>
                <w:color w:val="000000" w:themeColor="text1"/>
                <w:sz w:val="18"/>
                <w:szCs w:val="18"/>
              </w:rPr>
              <w:fldChar w:fldCharType="end"/>
            </w:r>
          </w:p>
        </w:tc>
        <w:tc>
          <w:tcPr>
            <w:tcW w:w="646" w:type="pct"/>
            <w:vAlign w:val="center"/>
          </w:tcPr>
          <w:p w14:paraId="306BA25B"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{"citationItems":[{"id":"ITEM-1","itemData":{"DOI":"10.1016/S0161-5890(98)90662-9","ISSN":"01615890","abstract":"The recent identification of two mannose-binding lectin-associated serine protease clones from Halocynthia roretzi, an ascidian, suggested the presence of a complement system in urochordates. To elucidate the structure and function of this possibly primitive complement system, we have isolated cDNA clones for ascidian C3 (AsC3) and purified AsC3 protein from body fluid. The deduced primary structure of AsC3 shows overall similarity to mammalian C3, including a typical thioester site with the His residue required for nucleophilic activation of the thioester. AsC3 has a two-subunit chain structure, and the α-chain is cleaved at a specific site near to the N terminus upon activation. Ascidian body fluid contains an opsonic activity which enhances phagocytosis of yeast by ascidian blood cells, and Ab against AsC3 inhibits this opsonic activity. These results indicate that the complement system played a pivotal role in innate immunity by enhancing phagocytosis before the emergence of the vertebrates and well ahead of the establishment of adaptive immunity, which is believed to have occurred at about the time of the appearance of cartilaginous fish.","author":[{"dropping-particle":"","family":"Nonaka","given":"M.","non-dropping-particle":"","parse-names":false,"suffix":""},{"dropping-particle":"","family":"Azumi","given":"K.","non-dropping-particle":"","parse-names":false,"suffix":""},{"dropping-particle":"","family":"Ji","given":"X.","non-dropping-particle":"","parse-names":false,"suffix":""},{"dropping-particle":"","family":"Namikawa-Yamada","given":"C.","non-dropping-particle":"","parse-names":false,"suffix":""},{"dropping-particle":"","family":"Sasaki","given":"M.","non-dropping-particle":"","parse-names":false,"suffix":""},{"dropping-particle":"","family":"Saiga","given":"H.","non-dropping-particle":"","parse-names":false,"suffix":""},{"dropping-particle":"","family":"Dodds","given":"A.W.","non-dropping-particle":"","parse-names":false,"suffix":""},{"dropping-particle":"","family":"Sekine","given":"H.","non-dropping-particle":"","parse-names":false,"suffix":""},{"dropping-particle":"","family":"Homma","given":"M.","non-dropping-particle":"","parse-names":false,"suffix":""},{"dropping-particle":"","family":"Matsushita","given":"M.","non-dropping-particle":"","parse-names":false,"suffix":""},{"dropping-particle":"","family":"Endo","given":"Y.","non-dropping-particle":"","parse-names":false,"suffix":""},{"dropping-particle":"","family":"Fujita","given":"T.","non-dropping-particle":"","parse-names":false,"suffix":""}],"container-title":"Molecular Immunology","id":"ITEM-1","issue":"6-7","issued":{"date-parts":[["1999","4"]]},"page":"363","title":"Opsonic complement C3 in the solitary ascidian, Halocynthia roretzi","type":"article-journal","volume":"35"},"uris":["http://www.mendeley.com/documents/?uuid=ffb858db-0e2a-4346-82b6-4e62d5ef3d52"]},{"id":"ITEM-2","itemData":{"DOI":"10.1007/s00251-001-0421-9","ISSN":"0093-7711","PMID":"11904683","abstract":"The recent identification of complement components in deuterostome invertebrates has indicated the presence of a complement system operating via an alternative pathway in echinoderms and tunicates and via a MBL-mediated pathway thus far identified only in tunicates. Here, we report the isolation of two C3-like genes, CiC3-1 and CiC3-2, from blood cell total RNA of the ascidian Ciona intestinalis. The deduced amino acid sequences of both Ciona C3-like proteins exhibit a canonical processing site for α and β chains, a thioester site with an associated catalytic histidine and a convertase cleavage site, thus showing an overall similarity to the other C3 molecules already characterized. Southern blotting analysis indicated that each gene is present as a single copy per haploid genome. In situ hybridization experiments showed that both CiC3-1 and CiC3-2 are expressed in one type of blood cell, the compartment cells. Two polyclonal antibodies, raised against two deduced peptide sequences in the α chain of CiC3-1 and CiC3-2, allowed the identification by Western blot of a single band in the blood serum, of about Mr 150,000. A phylogenetic tree, based on the alignment of CiC3-1 and CiC3-2 with molecules of the α2-macroglobulin superfamily, indicated that the Ciona C3s forma cluster with Halocynthia roretzi C3. The phylogenetic analysis also suggested that the duplication event from which the CiC3-1 and CiC3-2 genes originated occurred in the urochordate lineage after the separation of the Halocynthia and Ciona ancestor.","author":[{"dropping-particle":"","family":"Marino","given":"Rita","non-dropping-particle":"","parse-names":false,"suffix":""},{"dropping-particle":"","family":"Kimura","given":"Yuko","non-dropping-particle":"","parse-names":false,"suffix":""},{"dropping-particle":"","family":"Santis","given":"Rosaria","non-dropping-particle":"De","parse-names":false,"suffix":""},{"dropping-particle":"","family":"Lambris","given":"John D.","non-dropping-particle":"","parse-names":false,"suffix":""},{"dropping-particle":"","family":"Pinto","given":"Maria","non-dropping-particle":"","parse-names":false,"suffix":""}],"container-title":"Immunogenetics","id":"ITEM-2","issue":"12","issued":{"date-parts":[["2002","3","8"]]},"page":"1055-1064","title":"Complement in urochordates: cloning and characterization of two &lt;i&gt;C3-like&lt;/i&gt; genes in the ascidian &lt;i&gt;Ciona intestinalis&lt;/i&gt;","type":"article-journal","volume":"53"},"uris":["http://www.mendeley.com/documents/?uuid=440f629f-689e-49fe-90bb-f39ce3d46371"]},{"id":"ITEM-3","itemData":{"DOI":"10.1016/S0145-305X(01)00080-5","ISBN":"6129850840","ISSN":"0145305X","PMID":"11888645","abstract":"This study identifies a complement component C3-like protein in the solitary tunicate, Styela plicata. Three different polyclonal antibodies raised against C3 molecules from two species (humans and the tunicate, Halocynthia roretzi) were used to identify the C3-like protein in S. plicata hemolymph. The C3 cross-reactive protein is a 170 kDa heterodimer composed of polypeptides (116 and 80 kDa) that have molecular weights comparable to those of C3α and C3β from other species. Amino acid sequencing and amino acid composition analysis confirmed that the C3-like protein from S. plicata is closely related to C3 from H. roretzi. © 2002 Elsevier Science Ltd. All rights reserved.","author":[{"dropping-particle":"","family":"Raftos","given":"D.A.","non-dropping-particle":"","parse-names":false,"suffix":""},{"dropping-particle":"","family":"Nair","given":"S.V.","non-dropping-particle":"","parse-names":false,"suffix":""},{"dropping-particle":"","family":"Robbins","given":"J.","non-dropping-particle":"","parse-names":false,"suffix":""},{"dropping-particle":"","family":"Newton","given":"R.A.","non-dropping-particle":"","parse-names":false,"suffix":""},{"dropping-particle":"","family":"Peters","given":"R.","non-dropping-particle":"","parse-names":false,"suffix":""}],"container-title":"Developmental &amp; Comparative Immunology","id":"ITEM-3","issue":"4","issued":{"date-parts":[["2002","5"]]},"page":"307-312","title":"A complement component C3-like protein from the tunicate, &lt;i&gt;Styela plicata&lt;/i&gt;","type":"article-journal","volume":"26"},"uris":["http://www.mendeley.com/documents/?uuid=41b5312a-f0c2-4326-b730-98d5153cab58"]},{"id":"ITEM-4","itemData":{"DOI":"10.1007/s00251-003-0606-5","ISBN":"8135800339","ISSN":"0093-7711","PMID":"14530883","abstract":"Genome-wide sequence analysis in the invertebrate chordate, Ciona intestinalis, has provided a comprehensive picture of immune-related genes in an organism that occupies a key phylogenetic position in vertebrate evolution. The pivotal genes for adaptive immunity, such as the major histocompatibility complex (MHC) class I and II genes, T-cell receptors, or dimeric immunoglobulin molecules, have not been identified in the Ciona genome. Many genes involved in innate immunity have been identified, including complement components, Toll-like receptors, and the genes involved in intracellular signal transduction of immune responses, and show both expansion and unexpected diversity in comparison with the vertebrates. In addition, a number of genes were identified which predicted integral membrane proteins with extracellular C-type lectin or immunoglobulin domains and intracellular immunoreceptor tyrosine-based inhibitory motifs (ITIMs) and immunoreceptor tyrosine-based activation motifs (ITAMs) (plus their associated signal transduction molecules), suggesting that activating and inhibitory receptors have an MHC-independent function and an early evolutionary origin. A crucial component of vertebrate adaptive immunity is somatic diversification, and the recombination activating genes (RAG) and activation-induced cytidine deaminase (AID) genes responsible for the Generation of diversity are not present in Ciona. However, there are key V regions, the essential feature of an immunoglobulin superfamily VC1-like core, and possible proto-MHC regions scattered throughout the genome waiting for Godot.","author":[{"dropping-particle":"","family":"Azumi","given":"Kaoru","non-dropping-particle":"","parse-names":false,"suffix":""},{"dropping-particle":"","family":"Santis","given":"Rosaria","non-dropping-particle":"De","parse-names":false,"suffix":""},{"dropping-particle":"","family":"Tomaso","given":"Anthony","non-dropping-particle":"De","parse-names":false,"suffix":""},{"dropping-particle":"","family":"Rigoutsos","given":"Isidore","non-dropping-particle":"","parse-names":false,"suffix":""},{"dropping-particle":"","family":"Yoshizaki","given":"Fumiko","non-dropping-particle":"","parse-names":false,"suffix":""},{"dropping-particle":"","family":"Pinto","given":"Maria Rosaria","non-dropping-particle":"","parse-names":false,"suffix":""},{"dropping-particle":"","family":"Marino","given":"Rita","non-dropping-particle":"","parse-names":false,"suffix":""},{"dropping-particle":"","family":"Shida","given":"Kazuhito","non-dropping-particle":"","parse-names":false,"suffix":""},{"dropping-particle":"","family":"Ikeda","given":"Makoto","non-dropping-particle":"","parse-names":false,"suffix":""},{"dropping-particle":"","family":"Ikeda","given":"Masami","non-dropping-particle":"","parse-names":false,"suffix":""},{"dropping-particle":"","family":"Arai","given":"Masafumi","non-dropping-particle":"","parse-names":false,"suffix":""},{"dropping-particle":"","family":"Inoue","given":"Yasuhito","non-dropping-particle":"","parse-names":false,"suffix":""},{"dropping-particle":"","family":"Shimizu","given":"Toshio","non-dropping-particle":"","parse-names":false,"suffix":""},{"dropping-particle":"","family":"Satoh","given":"Nori","non-dropping-particle":"","parse-names":false,"suffix":""},{"dropping-particle":"","family":"Rokhsar","given":"Daniel S.","non-dropping-particle":"","parse-names":false,"suffix":""},{"dropping-particle":"","family":"Pasquier","given":"Louis","non-dropping-particle":"Du","parse-names":false,"suffix":""},{"dropping-particle":"","family":"Kasahara","given":"Masanori","non-dropping-particle":"","parse-names":false,"suffix":""},{"dropping-particle":"","family":"Satake","given":"Masanobu","non-dropping-particle":"","parse-names":false,"suffix":""},{"dropping-particle":"","family":"Nonaka","given":"Masaru","non-dropping-particle":"","parse-names":false,"suffix":""}],"container-title":"Immunogenetics","id":"ITEM-4","issue":"8","issued":{"date-parts":[["2003","11","7"]]},"page":"570-581","title":"Genomic analysis of immunity in a Urochordate and the emergence of the vertebrate immune system: “waiting for Godot”","type":"article-journal","volume":"55"},"uris":["http://www.mendeley.com/documents/?uuid=e7da1dc6-9af8-4176-a52d-f8f94bb7f04c"]},{"id":"ITEM-5","itemData":{"ISSN":"1824307X","abstract":"Proteins with obvious similarities to mammalian complement are widely distributed in the animal kingdom. In the vertebrate lineage, deuterostomes like sea urchins and tunicates express proteins that are homologues of C3, the central component of the vertebrate complement cascade. Their genomes also encode molecules resembling factor B from the “alternative” complement activation pathway; and tunicates have collagenous lectins of the type that can activate complement in the absence of antibodies. This suggests that the core components of the complement system evolved before antibodies, which first appear in jawed fish.","author":[{"dropping-particle":"V.","family":"Nair","given":"S.","non-dropping-particle":"","parse-names":false,"suffix":""},{"dropping-particle":"","family":"Ramsden","given":"A.","non-dropping-particle":"","parse-names":false,"suffix":""},{"dropping-particle":"","family":"Raftos","given":"D. A.","non-dropping-particle":"","parse-names":false,"suffix":""}],"container-title":"Invertebrate Survival Journal","id":"ITEM-5","issue":"2","issued":{"date-parts":[["2005"]]},"page":"114-123","title":"Ancient origins: Complement in invertebrates","type":"article-journal","volume":"2"},"uris":["http://www.mendeley.com/documents/?uuid=58a01722-2bee-48a5-8dcd-eb6cb37ce27d"]}],"mendeley":{"formattedCitation":"(Nonaka &lt;i&gt;et al.&lt;/i&gt;, 1999; Marino &lt;i&gt;et al.&lt;/i&gt;, 2002; Raftos &lt;i&gt;et al.&lt;/i&gt;, 2002; Azumi &lt;i&gt;et al.&lt;/i&gt;, 2003; Nair &lt;i&gt;et al.&lt;/i&gt;, 2005)","plainTextFormattedCitation":"(Nonaka et al., 1999; Marino et al., 2002; Raftos et al., 2002; Azumi et al., 2003; Nair et al., 2005)","previouslyFormattedCitation":"(Nonaka &lt;i&gt;et al.&lt;/i&gt;, 1999; Marino &lt;i&gt;et al.&lt;/i&gt;, 2002; Raftos &lt;i&gt;et al.&lt;/i&gt;, 2002; Azumi &lt;i&gt;et al.&lt;/i&gt;, 2003; Nair &lt;i&gt;et al.&lt;/i&gt;, 2005)"},"properties":{"noteIndex":0},"schema":"https://github.com/citation-style-language/schema/raw/master/csl-citation.json"}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(Nonaka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1999; Marino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2002; Raftos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2002; Azumi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2003; Nair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2005)</w:t>
            </w:r>
            <w:r w:rsidRPr="00805017">
              <w:rPr>
                <w:rFonts w:ascii="Arial" w:hAnsi="Arial" w:cs="Arial"/>
                <w:color w:val="000000" w:themeColor="text1"/>
                <w:sz w:val="18"/>
                <w:szCs w:val="18"/>
              </w:rPr>
              <w:fldChar w:fldCharType="end"/>
            </w:r>
          </w:p>
        </w:tc>
        <w:tc>
          <w:tcPr>
            <w:tcW w:w="593" w:type="pct"/>
            <w:vAlign w:val="center"/>
          </w:tcPr>
          <w:p w14:paraId="2C40466A"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{"citationItems":[{"id":"ITEM-1","itemData":{"DOI":"10.1038/nature04005","ISSN":"0028-0836","PMID":"16177781","abstract":"The mammalian complement system is a phylogenetically ancient cascade system that has a major role in innate and adaptive immunity. Activation of component C3 (1,641 residues) is central to the three complement pathways and results in inflammation and elimination of self and non-self targets. Here we present crystal structures of native C3 and its final major proteolytic fragment C3c. The structures reveal thirteen domains, nine of which were unpredicted, and suggest that the proteins of the α2-macroglobulin family evolved from a core of eight homologous domains. A double mechanism prevents hydrolysis of the thioester group, essential for covalent attachment of activated C3 to target surfaces. Marked conformational changes in the α-chain, including movement of a critical interaction site through a ring formed by the domains of the Β-chain, indicate an unprecedented, conformation-dependent mechanism of activation, regulation and biological function of C3. © 2005 Nature Publishing Group.","author":[{"dropping-particle":"","family":"Janssen","given":"Bert J. C.","non-dropping-particle":"","parse-names":false,"suffix":""},{"dropping-particle":"","family":"Huizinga","given":"Eric G.","non-dropping-particle":"","parse-names":false,"suffix":""},{"dropping-particle":"","family":"Raaijmakers","given":"Hans C. A.","non-dropping-particle":"","parse-names":false,"suffix":""},{"dropping-particle":"","family":"Roos","given":"Anja","non-dropping-particle":"","parse-names":false,"suffix":""},{"dropping-particle":"","family":"Daha","given":"Mohamed R.","non-dropping-particle":"","parse-names":false,"suffix":""},{"dropping-particle":"","family":"Nilsson-Ekdahl","given":"Kristina","non-dropping-particle":"","parse-names":false,"suffix":""},{"dropping-particle":"","family":"Nilsson","given":"Bo","non-dropping-particle":"","parse-names":false,"suffix":""},{"dropping-particle":"","family":"Gros","given":"Piet","non-dropping-particle":"","parse-names":false,"suffix":""}],"container-title":"Nature","id":"ITEM-1","issue":"7058","issued":{"date-parts":[["2005","9"]]},"page":"505-511","title":"Structures of complement component C3 provide insights into the function and evolution of immunity","type":"article-journal","volume":"437"},"uris":["http://www.mendeley.com/documents/?uuid=5410dd00-1b43-4fde-8d29-6f247e2828f6"]}],"mendeley":{"formattedCitation":"(Janssen &lt;i&gt;et al.&lt;/i&gt;, 2005)","plainTextFormattedCitation":"(Janssen et al., 2005)","previouslyFormattedCitation":"(Janssen &lt;i&gt;et al.&lt;/i&gt;, 2005)"},"properties":{"noteIndex":0},"schema":"https://github.com/citation-style-language/schema/raw/master/csl-citation.json"}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(Janssen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2005)</w:t>
            </w:r>
            <w:r w:rsidRPr="00805017">
              <w:rPr>
                <w:rFonts w:ascii="Arial" w:hAnsi="Arial" w:cs="Arial"/>
                <w:color w:val="000000" w:themeColor="text1"/>
                <w:sz w:val="18"/>
                <w:szCs w:val="18"/>
              </w:rPr>
              <w:fldChar w:fldCharType="end"/>
            </w:r>
          </w:p>
        </w:tc>
      </w:tr>
      <w:tr w:rsidR="001D7AD3" w:rsidRPr="00805017" w14:paraId="67F2C3D2" w14:textId="77777777" w:rsidTr="00605F18">
        <w:tc>
          <w:tcPr>
            <w:tcW w:w="470" w:type="pct"/>
          </w:tcPr>
          <w:p w14:paraId="23979584"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 xml:space="preserve">Factor B </w:t>
            </w:r>
          </w:p>
        </w:tc>
        <w:tc>
          <w:tcPr>
            <w:tcW w:w="614" w:type="pct"/>
            <w:vMerge/>
            <w:vAlign w:val="center"/>
          </w:tcPr>
          <w:p w14:paraId="094FB17D"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5158B54B"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{"citationItems":[{"id":"ITEM-1","itemData":{"DOI":"10.1126/science.287.5461.2185","ISSN":"00368075","PMID":"10731132","abstract":"The fly Drosophila melanogaster is one of the most intensively studied organisms in biology and serves as a model system for the investigation of many developmental and cellular processes common to higher eukaryotes, including humans. We have determined the nucleotide sequence of nearly all of the ~120-megabase euchromatic portion of the Drosophila genome using a whole-genome shotgun sequencing strategy supported by extensive clone-based sequence and a high-quality bacterial artificial chromosome physical map. Efforts are under way to close the remaining gaps, however, the sequence is of sufficient accuracy and contiguity to be declared substantially complete and to support an initial analysis of genome structure and preliminary gene annotation and interpretation. The genome encodes ~13,600 genes, somewhat fewer than the smaller Caenorhabditis elegans genome, but with comparable functional diversity.","author":[{"dropping-particle":"","family":"Adams","given":"M. D.","non-dropping-particle":"","parse-names":false,"suffix":""}],"container-title":"Science","id":"ITEM-1","issue":"5461","issued":{"date-parts":[["2000","3","24"]]},"page":"2185-2195","title":"The genome sequence of &lt;i&gt;Drosophila melanogaster&lt;/i&gt;","type":"article-journal","volume":"287"},"uris":["http://www.mendeley.com/documents/?uuid=79dc5207-52a1-4fc3-9728-8d461c3b43e2"]},{"id":"ITEM-2","itemData":{"DOI":"10.1016/j.dci.2014.12.008","ISSN":"0145305X","PMID":"25530095","abstract":"To elucidate the evolutionary history of the complement system in Arthropoda, de novo transcriptome analysis was performed with six species among the Chelicerata, Myriapoda, and Crustacea, and complement genes were identified based on their characteristic domain structures. Complement C3 and factor B (FB) were identified from a sea spider, a jumping spider, and a centipede, but not from a sea firefly or two millipede species. No additional complement components identifiable by their characteristic domain structures were found from any of these six species. These results together with genome sequence information for several species of the Hexapoda suggest that the common ancestor of the Arthropoda possessed a simple complement system comprising C3 and FB, and thus resembled the alternative pathway of the mammalian complement system. It was lost at least twice independently during the evolution of Arthropoda in the millipede lineage and in the common ancestor of Crustacea and Hexapoda.","author":[{"dropping-particle":"","family":"Sekiguchi","given":"Reo","non-dropping-particle":"","parse-names":false,"suffix":""},{"dropping-particle":"","family":"Nonaka","given":"Masaru","non-dropping-particle":"","parse-names":false,"suffix":""}],"container-title":"Developmental &amp; Comparative Immunology","id":"ITEM-2","issue":"1","issued":{"date-parts":[["2015","5"]]},"page":"58-67","publisher":"Elsevier Ltd","title":"Evolution of the complement system in protostomes revealed by de novo transcriptome analysis of six species of Arthropoda","type":"article-journal","volume":"50"},"uris":["http://www.mendeley.com/documents/?uuid=718597fa-0a0f-460b-b472-6efa1f819af5"]},{"id":"ITEM-3","itemData":{"DOI":"10.1038/sj.emboj.7600533","ISSN":"0261-4189","PMID":"15616573","abstract":"The complement system has been thought to originate exclusively in the deuterostomes. Here, we show that the central complement components already existed in the primitive protostome lineage. A functional homolog of vertebrate complement 3, CrC3, has been isolated from a 'living fossil', the horseshoe crab (Carcinoscorpius rotundicauda). CrC3 resembles human C3 and shows closest homology to C3 sequences of lower deuterostomes. CrC3 and plasma lectins bind a wide range of microbes, forming the frontline innate immune defense system. Additionally, we identified CrC2/Bf, a homolog of vertebrate C2 and Bf that participates in C3 activation, and a C3 receptor-like sequence. Furthermore, complement-mediated phagocytosis of bacteria by the hemocytes of horseshoe crab was also observed. Thus, a primitive yet complex opsonic complement defense system is revealed in the horseshoe crab, a protostome species. Our findings demonstrate an ancient origin of the critical complement components and the opsonic defense mechanism in the Precambrian ancestor of bilateral animals.","author":[{"dropping-particle":"","family":"Zhu","given":"Yong","non-dropping-particle":"","parse-names":false,"suffix":""},{"dropping-particle":"","family":"Thangamani","given":"Saravanan","non-dropping-particle":"","parse-names":false,"suffix":""},{"dropping-particle":"","family":"Ho","given":"Bow","non-dropping-particle":"","parse-names":false,"suffix":""},{"dropping-particle":"","family":"Ding","given":"Jeak Ling","non-dropping-particle":"","parse-names":false,"suffix":""}],"container-title":"The EMBO Journal","id":"ITEM-3","issue":"2","issued":{"date-parts":[["2005","1","26"]]},"page":"382-394","title":"The ancient origin of the complement system","type":"article-journal","volume":"24"},"uris":["http://www.mendeley.com/documents/?uuid=fe496f85-68a4-4797-bab3-9953b19e0a79"]},{"id":"ITEM-4","itemData":{"DOI":"10.1016/j.dci.2018.02.018","ISSN":"0145305X","PMID":"29501422","abstract":"The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Immunology","id":"ITEM-4","issued":{"date-parts":[["2018","7"]]},"page":"250-263","publisher":"Elsevier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evolution","type":"article-journal","volume":"84"},"uris":["http://www.mendeley.com/documents/?uuid=31479a86-e2f3-435c-8919-2aabf194aa6b"]},{"id":"ITEM-5","itemData":{"DOI":"10.1093/molbev/msv093","ISSN":"0737-4038","abstract":"Insects are an important model for the study of innate immune systems, but remarkably little is known about the immune system of other arthropod groups despite their importance as disease vectors, pests, and components of biological diversity. Using comparative genomics, we have characterized the immune system of all the major groups of arthropods beyond insects for the first time - studying five chelicerates, a myriapod, and a crustacean.We found clear traces of an ancient origin of innate immunity, with some arthropods having Toll-like receptors and C3-complement factors that are more closely related in sequence or structure to vertebrates than other arthropods. Across the arthropods some components of the immune system, such as the Toll signaling pathway, are highly conserved. However, there is also remarkable diversity. The chelicerates apparently lack the Imd signaling pathway and beta-1,3 glucan binding proteins - a key class of pathogen recognition receptors. Many genes have large copy number variation across species, and this may sometimes be accompanied by changes in function. For example, we find that peptidoglycan recognition proteins have frequently lost their catalytic activity and switch between secreted and intracellular forms. We also find that there has been widespread and extensive duplication of the cellular immune receptor Dscam (Down syndrome cell adhesion molecule), which may be an alternative way to generate the high diversity produced by alternative splicing in insects. In the antiviral short interfering RNAi pathway Argonaute 2 evolves rapidly and is frequently duplicated, with a highly variable copy number. Our results provide a detailed analysis of the immune systems of several important groups of animals for the first time and lay the foundations for functional work on these groups.","author":[{"dropping-particle":"","family":"Palmer","given":"William J.","non-dropping-particle":"","parse-names":false,"suffix":""},{"dropping-particle":"","family":"Jiggins","given":"Francis M.","non-dropping-particle":"","parse-names":false,"suffix":""}],"container-title":"Molecular Biology and Evolution","id":"ITEM-5","issue":"8","issued":{"date-parts":[["2015","8"]]},"page":"2111-2129","title":"Comparative genomics reveals the origins and diversity of arthropod immune systems","type":"article-journal","volume":"32"},"uris":["http://www.mendeley.com/documents/?uuid=dd76a1a4-60e4-4d10-9b6d-69ed64f474af"]}],"mendeley":{"formattedCitation":"(Adams, 2000; Zhu &lt;i&gt;et al.&lt;/i&gt;, 2005; Palmer and Jiggins, 2015; Sekiguchi and Nonaka, 2015; Gorbushin, 2018)","plainTextFormattedCitation":"(Adams, 2000; Zhu et al., 2005; Palmer and Jiggins, 2015; Sekiguchi and Nonaka, 2015; Gorbushin, 2018)","previouslyFormattedCitation":"(Adams, 2000; Zhu &lt;i&gt;et al.&lt;/i&gt;, 2005; Palmer and Jiggins, 2015; Sekiguchi and Nonaka, 2015; Gorbushin, 2018)"},"properties":{"noteIndex":0},"schema":"https://github.com/citation-style-language/schema/raw/master/csl-citation.json"}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(Adams, 2000; Zhu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2005; Palmer and Jiggins, 2015; Sekiguchi and Nonaka, 2015; Gorbushin, 2018)</w:t>
            </w:r>
            <w:r w:rsidRPr="00805017">
              <w:rPr>
                <w:rFonts w:ascii="Arial" w:hAnsi="Arial" w:cs="Arial"/>
                <w:color w:val="000000" w:themeColor="text1"/>
                <w:sz w:val="18"/>
                <w:szCs w:val="18"/>
              </w:rPr>
              <w:fldChar w:fldCharType="end"/>
            </w:r>
          </w:p>
        </w:tc>
        <w:tc>
          <w:tcPr>
            <w:tcW w:w="609" w:type="pct"/>
            <w:vAlign w:val="center"/>
          </w:tcPr>
          <w:p w14:paraId="532FD084"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6C5F42B9"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{"citationItems":[{"id":"ITEM-1","itemData":{"ISSN":"1824307X","abstract":"Metchnikoff’s use of sea star larvae to observe encapsulation and phagocytosis, which was followed much later by allograft rejection kinetics, revealed that echinoderms had an innate immune system that was lacking of adaptive attributes. Larval sea urchins mount defenses in response to contact with microbes, which are mediated by phagocytic blastocoelar cells and pigment cells. In the adult, the coelomocytes mediate immune responses through phagocytosis and encapsulation of foreign particles in addition to degranulation of antimicrobial molecules. Molecular analysis of immune functions in the sea urchin has demonstrated a complement system that appears to have multiple alternative pathways and several activators of the lectin pathway, but may be missing the terminal pathway. Other genes and proteins involved in the sea urchin immunity include expanded sets of lectins, proteins with scavenger receptor cysteine-rich repeats, Toll-like receptors and associated signalling proteins. A vast array of proteins belonging to the 185/333 family are expressed in coelomocytes in response to lipopolysaccharide and show a surprising level of diversity. The sea urchin innate immune system has a number of large gene families with unexpected complexities and elevated levels of diversification.","author":[{"dropping-particle":"","family":"Smith","given":"L. Courtney","non-dropping-particle":"","parse-names":false,"suffix":""},{"dropping-particle":"","family":"Rast","given":"J. P.","non-dropping-particle":"","parse-names":false,"suffix":""},{"dropping-particle":"","family":"Brockton","given":"V.","non-dropping-particle":"","parse-names":false,"suffix":""},{"dropping-particle":"","family":"Terwilliger","given":"D. P.","non-dropping-particle":"","parse-names":false,"suffix":""},{"dropping-particle":"V.","family":"Nair","given":"S.","non-dropping-particle":"","parse-names":false,"suffix":""},{"dropping-particle":"","family":"Buckley","given":"K. M.","non-dropping-particle":"","parse-names":false,"suffix":""},{"dropping-particle":"","family":"Majeske","given":"A. J.","non-dropping-particle":"","parse-names":false,"suffix":""}],"container-title":"Invertebrate Survival Journal","id":"ITEM-1","issue":"1","issued":{"date-parts":[["2006"]]},"page":"25-39","title":"The sea urchin immune system","type":"article-journal","volume":"3"},"uris":["http://www.mendeley.com/documents/?uuid=bb7a6572-f7dc-41d5-9a98-ba9e8cde079b"]},{"id":"ITEM-2","itemData":{"ISSN":"1824307X","abstract":"Proteins with obvious similarities to mammalian complement are widely distributed in the animal kingdom. In the vertebrate lineage, deuterostomes like sea urchins and tunicates express proteins that are homologues of C3, the central component of the vertebrate complement cascade. Their genomes also encode molecules resembling factor B from the “alternative” complement activation pathway; and tunicates have collagenous lectins of the type that can activate complement in the absence of antibodies. This suggests that the core components of the complement system evolved before antibodies, which first appear in jawed fish.","author":[{"dropping-particle":"V.","family":"Nair","given":"S.","non-dropping-particle":"","parse-names":false,"suffix":""},{"dropping-particle":"","family":"Ramsden","given":"A.","non-dropping-particle":"","parse-names":false,"suffix":""},{"dropping-particle":"","family":"Raftos","given":"D. A.","non-dropping-particle":"","parse-names":false,"suffix":""}],"container-title":"Invertebrate Survival Journal","id":"ITEM-2","issue":"2","issued":{"date-parts":[["2005"]]},"page":"114-123","title":"Ancient origins: Complement in invertebrates","type":"article-journal","volume":"2"},"uris":["http://www.mendeley.com/documents/?uuid=58a01722-2bee-48a5-8dcd-eb6cb37ce27d"]}],"mendeley":{"formattedCitation":"(Nair &lt;i&gt;et al.&lt;/i&gt;, 2005; Smith &lt;i&gt;et al.&lt;/i&gt;, 2006)","plainTextFormattedCitation":"(Nair et al., 2005; Smith et al., 2006)","previouslyFormattedCitation":"(Nair &lt;i&gt;et al.&lt;/i&gt;, 2005; Smith &lt;i&gt;et al.&lt;/i&gt;, 2006)"},"properties":{"noteIndex":0},"schema":"https://github.com/citation-style-language/schema/raw/master/csl-citation.json"}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(Nair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2005; Smith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2006)</w:t>
            </w:r>
            <w:r w:rsidRPr="00805017">
              <w:rPr>
                <w:rFonts w:ascii="Arial" w:hAnsi="Arial" w:cs="Arial"/>
                <w:color w:val="000000" w:themeColor="text1"/>
                <w:sz w:val="18"/>
                <w:szCs w:val="18"/>
              </w:rPr>
              <w:fldChar w:fldCharType="end"/>
            </w:r>
            <w:r w:rsidRPr="00805017">
              <w:rPr>
                <w:rFonts w:ascii="Arial" w:hAnsi="Arial" w:cs="Arial"/>
                <w:color w:val="000000" w:themeColor="text1"/>
                <w:sz w:val="18"/>
                <w:szCs w:val="18"/>
                <w:lang w:val="en-US"/>
              </w:rPr>
              <w:t xml:space="preserve"> </w:t>
            </w:r>
          </w:p>
        </w:tc>
        <w:tc>
          <w:tcPr>
            <w:tcW w:w="572" w:type="pct"/>
            <w:vAlign w:val="center"/>
          </w:tcPr>
          <w:p w14:paraId="1D8FAD31"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{"citationItems":[{"id":"ITEM-1","itemData":{"DOI":"10.1016/j.fsi.2008.03.004","ISSN":"10504648","PMID":"18434196","abstract":"A complement system operating via the alternative pathway (AP) similar to that of vertebrates has been demonstrated in the primitive chordate amphioxus. However, the factor B (Bf), a key specific protease in the AP, remains elusive in amphioxus to date. We demonstrate in this study the presence of a factor B-like protein in amphioxus Branchiostoma belcheri by both immunoblotting and molecular cloning. The factor B-like protein was immunohistochemically localized in the hepatic cecum. The B. belcheri factor B-like gene, BbBf/C2, encoded a mosaic protein with three complement control protein (CCP) domains, a von Willebrand factor A (vWFA) domain and a serine protease (SP) domain. Peculiarly, BbBf/C2 had an epidermal growth factor-like domain (EGF_CA) located between CCP1 and CCP2, therefore BbBf/C2 had a modular structure of CCP-EGF_CA-CCP-CCP-vWFA-SP, making it a novel member of Bf/C2 family proteins. Real-time PCR assay revealed that lipopolysaccharide (LPS) challenge resulted in a quick and continuously significant up-regulation of BbBf/C2 expression in the hepatic cecum, while BbBf/C2 was only expressed for a short time in the hind-gut following LPS challenge though the expression level was temporarily higher than that in the hepatic cecum. Similarly, immuno-dot blotting showed that challenge with LPS triggered a significant elevation of BbBf/C2 synthesis in the hepatic cecum and hind-gut, with a higher rise in the former tissue. These results indicate that both hepatic cecum and hind-gut may be involved in the immune response induced by LPS, but the hepatic cecum, like the vertebrate liver, is the primary tissue synthesizing BbBf/C2 in response to LPS challenge, thereby playing a major role in the acute phase response. © 2008 Elsevier Ltd. All rights reserved.","author":[{"dropping-particle":"","family":"He","given":"Y","non-dropping-particle":"","parse-names":false,"suffix":""},{"dropping-particle":"","family":"Tang","given":"B","non-dropping-particle":"","parse-names":false,"suffix":""},{"dropping-particle":"","family":"Zhang","given":"S","non-dropping-particle":"","parse-names":false,"suffix":""},{"dropping-particle":"","family":"Liu","given":"Z","non-dropping-particle":"","parse-names":false,"suffix":""},{"dropping-particle":"","family":"Zhao","given":"B","non-dropping-particle":"","parse-names":false,"suffix":""},{"dropping-particle":"","family":"Chen","given":"L","non-dropping-particle":"","parse-names":false,"suffix":""}],"container-title":"Fish &amp; Shellfish Immunology","id":"ITEM-1","issue":"6","issued":{"date-parts":[["2008","6"]]},"page":"768-778","title":"Molecular and immunochemical demonstration of a novel member of Bf/C2 homolog in amphioxus &lt;i&gt;Branchiostoma belcheri&lt;/i&gt;: Implications for involvement of hepatic cecum in acute phase response","type":"article-journal","volume":"24"},"uris":["http://www.mendeley.com/documents/?uuid=d010b5c0-36af-48a7-b0f7-4164000f27f5"]}],"mendeley":{"formattedCitation":"(He &lt;i&gt;et al.&lt;/i&gt;, 2008)","plainTextFormattedCitation":"(He et al., 2008)","previouslyFormattedCitation":"(He &lt;i&gt;et al.&lt;/i&gt;, 2008)"},"properties":{"noteIndex":0},"schema":"https://github.com/citation-style-language/schema/raw/master/csl-citation.json"}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2008)</w:t>
            </w:r>
            <w:r w:rsidRPr="00805017">
              <w:rPr>
                <w:rFonts w:ascii="Arial" w:hAnsi="Arial" w:cs="Arial"/>
                <w:color w:val="000000" w:themeColor="text1"/>
                <w:sz w:val="18"/>
                <w:szCs w:val="18"/>
              </w:rPr>
              <w:fldChar w:fldCharType="end"/>
            </w:r>
          </w:p>
        </w:tc>
        <w:tc>
          <w:tcPr>
            <w:tcW w:w="646" w:type="pct"/>
            <w:vAlign w:val="center"/>
          </w:tcPr>
          <w:p w14:paraId="2BF3FF8D"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{"citationItems":[{"id":"ITEM-1","itemData":{"ISSN":"0022-1767","PMID":"9862709","abstract":"A homologue of factor B, SpBf, has been cloned and sequenced from an LPS-activated coelomocyte cDNA library from the purple sea urchin, Strongylocentrotus purpuratus. The deduced amino acid sequence and domain structure show significant similarity to the vertebrate Bf/C2 family proteins. SpBf is a mosaic protein, composed of five short consensus repeats, a von Willebrand Factor domain, and a serine protease domain. It has a deduced molecular mass of 91 kDa, with a conserved cleavage site for a putative factor D protease. It has ten consensus recognition sites for N-linked glycosylation. Amino acids involved in both Mg2+ binding and in serine protease activity in the vertebrate C2/Bf proteins are conserved in SpBf. Phylogenetic analysis of SpBf indicates that it is the most ancient member of the vertebrate Bf/C2 family. Additional phylogenetic analysis of the SCRs indicates that five SCRs in SpBf may be ancestral to three SCRs, which is the typical pattern in the vertebrate Bf/C2 proteins. RNA gel blots show that SpBf transcripts are 5.5 kb and are specifically expressed in coelomocytes. Genome blots suggest that the SpBf gene (Sp152) is single copy gene per haploid genome. This is the second complement component to be identified from the sea urchin, and, with the sea urchin C3 homologue, these two components may be part of a simple complement system that is homologous to the alternative pathway in higher vertebrates.","author":[{"dropping-particle":"","family":"Smith","given":"L C","non-dropping-particle":"","parse-names":false,"suffix":""},{"dropping-particle":"","family":"Shih","given":"C S","non-dropping-particle":"","parse-names":false,"suffix":""},{"dropping-particle":"","family":"Dachenhausen","given":"S G","non-dropping-particle":"","parse-names":false,"suffix":""}],"container-title":"Journal of immunology (Baltimore, Md. : 1950)","id":"ITEM-1","issue":"12","issued":{"date-parts":[["1998","12","15"]]},"page":"6784-93","title":"Coelomocytes express SpBf, a homologue of factor B, the second component in the sea urchin complement system.","type":"article-journal","volume":"161"},"uris":["http://www.mendeley.com/documents/?uuid=16b20e44-18b2-4f8a-a32d-884ee72d8be3"]},{"id":"ITEM-2","itemData":{"ISSN":"1824307X","abstract":"Proteins with obvious similarities to mammalian complement are widely distributed in the animal kingdom. In the vertebrate lineage, deuterostomes like sea urchins and tunicates express proteins that are homologues of C3, the central component of the vertebrate complement cascade. Their genomes also encode molecules resembling factor B from the “alternative” complement activation pathway; and tunicates have collagenous lectins of the type that can activate complement in the absence of antibodies. This suggests that the core components of the complement system evolved before antibodies, which first appear in jawed fish.","author":[{"dropping-particle":"V.","family":"Nair","given":"S.","non-dropping-particle":"","parse-names":false,"suffix":""},{"dropping-particle":"","family":"Ramsden","given":"A.","non-dropping-particle":"","parse-names":false,"suffix":""},{"dropping-particle":"","family":"Raftos","given":"D. A.","non-dropping-particle":"","parse-names":false,"suffix":""}],"container-title":"Invertebrate Survival Journal","id":"ITEM-2","issue":"2","issued":{"date-parts":[["2005"]]},"page":"114-123","title":"Ancient origins: Complement in invertebrates","type":"article-journal","volume":"2"},"uris":["http://www.mendeley.com/documents/?uuid=58a01722-2bee-48a5-8dcd-eb6cb37ce27d"]}],"mendeley":{"formattedCitation":"(Smith &lt;i&gt;et al.&lt;/i&gt;, 1998; Nair &lt;i&gt;et al.&lt;/i&gt;, 2005)","plainTextFormattedCitation":"(Smith et al., 1998; Nair et al., 2005)","previouslyFormattedCitation":"(Smith &lt;i&gt;et al.&lt;/i&gt;, 1998; Nair &lt;i&gt;et al.&lt;/i&gt;, 2005)"},"properties":{"noteIndex":0},"schema":"https://github.com/citation-style-language/schema/raw/master/csl-citation.json"}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(Smith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1998; Nair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2005)</w:t>
            </w:r>
            <w:r w:rsidRPr="00805017">
              <w:rPr>
                <w:rFonts w:ascii="Arial" w:hAnsi="Arial" w:cs="Arial"/>
                <w:color w:val="000000" w:themeColor="text1"/>
                <w:sz w:val="18"/>
                <w:szCs w:val="18"/>
              </w:rPr>
              <w:fldChar w:fldCharType="end"/>
            </w:r>
          </w:p>
        </w:tc>
        <w:tc>
          <w:tcPr>
            <w:tcW w:w="593" w:type="pct"/>
            <w:vAlign w:val="center"/>
          </w:tcPr>
          <w:p w14:paraId="4A9F9A64"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{"citationItems":[{"id":"ITEM-1","itemData":{"DOI":"10.1038/nsmb1210","ISSN":"1545-9993","PMID":"17310251","abstract":"Factor B is the central protease of the complement system of immune defense. Here, we present the crystal structure of human factor B at 2.3-Å resolution, which reveals how the five-domain proenzyme is kept securely inactive. The canonical activation helix of the Von Willebrand factor A (VWA) domain is displaced by a helix from the preceding domain linker. The two helices conformationally link the scissile-activation peptide and the metal ion-dependent adhesion site required for binding of the ligand C3b. The data suggest that C3b binding displaces the three N-terminal control domains and reshuffles the two central helices. Reshuffling of the helices releases the scissile bond for final proteolytic activation and generates a new interface between the VWA domain and the serine protease domain. This allosteric mechanism is crucial for tight regulation of the complement-amplification step in the immune response. © 2007 Nature Publishing Group.","author":[{"dropping-particle":"","family":"Milder","given":"Fin J.","non-dropping-particle":"","parse-names":false,"suffix":""},{"dropping-particle":"","family":"Gomes","given":"Lucio","non-dropping-particle":"","parse-names":false,"suffix":""},{"dropping-particle":"","family":"Schouten","given":"Arie","non-dropping-particle":"","parse-names":false,"suffix":""},{"dropping-particle":"","family":"Janssen","given":"Bert J C","non-dropping-particle":"","parse-names":false,"suffix":""},{"dropping-particle":"","family":"Huizinga","given":"Eric G.","non-dropping-particle":"","parse-names":false,"suffix":""},{"dropping-particle":"","family":"Romijn","given":"Roland A.","non-dropping-particle":"","parse-names":false,"suffix":""},{"dropping-particle":"","family":"Hemrika","given":"Wieger","non-dropping-particle":"","parse-names":false,"suffix":""},{"dropping-particle":"","family":"Roos","given":"Anja","non-dropping-particle":"","parse-names":false,"suffix":""},{"dropping-particle":"","family":"Daha","given":"Mohamed R.","non-dropping-particle":"","parse-names":false,"suffix":""},{"dropping-particle":"","family":"Gros","given":"Piet","non-dropping-particle":"","parse-names":false,"suffix":""}],"container-title":"Nature Structural &amp; Molecular Biology","id":"ITEM-1","issue":"3","issued":{"date-parts":[["2007","3","25"]]},"page":"224-228","title":"Factor B structure provides insights into activation of the central protease of the complement system","type":"article-journal","volume":"14"},"uris":["http://www.mendeley.com/documents/?uuid=0dc2e3f7-4ab8-4e8a-ace3-827cbc9edd27"]}],"mendeley":{"formattedCitation":"(Milder &lt;i&gt;et al.&lt;/i&gt;, 2007)","plainTextFormattedCitation":"(Milder et al., 2007)","previouslyFormattedCitation":"(Milder &lt;i&gt;et al.&lt;/i&gt;, 2007)"},"properties":{"noteIndex":0},"schema":"https://github.com/citation-style-language/schema/raw/master/csl-citation.json"}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(Milder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2007)</w:t>
            </w:r>
            <w:r w:rsidRPr="00805017">
              <w:rPr>
                <w:rFonts w:ascii="Arial" w:hAnsi="Arial" w:cs="Arial"/>
                <w:color w:val="000000" w:themeColor="text1"/>
                <w:sz w:val="18"/>
                <w:szCs w:val="18"/>
              </w:rPr>
              <w:fldChar w:fldCharType="end"/>
            </w:r>
          </w:p>
        </w:tc>
      </w:tr>
      <w:tr w:rsidR="001D7AD3" w:rsidRPr="00805017" w14:paraId="32198FDC" w14:textId="77777777" w:rsidTr="00605F18">
        <w:tc>
          <w:tcPr>
            <w:tcW w:w="470" w:type="pct"/>
          </w:tcPr>
          <w:p w14:paraId="674F32CB"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CR</w:t>
            </w:r>
          </w:p>
        </w:tc>
        <w:tc>
          <w:tcPr>
            <w:tcW w:w="614" w:type="pct"/>
            <w:vMerge/>
            <w:vAlign w:val="center"/>
          </w:tcPr>
          <w:p w14:paraId="645C77FA"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4A7390AE"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{"citationItems":[{"id":"ITEM-1","itemData":{"DOI":"10.1126/science.287.5461.2185","ISSN":"00368075","PMID":"10731132","abstract":"The fly Drosophila melanogaster is one of the most intensively studied organisms in biology and serves as a model system for the investigation of many developmental and cellular processes common to higher eukaryotes, including humans. We have determined the nucleotide sequence of nearly all of the ~120-megabase euchromatic portion of the Drosophila genome using a whole-genome shotgun sequencing strategy supported by extensive clone-based sequence and a high-quality bacterial artificial chromosome physical map. Efforts are under way to close the remaining gaps, however, the sequence is of sufficient accuracy and contiguity to be declared substantially complete and to support an initial analysis of genome structure and preliminary gene annotation and interpretation. The genome encodes ~13,600 genes, somewhat fewer than the smaller Caenorhabditis elegans genome, but with comparable functional diversity.","author":[{"dropping-particle":"","family":"Adams","given":"M. D.","non-dropping-particle":"","parse-names":false,"suffix":""}],"container-title":"Science","id":"ITEM-1","issue":"5461","issued":{"date-parts":[["2000","3","24"]]},"page":"2185-2195","title":"The genome sequence of &lt;i&gt;Drosophila melanogaster&lt;/i&gt;","type":"article-journal","volume":"287"},"uris":["http://www.mendeley.com/documents/?uuid=79dc5207-52a1-4fc3-9728-8d461c3b43e2"]},{"id":"ITEM-2","itemData":{"DOI":"10.1016/j.dci.2018.02.018","ISSN":"0145305X","PMID":"29501422","abstract":"The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Immunology","id":"ITEM-2","issued":{"date-parts":[["2018","7"]]},"page":"250-263","publisher":"Elsevier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evolution","type":"article-journal","volume":"84"},"uris":["http://www.mendeley.com/documents/?uuid=31479a86-e2f3-435c-8919-2aabf194aa6b"]}],"mendeley":{"formattedCitation":"(Adams, 2000; Gorbushin, 2018)","plainTextFormattedCitation":"(Adams, 2000; Gorbushin, 2018)","previouslyFormattedCitation":"(Adams, 2000; Gorbushin, 2018)"},"properties":{"noteIndex":0},"schema":"https://github.com/citation-style-language/schema/raw/master/csl-citation.json"}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(Adams, 2000; Gorbushin, 2018)</w:t>
            </w:r>
            <w:r w:rsidRPr="00805017">
              <w:rPr>
                <w:rFonts w:ascii="Arial" w:hAnsi="Arial" w:cs="Arial"/>
                <w:color w:val="000000" w:themeColor="text1"/>
                <w:sz w:val="18"/>
                <w:szCs w:val="18"/>
              </w:rPr>
              <w:fldChar w:fldCharType="end"/>
            </w:r>
          </w:p>
        </w:tc>
        <w:tc>
          <w:tcPr>
            <w:tcW w:w="609" w:type="pct"/>
            <w:vAlign w:val="center"/>
          </w:tcPr>
          <w:p w14:paraId="4E823B67"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752DB03D" w14:textId="77777777" w:rsidR="001D7AD3" w:rsidRPr="00805017" w:rsidRDefault="001D7AD3" w:rsidP="00605F18">
            <w:pPr>
              <w:jc w:val="center"/>
              <w:rPr>
                <w:rFonts w:ascii="Arial" w:hAnsi="Arial" w:cs="Arial"/>
                <w:b/>
                <w:bCs/>
                <w:color w:val="000000" w:themeColor="text1"/>
                <w:sz w:val="18"/>
                <w:szCs w:val="18"/>
              </w:rPr>
            </w:pPr>
            <w:r w:rsidRPr="00805017">
              <w:rPr>
                <w:rFonts w:ascii="Arial" w:hAnsi="Arial" w:cs="Arial"/>
                <w:b/>
                <w:bCs/>
                <w:color w:val="000000" w:themeColor="text1"/>
                <w:sz w:val="18"/>
                <w:szCs w:val="18"/>
              </w:rPr>
              <w:fldChar w:fldCharType="begin" w:fldLock="1"/>
            </w:r>
            <w:r w:rsidRPr="00805017">
              <w:rPr>
                <w:rFonts w:ascii="Arial" w:hAnsi="Arial" w:cs="Arial"/>
                <w:b/>
                <w:bCs/>
                <w:color w:val="000000" w:themeColor="text1"/>
                <w:sz w:val="18"/>
                <w:szCs w:val="18"/>
              </w:rPr>
              <w:instrText>ADDIN CSL_CITATION {"citationItems":[{"id":"ITEM-1","itemData":{"DOI":"10.1016/j.dci.2018.02.018","ISSN":"0145305X","PMID":"29501422","abstract":"The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Immunology","id":"ITEM-1","issued":{"date-parts":[["2018","7"]]},"page":"250-263","publisher":"Elsevier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evolution","type":"article-journal","volume":"84"},"uris":["http://www.mendeley.com/documents/?uuid=31479a86-e2f3-435c-8919-2aabf194aa6b"]}],"mendeley":{"formattedCitation":"(Gorbushin, 2018)","plainTextFormattedCitation":"(Gorbushin, 2018)","previouslyFormattedCitation":"(Gorbushin, 2018)"},"properties":{"noteIndex":0},"schema":"https://github.com/citation-style-language/schema/raw/master/csl-citation.json"}</w:instrText>
            </w:r>
            <w:r w:rsidRPr="00805017">
              <w:rPr>
                <w:rFonts w:ascii="Arial" w:hAnsi="Arial" w:cs="Arial"/>
                <w:b/>
                <w:bCs/>
                <w:color w:val="000000" w:themeColor="text1"/>
                <w:sz w:val="18"/>
                <w:szCs w:val="18"/>
              </w:rPr>
              <w:fldChar w:fldCharType="separate"/>
            </w:r>
            <w:r w:rsidRPr="00805017">
              <w:rPr>
                <w:rFonts w:ascii="Arial" w:hAnsi="Arial" w:cs="Arial"/>
                <w:bCs/>
                <w:noProof/>
                <w:color w:val="000000" w:themeColor="text1"/>
                <w:sz w:val="18"/>
                <w:szCs w:val="18"/>
              </w:rPr>
              <w:t>(Gorbushin, 2018)</w:t>
            </w:r>
            <w:r w:rsidRPr="00805017">
              <w:rPr>
                <w:rFonts w:ascii="Arial" w:hAnsi="Arial" w:cs="Arial"/>
                <w:b/>
                <w:bCs/>
                <w:color w:val="000000" w:themeColor="text1"/>
                <w:sz w:val="18"/>
                <w:szCs w:val="18"/>
              </w:rPr>
              <w:fldChar w:fldCharType="end"/>
            </w:r>
          </w:p>
        </w:tc>
        <w:tc>
          <w:tcPr>
            <w:tcW w:w="572" w:type="pct"/>
            <w:vAlign w:val="center"/>
          </w:tcPr>
          <w:p w14:paraId="74CEFB7C"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46" w:type="pct"/>
            <w:vAlign w:val="center"/>
          </w:tcPr>
          <w:p w14:paraId="4392B078"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b/>
                <w:bCs/>
                <w:color w:val="000000" w:themeColor="text1"/>
                <w:sz w:val="18"/>
                <w:szCs w:val="18"/>
              </w:rPr>
              <w:fldChar w:fldCharType="begin" w:fldLock="1"/>
            </w:r>
            <w:r w:rsidRPr="00805017">
              <w:rPr>
                <w:rFonts w:ascii="Arial" w:hAnsi="Arial" w:cs="Arial"/>
                <w:b/>
                <w:bCs/>
                <w:color w:val="000000" w:themeColor="text1"/>
                <w:sz w:val="18"/>
                <w:szCs w:val="18"/>
              </w:rPr>
              <w:instrText>ADDIN CSL_CITATION {"citationItems":[{"id":"ITEM-1","itemData":{"DOI":"10.1016/j.dci.2018.02.018","ISSN":"0145305X","PMID":"29501422","abstract":"The evolution of complement system in invertebrates is poorly investigated. While the repertoire of complement genes in several Ecdysozoa lineages is found substantially different from that of Deuterostomia, the composition and function of the complement in the second protostome lineage, Lophotrochozoa, remains unclear. Here we report the general description of new transcriptomic data on the common periwinkle, Littorina littorea, and trace the evolutionary trajectories of the ancestral proto-complement repertoire. The repertoire is defined as immune cascade providing the minimum set of C3-associated molecules required for C3b amplification, opsonization of the targets and their phagocytosis: thioester protein (TEP) C3, serine protease C2/factor B (Bf) and complement receptors (CR). The reference transcriptome of L. littorea was built from the dual-species RNA-seq experiment with the periwinkle and its tissue digenean parasite Himasthla elongata. Five TEPs, including the ortholog of the C3, are found expressed in the in the mollusk's inflamed tissues. The homolog of the complement receptors CR1/CR2 is also expressed, however the ortholog of Bf is not. The extensive phylogenetic analysis showed that the C3 ortholog and the complement receptors are retained in all key lophotrochozoan taxa: Mollusca, Annelida and Brachiopoda. However, the Bf ortholog was lost at least three times independently in different lineages: i) Cephalopoda, ii) a common ancestor of all Gastropoda and iii) one of the Annelida lineage, Clitellata. Both C3 and Bf molecules were retained in bivalve species, brachiopods and annelid worms from the Polychaeta lineage. Hypothetically, the function of the lost Bf in these animals can be compensated by Factor L (Lf) – the serine protease first found in L. littorea and homologous to both, the Bf and the arthropod factor C (Cf). The contrast differences in proto-complement repertoire between the sister mollusk’ taxa, Bivalvia and Gastropoda (the conserved and modified sets, respectively), can underlie differences in their susceptibility to digenean infection.","author":[{"dropping-particle":"","family":"Gorbushin","given":"Alexander M.","non-dropping-particle":"","parse-names":false,"suffix":""}],"container-title":"Developmental &amp; Comparative Immunology","id":"ITEM-1","issued":{"date-parts":[["2018","7"]]},"page":"250-263","publisher":"Elsevier Ltd","title":"Immune repertoire in the transcriptome of &lt;i&gt;Littorina littorea&lt;/i&gt; reveals new trends in lophotrochozoan proto-complement evolution","type":"article-journal","volume":"84"},"uris":["http://www.mendeley.com/documents/?uuid=31479a86-e2f3-435c-8919-2aabf194aa6b"]}],"mendeley":{"formattedCitation":"(Gorbushin, 2018)","plainTextFormattedCitation":"(Gorbushin, 2018)","previouslyFormattedCitation":"(Gorbushin, 2018)"},"properties":{"noteIndex":0},"schema":"https://github.com/citation-style-language/schema/raw/master/csl-citation.json"}</w:instrText>
            </w:r>
            <w:r w:rsidRPr="00805017">
              <w:rPr>
                <w:rFonts w:ascii="Arial" w:hAnsi="Arial" w:cs="Arial"/>
                <w:b/>
                <w:bCs/>
                <w:color w:val="000000" w:themeColor="text1"/>
                <w:sz w:val="18"/>
                <w:szCs w:val="18"/>
              </w:rPr>
              <w:fldChar w:fldCharType="separate"/>
            </w:r>
            <w:r w:rsidRPr="00805017">
              <w:rPr>
                <w:rFonts w:ascii="Arial" w:hAnsi="Arial" w:cs="Arial"/>
                <w:bCs/>
                <w:noProof/>
                <w:color w:val="000000" w:themeColor="text1"/>
                <w:sz w:val="18"/>
                <w:szCs w:val="18"/>
              </w:rPr>
              <w:t>(Gorbushin, 2018)</w:t>
            </w:r>
            <w:r w:rsidRPr="00805017">
              <w:rPr>
                <w:rFonts w:ascii="Arial" w:hAnsi="Arial" w:cs="Arial"/>
                <w:b/>
                <w:bCs/>
                <w:color w:val="000000" w:themeColor="text1"/>
                <w:sz w:val="18"/>
                <w:szCs w:val="18"/>
              </w:rPr>
              <w:fldChar w:fldCharType="end"/>
            </w:r>
          </w:p>
        </w:tc>
        <w:tc>
          <w:tcPr>
            <w:tcW w:w="593" w:type="pct"/>
            <w:vAlign w:val="center"/>
          </w:tcPr>
          <w:p w14:paraId="6D88BF23"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{"citationItems":[{"id":"ITEM-1","itemData":{"DOI":"10.1016/j.cell.2005.12.039","ISSN":"00928674","PMID":"16530040","abstract":"The complement system serves an important role in clearance of pathogens, immune complexes, and apoptotic cells present in the circulation. Complement fragments deposited on the particle surface serve as targets for complement receptors present on phagocytic cells. Although Kupffer cells, the liver resident macrophages, play a dominant role in clearing particles in circulation, complement receptors involved in this process have yet to be identified. Here we report the identification and characterization of a Complement Receptor of the Immunoglobulin superfamily, CRIg, that binds complement fragments C3b and iC3b. CRIg expression on Kupffer cells is required for efficient binding and phagocytosis of complement C3-opsonized particles. In turn, Kupffer cells from CRIg-deficient mice are unable to efficiently clear C3-opsonized pathogens in the circulation, resulting in increased infection and mortality of the host. CRIg therefore represents a dominant component of the phagocytic system responsible for rapid clearance of C3-opsonized particles from the circulation. ©2006 Elsevier Inc.","author":[{"dropping-particle":"","family":"Helmy","given":"Karim Y.","non-dropping-particle":"","parse-names":false,"suffix":""},{"dropping-particle":"","family":"Katschke","given":"Kenneth J.","non-dropping-particle":"","parse-names":false,"suffix":""},{"dropping-particle":"","family":"Gorgani","given":"Nick N.","non-dropping-particle":"","parse-names":false,"suffix":""},{"dropping-particle":"","family":"Kljavin","given":"Noelyn M.","non-dropping-particle":"","parse-names":false,"suffix":""},{"dropping-particle":"","family":"Elliott","given":"J. Michael","non-dropping-particle":"","parse-names":false,"suffix":""},{"dropping-particle":"","family":"Diehl","given":"Lauri","non-dropping-particle":"","parse-names":false,"suffix":""},{"dropping-particle":"","family":"Scales","given":"Suzie J.","non-dropping-particle":"","parse-names":false,"suffix":""},{"dropping-particle":"","family":"Ghilardi","given":"Nico","non-dropping-particle":"","parse-names":false,"suffix":""},{"dropping-particle":"","family":"Lookeren Campagne","given":"Menno","non-dropping-particle":"van","parse-names":false,"suffix":""}],"container-title":"Cell","id":"ITEM-1","issue":"5","issued":{"date-parts":[["2006","3"]]},"page":"915-927","title":"CRIg: A macrophage complement receptor required for phagocytosis of circulating pathogens","type":"article-journal","volume":"124"},"uris":["http://www.mendeley.com/documents/?uuid=218aee31-4e79-4db6-8077-e19e29a95a9c"]},{"id":"ITEM-2","itemData":{"DOI":"10.3389/fimmu.2018.02716","ISSN":"1664-3224","PMID":"30534123","abstract":"Complement receptors (CR) 3 and 4 belong to the family of beta-2 (CD18) integrins. CR3 and CR4 are often co-expressed in the myeloid subsets of leukocytes, but they are also found in NK cells and activated T and B lymphocytes. The heterodimeric ectodomain undergoes considerable conformational change in order to switch the receptor from a structurally bent, ligand-binding in-active state into an extended, ligand-binding active state. CR3 binds the C3d fragment of C3 in a way permitting CR2 also to bind concomitantly. This enables a hand-over of complement-opsonized antigens from the cell surface of CR3-expressing macrophages to the CR2-expressing B lymphocytes, in consequence acting as an antigen presentation mechanism. As a more enigmatic part of their functions, both CR3 and CR4 bind several structurally unrelated proteins, engineered peptides, and glycosaminoglycans. No consensus motif in the proteinaceous ligands has been established. Yet, the experimental evidence clearly suggest that the ligands are primarily, if not entirely, recognized by a single site within the receptors, namely the metal-ion dependent adhesion site (MIDAS). Comparison of some recent identified ligands points to CR3 as inclined to bind positively charged species, while CR4, by contrast, binds strongly negative-charged species, in both cases with the critical involvement of deprotonated, acidic groups as ligands for the Mg2+ ion in the MIDAS. These properties place CR3 and CR4 firmly within the realm of modern molecular medicine in several ways. The expression of CR3 and CR4 in NK cells was recently demonstrated to enable complement-dependent cell cytotoxicity toward antibody-coated cancer cells as part of biological therapy, constituting a significant part of the efficacy of such treatment. With the flexible principles of ligand recognition, it is also possible to propose a response of CR3 and CR4 to existing medicines thereby opening a possibility of drug repurposing to influence the function of these receptors. Here, from advances in the structural and cellular immunology of CR3 and CR4, we review insights on their biochemistry and functions in the immune system.","author":[{"dropping-particle":"","family":"Vorup-Jensen","given":"Thomas","non-dropping-particle":"","parse-names":false,"suffix":""},{"dropping-particle":"","family":"Jensen","given":"Rasmus Kjeldsen","non-dropping-particle":"","parse-names":false,"suffix":""}],"container-title":"Frontiers in Immunology","id":"ITEM-2","issue":"NOV","issued":{"date-parts":[["2018","11","26"]]},"page":"1-20","title":"Structural immunology of complement receptors 3 and 4","type":"article-journal","volume":"9"},"uris":["http://www.mendeley.com/documents/?uuid=c1c25768-b532-4668-81e6-664e886a68d3"]},{"id":"ITEM-3","itemData":{"DOI":"10.1016/S0065-2776(08)60654-9","ISSN":"15578445","PMID":"2551147","abstract":"This chapter reports recent findings regarding two of these receptors, complement receptor type 1 (CR1; CD35) and complement receptor type 2 (CR2; CD21), which bind the cleavage fragments of C4 and C3 that are covalently attached to activators of the complement system. The complete primary structure of CR1 is now known through molecular cloning studies. The most common allotype of CR1, the F or A allotype, is a polypeptide of 2039 residues: A 41-amino acid signal peptide, an extracellular domain of 1930 residues, a 25-amino acid transmembrane region, and a 43-amino acid cytoplasmic domain. The extracellular portion of the receptor is composed exclusively of 30 short consensus repeats (SCRs). Each SCR contains 60 to 70 amino acids, six of which are found in all SCRs: Four cysteines, a single tryptophan between the third and fourth cysteine, and a glycine after the second cysteine. The primary protein structure of CR2 has been determined through analysis of the nucleotide sequences of clones isolated from human tonsillar and Raji lymphoblastoid cell line cDNA libraries. These clones encode a 20-amino acid signal peptide, a 954-residue extracellular domain, a 24-amino acid transmembrane region, and a 34-amino acid cytoplasmic domain. The extracellular domain is composed entirely of 15 tandem short consensus repeat sequences that are homologous to those described in CR1 and other C3/C4-binding proteins, as well as in some membrane proteins that do not share this function. The molecular cloning of CR1 enabled the construction of eukaryotic expression vectors containing cDNA inserts, representing the entire CR1 coding sequence and various deletion mutants. The expression of these recombinant forms of CR1, and the analysis of their ligand binding function has led to the identification of distinct C3b and C4b recognition sites. These functional domains have been assigned to specific structural elements of the receptor, the SCR and the LHR. The functions of CR2 have been more difficult to define fully than has its structure. The experimental evidence to date suggests that this single transmembrane glycoprotein may have several important immunoregulatory. © 1989, Elsevier Inc. All rights reserved.","author":[{"dropping-particle":"","family":"Ahearn","given":"Joseph M.","non-dropping-particle":"","parse-names":false,"suffix":""},{"dropping-particle":"","family":"Fearon","given":"Douglas T.","non-dropping-particle":"","parse-names":false,"suffix":""}],"container-title":"Advances in Immunology","id":"ITEM-3","issue":"C","issued":{"date-parts":[["1989"]]},"page":"183-219","title":"Structure and Function of the Complement Receptors, CR1 (CD35) and CR2 (CD21)","type":"article-journal","volume":"46"},"uris":["http://www.mendeley.com/documents/?uuid=2a7bdc2e-ca86-4b45-a4c9-a6921849a85d"]}],"mendeley":{"formattedCitation":"(Ahearn and Fearon, 1989; Helmy &lt;i&gt;et al.&lt;/i&gt;, 2006; Vorup-Jensen and Jensen, 2018)","plainTextFormattedCitation":"(Ahearn and Fearon, 1989; Helmy et al., 2006; Vorup-Jensen and Jensen, 2018)","previouslyFormattedCitation":"(Ahearn and Fearon, 1989; Helmy &lt;i&gt;et al.&lt;/i&gt;, 2006; Vorup-Jensen and Jensen, 2018)"},"properties":{"noteIndex":0},"schema":"https://github.com/citation-style-language/schema/raw/master/csl-citation.json"}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(Ahearn and Fearon, 1989; </w:t>
            </w:r>
            <w:r w:rsidRPr="00805017">
              <w:rPr>
                <w:rFonts w:ascii="Arial" w:hAnsi="Arial" w:cs="Arial"/>
                <w:noProof/>
                <w:color w:val="000000" w:themeColor="text1"/>
                <w:sz w:val="18"/>
                <w:szCs w:val="18"/>
              </w:rPr>
              <w:lastRenderedPageBreak/>
              <w:t xml:space="preserve">Helmy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2006; Vorup-Jensen and Jensen, 2018)</w:t>
            </w:r>
            <w:r w:rsidRPr="00805017">
              <w:rPr>
                <w:rFonts w:ascii="Arial" w:hAnsi="Arial" w:cs="Arial"/>
                <w:color w:val="000000" w:themeColor="text1"/>
                <w:sz w:val="18"/>
                <w:szCs w:val="18"/>
              </w:rPr>
              <w:fldChar w:fldCharType="end"/>
            </w:r>
          </w:p>
        </w:tc>
      </w:tr>
      <w:tr w:rsidR="001D7AD3" w:rsidRPr="00805017" w14:paraId="03F01951" w14:textId="77777777" w:rsidTr="00605F18">
        <w:tc>
          <w:tcPr>
            <w:tcW w:w="470" w:type="pct"/>
          </w:tcPr>
          <w:p w14:paraId="19B0C55D"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lastRenderedPageBreak/>
              <w:t>C6</w:t>
            </w:r>
          </w:p>
        </w:tc>
        <w:tc>
          <w:tcPr>
            <w:tcW w:w="614" w:type="pct"/>
            <w:vMerge/>
            <w:vAlign w:val="center"/>
          </w:tcPr>
          <w:p w14:paraId="2D903D7B"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1193501C"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09" w:type="pct"/>
            <w:vAlign w:val="center"/>
          </w:tcPr>
          <w:p w14:paraId="5B74ED08"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2FB621DA"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72" w:type="pct"/>
            <w:vAlign w:val="center"/>
          </w:tcPr>
          <w:p w14:paraId="793D68C8"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{"citationItems":[{"id":"ITEM-1","itemData":{"DOI":"10.1007/s00239-001-0068-z","ISSN":"0022-2844","PMID":"11965439","abstract":"The mammalian immune system has cytotoxic mechanisms, both cellular and humoral, that destroy the membrane integrity of target cells. The main effector molecules of these cytolytic mechanisms - perforin, used by killer lymphocytes, and the membrane attack complex (MAC) components of the complement system - share a unique module called the MAC/perforin module. Until now, both immunological cytotoxicity and the MAC/perforin module have been reported only in jawed vertebrates. Here, we report the identification of a protein containing the MAC/perforin module from the invertebrate cephalochordate, amphioxus (Branchiostoma belcheri), using expressed sequence tag (EST) analysis of the notochord. The deduced amino acid sequence of this molecule is most similar to the primary structure of human complement component C6 and is designated AmphiC6. AmphiC6 shares a unique modular structure, including the MAC/perforin module, with human C6 and other MAC components. Another EST clone predicts the presence of a thioester-containing protein with the closest structural similarity to vertebrate C3 (therefore designated AmphiC3). AmphiC3 retains most of the functionally important residues of vertebrate C3 and is shown by phylogenetic analysis to be derived directly from the common ancestor of vertebrate C3, C4, and C5. Only opsonic activity has been assigned to the invertebrate complement system until now. Therefore, this is the first molecular evidence for complement-mediated immunological cytotoxicity in invertebrates.","author":[{"dropping-particle":"","family":"Suzuki","given":"Miho M.","non-dropping-particle":"","parse-names":false,"suffix":""},{"dropping-particle":"","family":"Satoh","given":"Nori","non-dropping-particle":"","parse-names":false,"suffix":""},{"dropping-particle":"","family":"Nonaka","given":"Masaru","non-dropping-particle":"","parse-names":false,"suffix":""}],"container-title":"Journal of Molecular Evolution","id":"ITEM-1","issue":"5","issued":{"date-parts":[["2002","5","1"]]},"page":"671-679","title":"C6-like and C3-like molecules from the cephalochordate, amphioxus, suggest a cytolytic complement system in invertebrates","type":"article-journal","volume":"54"},"uris":["http://www.mendeley.com/documents/?uuid=1faba80d-a0ab-4558-8d07-e62b6ba44984"]}],"mendeley":{"formattedCitation":"(Suzuki &lt;i&gt;et al.&lt;/i&gt;, 2002)","plainTextFormattedCitation":"(Suzuki et al., 2002)","previouslyFormattedCitation":"(Suzuki &lt;i&gt;et al.&lt;/i&gt;, 2002)"},"properties":{"noteIndex":0},"schema":"https://github.com/citation-style-language/schema/raw/master/csl-citation.json"}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(Suzuki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2002)</w:t>
            </w:r>
            <w:r w:rsidRPr="00805017">
              <w:rPr>
                <w:rFonts w:ascii="Arial" w:hAnsi="Arial" w:cs="Arial"/>
                <w:color w:val="000000" w:themeColor="text1"/>
                <w:sz w:val="18"/>
                <w:szCs w:val="18"/>
              </w:rPr>
              <w:fldChar w:fldCharType="end"/>
            </w:r>
          </w:p>
        </w:tc>
        <w:tc>
          <w:tcPr>
            <w:tcW w:w="646" w:type="pct"/>
            <w:vAlign w:val="center"/>
          </w:tcPr>
          <w:p w14:paraId="43E9B086"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{"citationItems":[{"id":"ITEM-1","itemData":{"DOI":"10.1007/s00251-003-0606-5","ISBN":"8135800339","ISSN":"0093-7711","PMID":"14530883","abstract":"Genome-wide sequence analysis in the invertebrate chordate, Ciona intestinalis, has provided a comprehensive picture of immune-related genes in an organism that occupies a key phylogenetic position in vertebrate evolution. The pivotal genes for adaptive immunity, such as the major histocompatibility complex (MHC) class I and II genes, T-cell receptors, or dimeric immunoglobulin molecules, have not been identified in the Ciona genome. Many genes involved in innate immunity have been identified, including complement components, Toll-like receptors, and the genes involved in intracellular signal transduction of immune responses, and show both expansion and unexpected diversity in comparison with the vertebrates. In addition, a number of genes were identified which predicted integral membrane proteins with extracellular C-type lectin or immunoglobulin domains and intracellular immunoreceptor tyrosine-based inhibitory motifs (ITIMs) and immunoreceptor tyrosine-based activation motifs (ITAMs) (plus their associated signal transduction molecules), suggesting that activating and inhibitory receptors have an MHC-independent function and an early evolutionary origin. A crucial component of vertebrate adaptive immunity is somatic diversification, and the recombination activating genes (RAG) and activation-induced cytidine deaminase (AID) genes responsible for the Generation of diversity are not present in Ciona. However, there are key V regions, the essential feature of an immunoglobulin superfamily VC1-like core, and possible proto-MHC regions scattered throughout the genome waiting for Godot.","author":[{"dropping-particle":"","family":"Azumi","given":"Kaoru","non-dropping-particle":"","parse-names":false,"suffix":""},{"dropping-particle":"","family":"Santis","given":"Rosaria","non-dropping-particle":"De","parse-names":false,"suffix":""},{"dropping-particle":"","family":"Tomaso","given":"Anthony","non-dropping-particle":"De","parse-names":false,"suffix":""},{"dropping-particle":"","family":"Rigoutsos","given":"Isidore","non-dropping-particle":"","parse-names":false,"suffix":""},{"dropping-particle":"","family":"Yoshizaki","given":"Fumiko","non-dropping-particle":"","parse-names":false,"suffix":""},{"dropping-particle":"","family":"Pinto","given":"Maria Rosaria","non-dropping-particle":"","parse-names":false,"suffix":""},{"dropping-particle":"","family":"Marino","given":"Rita","non-dropping-particle":"","parse-names":false,"suffix":""},{"dropping-particle":"","family":"Shida","given":"Kazuhito","non-dropping-particle":"","parse-names":false,"suffix":""},{"dropping-particle":"","family":"Ikeda","given":"Makoto","non-dropping-particle":"","parse-names":false,"suffix":""},{"dropping-particle":"","family":"Ikeda","given":"Masami","non-dropping-particle":"","parse-names":false,"suffix":""},{"dropping-particle":"","family":"Arai","given":"Masafumi","non-dropping-particle":"","parse-names":false,"suffix":""},{"dropping-particle":"","family":"Inoue","given":"Yasuhito","non-dropping-particle":"","parse-names":false,"suffix":""},{"dropping-particle":"","family":"Shimizu","given":"Toshio","non-dropping-particle":"","parse-names":false,"suffix":""},{"dropping-particle":"","family":"Satoh","given":"Nori","non-dropping-particle":"","parse-names":false,"suffix":""},{"dropping-particle":"","family":"Rokhsar","given":"Daniel S.","non-dropping-particle":"","parse-names":false,"suffix":""},{"dropping-particle":"","family":"Pasquier","given":"Louis","non-dropping-particle":"Du","parse-names":false,"suffix":""},{"dropping-particle":"","family":"Kasahara","given":"Masanori","non-dropping-particle":"","parse-names":false,"suffix":""},{"dropping-particle":"","family":"Satake","given":"Masanobu","non-dropping-particle":"","parse-names":false,"suffix":""},{"dropping-particle":"","family":"Nonaka","given":"Masaru","non-dropping-particle":"","parse-names":false,"suffix":""}],"container-title":"Immunogenetics","id":"ITEM-1","issue":"8","issued":{"date-parts":[["2003","11","7"]]},"page":"570-581","title":"Genomic analysis of immunity in a Urochordate and the emergence of the vertebrate immune system: “waiting for Godot”","type":"article-journal","volume":"55"},"uris":["http://www.mendeley.com/documents/?uuid=e7da1dc6-9af8-4176-a52d-f8f94bb7f04c"]}],"mendeley":{"formattedCitation":"(Azumi &lt;i&gt;et al.&lt;/i&gt;, 2003)","plainTextFormattedCitation":"(Azumi et al., 2003)","previouslyFormattedCitation":"(Azumi &lt;i&gt;et al.&lt;/i&gt;, 2003)"},"properties":{"noteIndex":0},"schema":"https://github.com/citation-style-language/schema/raw/master/csl-citation.json"}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(Azumi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2003)</w:t>
            </w:r>
            <w:r w:rsidRPr="00805017">
              <w:rPr>
                <w:rFonts w:ascii="Arial" w:hAnsi="Arial" w:cs="Arial"/>
                <w:color w:val="000000" w:themeColor="text1"/>
                <w:sz w:val="18"/>
                <w:szCs w:val="18"/>
              </w:rPr>
              <w:fldChar w:fldCharType="end"/>
            </w:r>
          </w:p>
        </w:tc>
        <w:tc>
          <w:tcPr>
            <w:tcW w:w="593" w:type="pct"/>
            <w:vAlign w:val="center"/>
          </w:tcPr>
          <w:p w14:paraId="7725E5DC"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75.11.5655","ISSN":"0027-8424","author":[{"dropping-particle":"","family":"Bhakdi","given":"S.","non-dropping-particle":"","parse-names":false,"suffix":""},{"dropping-particle":"","family":"Tranum-Jensen","given":"J.","non-dropping-particle":"","parse-names":false,"suffix":""}],"container-title":"Proceedings of the National Academy of Sciences","id":"ITEM-1","issue":"11","issued":{"date-parts":[["1978","11","1"]]},"page":"5655-5659","title":"Molecular nature of the complement lesion.","type":"article-journal","volume":"75"},"uris":["http://www.mendeley.com/documents/?uuid=34a4c998-8fe3-411d-a269-b5ad65843389"]},{"id":"ITEM-2","itemData":{"DOI":"10.1111/j.1462-5822.2008.01191.x","ISSN":"14625814","author":[{"dropping-particle":"","family":"Rosado","given":"Carlos J.","non-dropping-particle":"","parse-names":false,"suffix":""},{"dropping-particle":"","family":"Kondos","given":"Stephanie","non-dropping-particle":"","parse-names":false,"suffix":""},{"dropping-particle":"","family":"Bull","given":"Tara E.","non-dropping-particle":"","parse-names":false,"suffix":""},{"dropping-particle":"","family":"Kuiper","given":"Michael J.","non-dropping-particle":"","parse-names":false,"suffix":""},{"dropping-particle":"","family":"Law","given":"Ruby H. P.","non-dropping-particle":"","parse-names":false,"suffix":""},{"dropping-particle":"","family":"Buckle","given":"Ashley M.","non-dropping-particle":"","parse-names":false,"suffix":""},{"dropping-particle":"","family":"Voskoboinik","given":"Ilia","non-dropping-particle":"","parse-names":false,"suffix":""},{"dropping-particle":"","family":"Bird","given":"Phillip I.","non-dropping-particle":"","parse-names":false,"suffix":""},{"dropping-particle":"","family":"Trapani","given":"Joseph A.","non-dropping-particle":"","parse-names":false,"suffix":""},{"dropping-particle":"","family":"Whisstock","given":"James C.","non-dropping-particle":"","parse-names":false,"suffix":""},{"dropping-particle":"","family":"Dunstone","given":"Michelle A.","non-dropping-particle":"","parse-names":false,"suffix":""}],"container-title":"Cellular Microbiology","id":"ITEM-2","issue":"9","issued":{"date-parts":[["2008","9"]]},"page":"1765-1774","title":"The MACPF/CDC family of pore-forming toxins","type":"article-journal","volume":"10"},"uris":["http://www.mendeley.com/documents/?uuid=7279e0b4-04bc-4d8e-9f23-6235ac853966"]}],"mendeley":{"formattedCitation":"(Bhakdi and Tranum-Jensen, 1978; Rosado &lt;i&gt;et al.&lt;/i&gt;, 2008)","plainTextFormattedCitation":"(Bhakdi and Tranum-Jensen, 1978; Rosado et al., 2008)","previouslyFormattedCitation":"(Bhakdi and Tranum-Jensen, 1978; Rosado &lt;i&gt;et al.&lt;/i&gt;, 2008)"},"properties":{"noteIndex":0},"schema":"https://github.com/citation-style-language/schema/raw/master/csl-citation.json"}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(Bhakdi and Tranum-Jensen, 1978; Rosado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2008)</w:t>
            </w:r>
            <w:r w:rsidRPr="00805017">
              <w:rPr>
                <w:rFonts w:ascii="Arial" w:hAnsi="Arial" w:cs="Arial"/>
                <w:color w:val="000000" w:themeColor="text1"/>
                <w:sz w:val="18"/>
                <w:szCs w:val="18"/>
              </w:rPr>
              <w:fldChar w:fldCharType="end"/>
            </w:r>
            <w:r w:rsidRPr="00805017">
              <w:rPr>
                <w:rFonts w:ascii="Arial" w:hAnsi="Arial" w:cs="Arial"/>
                <w:color w:val="000000" w:themeColor="text1"/>
                <w:sz w:val="18"/>
                <w:szCs w:val="18"/>
              </w:rPr>
              <w:t xml:space="preserve"> </w:t>
            </w:r>
          </w:p>
        </w:tc>
      </w:tr>
      <w:tr w:rsidR="001D7AD3" w:rsidRPr="00805017" w14:paraId="6103E0FD" w14:textId="77777777" w:rsidTr="00605F18">
        <w:tc>
          <w:tcPr>
            <w:tcW w:w="470" w:type="pct"/>
          </w:tcPr>
          <w:p w14:paraId="2D07FD96"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C1r/s</w:t>
            </w:r>
          </w:p>
        </w:tc>
        <w:tc>
          <w:tcPr>
            <w:tcW w:w="614" w:type="pct"/>
            <w:vMerge/>
            <w:vAlign w:val="center"/>
          </w:tcPr>
          <w:p w14:paraId="26983012"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3778EE71" w14:textId="77777777" w:rsidR="001D7AD3" w:rsidRPr="00805017" w:rsidRDefault="001D7AD3" w:rsidP="00605F18">
            <w:pPr>
              <w:jc w:val="center"/>
              <w:rPr>
                <w:rFonts w:ascii="Arial" w:hAnsi="Arial" w:cs="Arial"/>
                <w:b/>
                <w:bCs/>
                <w:color w:val="000000" w:themeColor="text1"/>
                <w:sz w:val="18"/>
                <w:szCs w:val="18"/>
              </w:rPr>
            </w:pPr>
            <w:r w:rsidRPr="00805017">
              <w:rPr>
                <w:rFonts w:ascii="Arial" w:hAnsi="Arial" w:cs="Arial"/>
                <w:b/>
                <w:bCs/>
                <w:color w:val="000000" w:themeColor="text1"/>
                <w:sz w:val="18"/>
                <w:szCs w:val="18"/>
              </w:rPr>
              <w:fldChar w:fldCharType="begin" w:fldLock="1"/>
            </w:r>
            <w:r w:rsidRPr="00805017">
              <w:rPr>
                <w:rFonts w:ascii="Arial" w:hAnsi="Arial" w:cs="Arial"/>
                <w:b/>
                <w:bCs/>
                <w:color w:val="000000" w:themeColor="text1"/>
                <w:sz w:val="18"/>
                <w:szCs w:val="18"/>
              </w:rPr>
              <w:instrText>ADDIN CSL_CITATION {"citationItems":[{"id":"ITEM-1","itemData":{"DOI":"10.1007/s00251-006-0142-1","ISBN":"0025100601421","ISSN":"0093-7711","PMID":"16896831","abstract":"The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-1","issue":"9","issued":{"date-parts":[["2006","9","9"]]},"page":"701-713","title":"Genomic view of the evolution of the complement system","type":"article-journal","volume":"58"},"uris":["http://www.mendeley.com/documents/?uuid=90617cb2-5e83-4116-97fc-3201982e71ad"]}],"mendeley":{"formattedCitation":"(Nonaka and Kimura, 2006)","plainTextFormattedCitation":"(Nonaka and Kimura, 2006)","previouslyFormattedCitation":"(Nonaka and Kimura, 2006)"},"properties":{"noteIndex":0},"schema":"https://github.com/citation-style-language/schema/raw/master/csl-citation.json"}</w:instrText>
            </w:r>
            <w:r w:rsidRPr="00805017">
              <w:rPr>
                <w:rFonts w:ascii="Arial" w:hAnsi="Arial" w:cs="Arial"/>
                <w:b/>
                <w:bCs/>
                <w:color w:val="000000" w:themeColor="text1"/>
                <w:sz w:val="18"/>
                <w:szCs w:val="18"/>
              </w:rPr>
              <w:fldChar w:fldCharType="separate"/>
            </w:r>
            <w:r w:rsidRPr="00805017">
              <w:rPr>
                <w:rFonts w:ascii="Arial" w:hAnsi="Arial" w:cs="Arial"/>
                <w:bCs/>
                <w:noProof/>
                <w:color w:val="000000" w:themeColor="text1"/>
                <w:sz w:val="18"/>
                <w:szCs w:val="18"/>
              </w:rPr>
              <w:t>(Nonaka and Kimura, 2006)</w:t>
            </w:r>
            <w:r w:rsidRPr="00805017">
              <w:rPr>
                <w:rFonts w:ascii="Arial" w:hAnsi="Arial" w:cs="Arial"/>
                <w:b/>
                <w:bCs/>
                <w:color w:val="000000" w:themeColor="text1"/>
                <w:sz w:val="18"/>
                <w:szCs w:val="18"/>
              </w:rPr>
              <w:fldChar w:fldCharType="end"/>
            </w:r>
          </w:p>
        </w:tc>
        <w:tc>
          <w:tcPr>
            <w:tcW w:w="609" w:type="pct"/>
            <w:vAlign w:val="center"/>
          </w:tcPr>
          <w:p w14:paraId="35603EF7"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485C625F"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b/>
                <w:bCs/>
                <w:color w:val="000000" w:themeColor="text1"/>
                <w:sz w:val="18"/>
                <w:szCs w:val="18"/>
              </w:rPr>
              <w:fldChar w:fldCharType="begin" w:fldLock="1"/>
            </w:r>
            <w:r w:rsidRPr="00805017">
              <w:rPr>
                <w:rFonts w:ascii="Arial" w:hAnsi="Arial" w:cs="Arial"/>
                <w:b/>
                <w:bCs/>
                <w:color w:val="000000" w:themeColor="text1"/>
                <w:sz w:val="18"/>
                <w:szCs w:val="18"/>
              </w:rPr>
              <w:instrText>ADDIN CSL_CITATION {"citationItems":[{"id":"ITEM-1","itemData":{"DOI":"10.1007/s00251-006-0142-1","ISBN":"0025100601421","ISSN":"0093-7711","PMID":"16896831","abstract":"The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-1","issue":"9","issued":{"date-parts":[["2006","9","9"]]},"page":"701-713","title":"Genomic view of the evolution of the complement system","type":"article-journal","volume":"58"},"uris":["http://www.mendeley.com/documents/?uuid=90617cb2-5e83-4116-97fc-3201982e71ad"]}],"mendeley":{"formattedCitation":"(Nonaka and Kimura, 2006)","plainTextFormattedCitation":"(Nonaka and Kimura, 2006)","previouslyFormattedCitation":"(Nonaka and Kimura, 2006)"},"properties":{"noteIndex":0},"schema":"https://github.com/citation-style-language/schema/raw/master/csl-citation.json"}</w:instrText>
            </w:r>
            <w:r w:rsidRPr="00805017">
              <w:rPr>
                <w:rFonts w:ascii="Arial" w:hAnsi="Arial" w:cs="Arial"/>
                <w:b/>
                <w:bCs/>
                <w:color w:val="000000" w:themeColor="text1"/>
                <w:sz w:val="18"/>
                <w:szCs w:val="18"/>
              </w:rPr>
              <w:fldChar w:fldCharType="separate"/>
            </w:r>
            <w:r w:rsidRPr="00805017">
              <w:rPr>
                <w:rFonts w:ascii="Arial" w:hAnsi="Arial" w:cs="Arial"/>
                <w:bCs/>
                <w:noProof/>
                <w:color w:val="000000" w:themeColor="text1"/>
                <w:sz w:val="18"/>
                <w:szCs w:val="18"/>
              </w:rPr>
              <w:t>(Nonaka and Kimura, 2006)</w:t>
            </w:r>
            <w:r w:rsidRPr="00805017">
              <w:rPr>
                <w:rFonts w:ascii="Arial" w:hAnsi="Arial" w:cs="Arial"/>
                <w:b/>
                <w:bCs/>
                <w:color w:val="000000" w:themeColor="text1"/>
                <w:sz w:val="18"/>
                <w:szCs w:val="18"/>
              </w:rPr>
              <w:fldChar w:fldCharType="end"/>
            </w:r>
          </w:p>
        </w:tc>
        <w:tc>
          <w:tcPr>
            <w:tcW w:w="572" w:type="pct"/>
            <w:vMerge w:val="restart"/>
            <w:vAlign w:val="center"/>
          </w:tcPr>
          <w:p w14:paraId="1B36ABC8"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b/>
                <w:bCs/>
                <w:color w:val="000000" w:themeColor="text1"/>
                <w:sz w:val="18"/>
                <w:szCs w:val="18"/>
              </w:rPr>
              <w:fldChar w:fldCharType="begin" w:fldLock="1"/>
            </w:r>
            <w:r w:rsidRPr="00805017">
              <w:rPr>
                <w:rFonts w:ascii="Arial" w:hAnsi="Arial" w:cs="Arial"/>
                <w:b/>
                <w:bCs/>
                <w:color w:val="000000" w:themeColor="text1"/>
                <w:sz w:val="18"/>
                <w:szCs w:val="18"/>
              </w:rPr>
              <w:instrText>ADDIN CSL_CITATION {"citationItems":[{"id":"ITEM-1","itemData":{"DOI":"10.1007/s00251-006-0142-1","ISBN":"0025100601421","ISSN":"0093-7711","PMID":"16896831","abstract":"The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-1","issue":"9","issued":{"date-parts":[["2006","9","9"]]},"page":"701-713","title":"Genomic view of the evolution of the complement system","type":"article-journal","volume":"58"},"uris":["http://www.mendeley.com/documents/?uuid=90617cb2-5e83-4116-97fc-3201982e71ad"]}],"mendeley":{"formattedCitation":"(Nonaka and Kimura, 2006)","plainTextFormattedCitation":"(Nonaka and Kimura, 2006)","previouslyFormattedCitation":"(Nonaka and Kimura, 2006)"},"properties":{"noteIndex":0},"schema":"https://github.com/citation-style-language/schema/raw/master/csl-citation.json"}</w:instrText>
            </w:r>
            <w:r w:rsidRPr="00805017">
              <w:rPr>
                <w:rFonts w:ascii="Arial" w:hAnsi="Arial" w:cs="Arial"/>
                <w:b/>
                <w:bCs/>
                <w:color w:val="000000" w:themeColor="text1"/>
                <w:sz w:val="18"/>
                <w:szCs w:val="18"/>
              </w:rPr>
              <w:fldChar w:fldCharType="separate"/>
            </w:r>
            <w:r w:rsidRPr="00805017">
              <w:rPr>
                <w:rFonts w:ascii="Arial" w:hAnsi="Arial" w:cs="Arial"/>
                <w:bCs/>
                <w:noProof/>
                <w:color w:val="000000" w:themeColor="text1"/>
                <w:sz w:val="18"/>
                <w:szCs w:val="18"/>
              </w:rPr>
              <w:t>(Nonaka and Kimura, 2006)</w:t>
            </w:r>
            <w:r w:rsidRPr="00805017">
              <w:rPr>
                <w:rFonts w:ascii="Arial" w:hAnsi="Arial" w:cs="Arial"/>
                <w:b/>
                <w:bCs/>
                <w:color w:val="000000" w:themeColor="text1"/>
                <w:sz w:val="18"/>
                <w:szCs w:val="18"/>
              </w:rPr>
              <w:fldChar w:fldCharType="end"/>
            </w:r>
          </w:p>
        </w:tc>
        <w:tc>
          <w:tcPr>
            <w:tcW w:w="646" w:type="pct"/>
            <w:vAlign w:val="center"/>
          </w:tcPr>
          <w:p w14:paraId="1B68E642"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b/>
                <w:bCs/>
                <w:color w:val="000000" w:themeColor="text1"/>
                <w:sz w:val="18"/>
                <w:szCs w:val="18"/>
              </w:rPr>
              <w:fldChar w:fldCharType="begin" w:fldLock="1"/>
            </w:r>
            <w:r w:rsidRPr="00805017">
              <w:rPr>
                <w:rFonts w:ascii="Arial" w:hAnsi="Arial" w:cs="Arial"/>
                <w:b/>
                <w:bCs/>
                <w:color w:val="000000" w:themeColor="text1"/>
                <w:sz w:val="18"/>
                <w:szCs w:val="18"/>
              </w:rPr>
              <w:instrText>ADDIN CSL_CITATION {"citationItems":[{"id":"ITEM-1","itemData":{"DOI":"10.1007/s00251-006-0142-1","ISBN":"0025100601421","ISSN":"0093-7711","PMID":"16896831","abstract":"The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-1","issue":"9","issued":{"date-parts":[["2006","9","9"]]},"page":"701-713","title":"Genomic view of the evolution of the complement system","type":"article-journal","volume":"58"},"uris":["http://www.mendeley.com/documents/?uuid=90617cb2-5e83-4116-97fc-3201982e71ad"]}],"mendeley":{"formattedCitation":"(Nonaka and Kimura, 2006)","plainTextFormattedCitation":"(Nonaka and Kimura, 2006)","previouslyFormattedCitation":"(Nonaka and Kimura, 2006)"},"properties":{"noteIndex":0},"schema":"https://github.com/citation-style-language/schema/raw/master/csl-citation.json"}</w:instrText>
            </w:r>
            <w:r w:rsidRPr="00805017">
              <w:rPr>
                <w:rFonts w:ascii="Arial" w:hAnsi="Arial" w:cs="Arial"/>
                <w:b/>
                <w:bCs/>
                <w:color w:val="000000" w:themeColor="text1"/>
                <w:sz w:val="18"/>
                <w:szCs w:val="18"/>
              </w:rPr>
              <w:fldChar w:fldCharType="separate"/>
            </w:r>
            <w:r w:rsidRPr="00805017">
              <w:rPr>
                <w:rFonts w:ascii="Arial" w:hAnsi="Arial" w:cs="Arial"/>
                <w:bCs/>
                <w:noProof/>
                <w:color w:val="000000" w:themeColor="text1"/>
                <w:sz w:val="18"/>
                <w:szCs w:val="18"/>
              </w:rPr>
              <w:t>(Nonaka and Kimura, 2006)</w:t>
            </w:r>
            <w:r w:rsidRPr="00805017">
              <w:rPr>
                <w:rFonts w:ascii="Arial" w:hAnsi="Arial" w:cs="Arial"/>
                <w:b/>
                <w:bCs/>
                <w:color w:val="000000" w:themeColor="text1"/>
                <w:sz w:val="18"/>
                <w:szCs w:val="18"/>
              </w:rPr>
              <w:fldChar w:fldCharType="end"/>
            </w:r>
          </w:p>
        </w:tc>
        <w:tc>
          <w:tcPr>
            <w:tcW w:w="593" w:type="pct"/>
            <w:vAlign w:val="center"/>
          </w:tcPr>
          <w:p w14:paraId="22563A36"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{"citationItems":[{"id":"ITEM-1","itemData":{"DOI":"10.1016/S0161-5890(02)00143-8","ISSN":"01615890","PMID":"12413689","abstract":"C1 is the multimolecular protease that triggers activation of the classical pathway of complement, a major element of antimicrobial host defense also involved in immune tolerance and various pathologies. This 790000Da complex is formed from the association of a recognition protein, C1q, and a catalytic subunit, the Ca2+-dependent tetramer C1s-C1r-C1r-C1s comprising two copies of each of the modular proteases C1r and C1s. Early studies mainly based on biochemical analysis and electron microscopy of C1 and its isolated components have allowed for characterization of their domain structure and led to a low-resolution model of the C1 complex in which the elongated C1s-C1r-C1r-C1s tetramer folds into a more compact, \"8-shaped\" conformation upon interaction with C1q. A major strategy used over the past years has been to dissect the C1 proteins into modular segments to characterize their function and solve their structure by either X-ray crystallography or nuclear magnetic resonance spectroscopy (NMR). The purpose of this review is to focus on this information, with particular emphasis on the architecture of the C1 complex and the mechanisms underlying its activation and proteolytic activity. © 2002 Elsevier Science Ltd. All rights reserved.","author":[{"dropping-particle":"","family":"Arlaud","given":"Gérard J.","non-dropping-particle":"","parse-names":false,"suffix":""},{"dropping-particle":"","family":"Gaboriaud","given":"Christine","non-dropping-particle":"","parse-names":false,"suffix":""},{"dropping-particle":"","family":"Thielens","given":"Nicole M.","non-dropping-particle":"","parse-names":false,"suffix":""},{"dropping-particle":"","family":"Budayova-Spano","given":"Monika","non-dropping-particle":"","parse-names":false,"suffix":""},{"dropping-particle":"","family":"Rossi","given":"Véronique","non-dropping-particle":"","parse-names":false,"suffix":""},{"dropping-particle":"","family":"Fontecilla-Camps","given":"Juan Carlos","non-dropping-particle":"","parse-names":false,"suffix":""}],"container-title":"Molecular Immunology","id":"ITEM-1","issue":"7-8","issued":{"date-parts":[["2002","11"]]},"page":"383-394","title":"Structural biology of the C1 complex of complement unveils the mechanisms of its activation and proteolytic activity","type":"article-journal","volume":"39"},"uris":["http://www.mendeley.com/documents/?uuid=b0cb5821-496b-4253-9c39-2d9e5182d70e"]},{"id":"ITEM-2","itemData":{"DOI":"10.1073/pnas.1615704113","ISSN":"0027-8424","author":[{"dropping-particle":"","family":"Girija","given":"Venkatraman","non-dropping-particle":"","parse-names":false,"suffix":""},{"dropping-particle":"","family":"Gingras","given":"Alexandre R","non-dropping-particle":"","parse-names":false,"suffix":""},{"dropping-particle":"","family":"Marshall","given":"Jamie E","non-dropping-particle":"","parse-names":false,"suffix":""},{"dropping-particle":"","family":"Panchal","given":"Roshni","non-dropping-particle":"","parse-names":false,"suffix":""},{"dropping-particle":"","family":"Sheikh","given":"Arif","non-dropping-particle":"","parse-names":false,"suffix":""},{"dropping-particle":"","family":"Harper","given":"James AJ","non-dropping-particle":"","parse-names":false,"suffix":""},{"dropping-particle":"","family":"Gál","given":"Péter","non-dropping-particle":"","parse-names":false,"suffix":""},{"dropping-particle":"","family":"Schwaeble","given":"Wilhelm J","non-dropping-particle":"","parse-names":false,"suffix":""},{"dropping-particle":"","family":"Mitchell","given":"Daniel A","non-dropping-particle":"","parse-names":false,"suffix":""},{"dropping-particle":"","family":"Moody","given":"Peter C E","non-dropping-particle":"","parse-names":false,"suffix":""},{"dropping-particle":"","family":"Wallis","given":"Russell","non-dropping-particle":"","parse-names":false,"suffix":""}],"container-title":"Proceedings of the National Academy of Sciences","id":"ITEM-2","issue":"34","issued":{"date-parts":[["2013"]]},"page":"13916-13920","title":"Structural basis of the C1q/C1s interaction and its central role in assembly of the C1 complex of complement activation","type":"article-journal","volume":"110"},"uris":["http://www.mendeley.com/documents/?uuid=ddef9bb0-29d9-4121-a30c-e0d749da7866"]}],"mendeley":{"formattedCitation":"(Arlaud &lt;i&gt;et al.&lt;/i&gt;, 2002; Girija &lt;i&gt;et al.&lt;/i&gt;, 2013)","plainTextFormattedCitation":"(Arlaud et al., 2002; Girija et al., 2013)","previouslyFormattedCitation":"(Arlaud &lt;i&gt;et al.&lt;/i&gt;, 2002; Girija &lt;i&gt;et al.&lt;/i&gt;, 2013)"},"properties":{"noteIndex":0},"schema":"https://github.com/citation-style-language/schema/raw/master/csl-citation.json"}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(Arlaud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2002; Girija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2013)</w:t>
            </w:r>
            <w:r w:rsidRPr="00805017">
              <w:rPr>
                <w:rFonts w:ascii="Arial" w:hAnsi="Arial" w:cs="Arial"/>
                <w:color w:val="000000" w:themeColor="text1"/>
                <w:sz w:val="18"/>
                <w:szCs w:val="18"/>
              </w:rPr>
              <w:fldChar w:fldCharType="end"/>
            </w:r>
          </w:p>
        </w:tc>
      </w:tr>
      <w:tr w:rsidR="001D7AD3" w:rsidRPr="00805017" w14:paraId="4609D245" w14:textId="77777777" w:rsidTr="00605F18">
        <w:tc>
          <w:tcPr>
            <w:tcW w:w="470" w:type="pct"/>
          </w:tcPr>
          <w:p w14:paraId="6CDB2CAA"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MASP</w:t>
            </w:r>
          </w:p>
        </w:tc>
        <w:tc>
          <w:tcPr>
            <w:tcW w:w="614" w:type="pct"/>
            <w:vMerge/>
            <w:vAlign w:val="center"/>
          </w:tcPr>
          <w:p w14:paraId="2F4D5F09"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464397B0" w14:textId="77777777" w:rsidR="001D7AD3" w:rsidRPr="00805017" w:rsidRDefault="001D7AD3" w:rsidP="00605F18">
            <w:pPr>
              <w:jc w:val="center"/>
              <w:rPr>
                <w:rFonts w:ascii="Arial" w:hAnsi="Arial" w:cs="Arial"/>
                <w:color w:val="000000" w:themeColor="text1"/>
                <w:sz w:val="18"/>
                <w:szCs w:val="18"/>
                <w:lang w:val="es-ES"/>
              </w:rPr>
            </w:pPr>
            <w:r w:rsidRPr="00805017">
              <w:rPr>
                <w:rFonts w:ascii="Arial" w:hAnsi="Arial" w:cs="Arial"/>
                <w:color w:val="000000" w:themeColor="text1"/>
                <w:sz w:val="18"/>
                <w:szCs w:val="18"/>
                <w:lang w:val="es-ES"/>
              </w:rPr>
              <w:t>X</w:t>
            </w:r>
          </w:p>
        </w:tc>
        <w:tc>
          <w:tcPr>
            <w:tcW w:w="609" w:type="pct"/>
            <w:vAlign w:val="center"/>
          </w:tcPr>
          <w:p w14:paraId="2A1F165A" w14:textId="77777777" w:rsidR="001D7AD3" w:rsidRPr="00805017" w:rsidRDefault="001D7AD3" w:rsidP="00605F18">
            <w:pPr>
              <w:jc w:val="center"/>
              <w:rPr>
                <w:rFonts w:ascii="Arial" w:hAnsi="Arial" w:cs="Arial"/>
                <w:color w:val="000000" w:themeColor="text1"/>
                <w:sz w:val="18"/>
                <w:szCs w:val="18"/>
                <w:lang w:val="es-ES"/>
              </w:rPr>
            </w:pPr>
            <w:r w:rsidRPr="00805017">
              <w:rPr>
                <w:rFonts w:ascii="Arial" w:hAnsi="Arial" w:cs="Arial"/>
                <w:color w:val="000000" w:themeColor="text1"/>
                <w:sz w:val="18"/>
                <w:szCs w:val="18"/>
                <w:lang w:val="es-ES"/>
              </w:rPr>
              <w:t>X</w:t>
            </w:r>
          </w:p>
        </w:tc>
        <w:tc>
          <w:tcPr>
            <w:tcW w:w="657" w:type="pct"/>
            <w:vMerge w:val="restart"/>
            <w:vAlign w:val="center"/>
          </w:tcPr>
          <w:p w14:paraId="05A94541" w14:textId="77777777" w:rsidR="001D7AD3" w:rsidRPr="00805017" w:rsidRDefault="001D7AD3" w:rsidP="00605F18">
            <w:pPr>
              <w:jc w:val="center"/>
              <w:rPr>
                <w:rFonts w:ascii="Arial" w:hAnsi="Arial" w:cs="Arial"/>
                <w:b/>
                <w:bCs/>
                <w:color w:val="000000" w:themeColor="text1"/>
                <w:sz w:val="18"/>
                <w:szCs w:val="18"/>
              </w:rPr>
            </w:pPr>
            <w:r w:rsidRPr="00805017">
              <w:rPr>
                <w:rFonts w:ascii="Arial" w:hAnsi="Arial" w:cs="Arial"/>
                <w:b/>
                <w:bCs/>
                <w:color w:val="000000" w:themeColor="text1"/>
                <w:sz w:val="18"/>
                <w:szCs w:val="18"/>
              </w:rPr>
              <w:fldChar w:fldCharType="begin" w:fldLock="1"/>
            </w:r>
            <w:r w:rsidRPr="00805017">
              <w:rPr>
                <w:rFonts w:ascii="Arial" w:hAnsi="Arial" w:cs="Arial"/>
                <w:b/>
                <w:bCs/>
                <w:color w:val="000000" w:themeColor="text1"/>
                <w:sz w:val="18"/>
                <w:szCs w:val="18"/>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805017">
              <w:rPr>
                <w:rFonts w:ascii="Arial" w:hAnsi="Arial" w:cs="Arial"/>
                <w:b/>
                <w:bCs/>
                <w:color w:val="000000" w:themeColor="text1"/>
                <w:sz w:val="18"/>
                <w:szCs w:val="18"/>
              </w:rPr>
              <w:fldChar w:fldCharType="separate"/>
            </w:r>
            <w:r w:rsidRPr="00805017">
              <w:rPr>
                <w:rFonts w:ascii="Arial" w:hAnsi="Arial" w:cs="Arial"/>
                <w:bCs/>
                <w:noProof/>
                <w:color w:val="000000" w:themeColor="text1"/>
                <w:sz w:val="18"/>
                <w:szCs w:val="18"/>
              </w:rPr>
              <w:t>(Gorbushin, 2019)</w:t>
            </w:r>
            <w:r w:rsidRPr="00805017">
              <w:rPr>
                <w:rFonts w:ascii="Arial" w:hAnsi="Arial" w:cs="Arial"/>
                <w:b/>
                <w:bCs/>
                <w:color w:val="000000" w:themeColor="text1"/>
                <w:sz w:val="18"/>
                <w:szCs w:val="18"/>
              </w:rPr>
              <w:fldChar w:fldCharType="end"/>
            </w:r>
          </w:p>
        </w:tc>
        <w:tc>
          <w:tcPr>
            <w:tcW w:w="572" w:type="pct"/>
            <w:vMerge/>
            <w:vAlign w:val="center"/>
          </w:tcPr>
          <w:p w14:paraId="49D277D3" w14:textId="77777777" w:rsidR="001D7AD3" w:rsidRPr="00805017" w:rsidRDefault="001D7AD3" w:rsidP="00605F18">
            <w:pPr>
              <w:jc w:val="center"/>
              <w:rPr>
                <w:rFonts w:ascii="Arial" w:hAnsi="Arial" w:cs="Arial"/>
                <w:color w:val="000000" w:themeColor="text1"/>
                <w:sz w:val="18"/>
                <w:szCs w:val="18"/>
              </w:rPr>
            </w:pPr>
          </w:p>
        </w:tc>
        <w:tc>
          <w:tcPr>
            <w:tcW w:w="646" w:type="pct"/>
            <w:vAlign w:val="center"/>
          </w:tcPr>
          <w:p w14:paraId="2A4BAFBF"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{"citationItems":[{"id":"ITEM-1","itemData":{"DOI":"10.1073/pnas.94.12.6340","ISSN":"0027-8424","PMID":"9177219","abstract":"Recent identification of a C3-like gene in sea urchins revealed the presence of a complement system in invertebrates. To elucidate further the components and function of the pre-vertebrate complement system, we attempted to isolate an ascidian (urochordata) C3 convertase. After identification of C3 cDNA from Halocynthia roretzi, a Japanese ascidian, reverse transcriptase- PCR amplification of hepatopancreas RNA was performed using primers encoding highly conserved amino acid sequences of the vertebrate Bf and C2 serine protease domain. Two candidate sequences were identified, and the corresponding cDNA clones were isolated from a hepatopancreas library. Surprisingly, neither clone is related to Bf/C2 but rather share the same domain structure of mammalian C1r/C1s/MASP (mannan binding protein-associated serine protease), and are more related evolutionarily to mammalian MASP than to mammalian C1r or C1s. The identification of the tunicate MASP clones, amplified with primers designed to amplify Bf or C2, suggests that the lectin pathway antedated the classical and alternative pathways of complement activation.","author":[{"dropping-particle":"","family":"Ji","given":"Xi","non-dropping-particle":"","parse-names":false,"suffix":""},{"dropping-particle":"","family":"Azumi","given":"Kaoru","non-dropping-particle":"","parse-names":false,"suffix":""},{"dropping-particle":"","family":"Sasaki","given":"Makoto","non-dropping-particle":"","parse-names":false,"suffix":""},{"dropping-particle":"","family":"Nonaka","given":"Masaru","non-dropping-particle":"","parse-names":false,"suffix":""}],"container-title":"Proceedings of the National Academy of Sciences","id":"ITEM-1","issue":"12","issued":{"date-parts":[["1997","6","10"]]},"page":"6340-6345","title":"Ancient origin of the complement lectin pathway revealed by molecular cloning of mannan binding protein-associated serine protease from a urochordate, the Japanese ascidian, &lt;i&gt;Halocynthia roretzi&lt;/i&gt;","type":"article-journal","volume":"94"},"uris":["http://www.mendeley.com/documents/?uuid=793c7664-5d6c-44ee-b56a-2a55c6a75eb0"]},{"id":"ITEM-2","itemData":{"DOI":"10.1007/s00251-003-0606-5","ISBN":"8135800339","ISSN":"0093-7711","PMID":"14530883","abstract":"Genome-wide sequence analysis in the invertebrate chordate, Ciona intestinalis, has provided a comprehensive picture of immune-related genes in an organism that occupies a key phylogenetic position in vertebrate evolution. The pivotal genes for adaptive immunity, such as the major histocompatibility complex (MHC) class I and II genes, T-cell receptors, or dimeric immunoglobulin molecules, have not been identified in the Ciona genome. Many genes involved in innate immunity have been identified, including complement components, Toll-like receptors, and the genes involved in intracellular signal transduction of immune responses, and show both expansion and unexpected diversity in comparison with the vertebrates. In addition, a number of genes were identified which predicted integral membrane proteins with extracellular C-type lectin or immunoglobulin domains and intracellular immunoreceptor tyrosine-based inhibitory motifs (ITIMs) and immunoreceptor tyrosine-based activation motifs (ITAMs) (plus their associated signal transduction molecules), suggesting that activating and inhibitory receptors have an MHC-independent function and an early evolutionary origin. A crucial component of vertebrate adaptive immunity is somatic diversification, and the recombination activating genes (RAG) and activation-induced cytidine deaminase (AID) genes responsible for the Generation of diversity are not present in Ciona. However, there are key V regions, the essential feature of an immunoglobulin superfamily VC1-like core, and possible proto-MHC regions scattered throughout the genome waiting for Godot.","author":[{"dropping-particle":"","family":"Azumi","given":"Kaoru","non-dropping-particle":"","parse-names":false,"suffix":""},{"dropping-particle":"","family":"Santis","given":"Rosaria","non-dropping-particle":"De","parse-names":false,"suffix":""},{"dropping-particle":"","family":"Tomaso","given":"Anthony","non-dropping-particle":"De","parse-names":false,"suffix":""},{"dropping-particle":"","family":"Rigoutsos","given":"Isidore","non-dropping-particle":"","parse-names":false,"suffix":""},{"dropping-particle":"","family":"Yoshizaki","given":"Fumiko","non-dropping-particle":"","parse-names":false,"suffix":""},{"dropping-particle":"","family":"Pinto","given":"Maria Rosaria","non-dropping-particle":"","parse-names":false,"suffix":""},{"dropping-particle":"","family":"Marino","given":"Rita","non-dropping-particle":"","parse-names":false,"suffix":""},{"dropping-particle":"","family":"Shida","given":"Kazuhito","non-dropping-particle":"","parse-names":false,"suffix":""},{"dropping-particle":"","family":"Ikeda","given":"Makoto","non-dropping-particle":"","parse-names":false,"suffix":""},{"dropping-particle":"","family":"Ikeda","given":"Masami","non-dropping-particle":"","parse-names":false,"suffix":""},{"dropping-particle":"","family":"Arai","given":"Masafumi","non-dropping-particle":"","parse-names":false,"suffix":""},{"dropping-particle":"","family":"Inoue","given":"Yasuhito","non-dropping-particle":"","parse-names":false,"suffix":""},{"dropping-particle":"","family":"Shimizu","given":"Toshio","non-dropping-particle":"","parse-names":false,"suffix":""},{"dropping-particle":"","family":"Satoh","given":"Nori","non-dropping-particle":"","parse-names":false,"suffix":""},{"dropping-particle":"","family":"Rokhsar","given":"Daniel S.","non-dropping-particle":"","parse-names":false,"suffix":""},{"dropping-particle":"","family":"Pasquier","given":"Louis","non-dropping-particle":"Du","parse-names":false,"suffix":""},{"dropping-particle":"","family":"Kasahara","given":"Masanori","non-dropping-particle":"","parse-names":false,"suffix":""},{"dropping-particle":"","family":"Satake","given":"Masanobu","non-dropping-particle":"","parse-names":false,"suffix":""},{"dropping-particle":"","family":"Nonaka","given":"Masaru","non-dropping-particle":"","parse-names":false,"suffix":""}],"container-title":"Immunogenetics","id":"ITEM-2","issue":"8","issued":{"date-parts":[["2003","11","7"]]},"page":"570-581","title":"Genomic analysis of immunity in a Urochordate and the emergence of the vertebrate immune system: “waiting for Godot”","type":"article-journal","volume":"55"},"uris":["http://www.mendeley.com/documents/?uuid=e7da1dc6-9af8-4176-a52d-f8f94bb7f04c"]},{"id":"ITEM-3","itemData":{"DOI":"10.1007/s00251-006-0142-1","ISBN":"0025100601421","ISSN":"0093-7711","PMID":"16896831","abstract":"The recent accumulation of genomic information of many representative animals has made it possible to trace the evolution of the complement system based on the presence or absence of each complement gene in the analyzed genomes. Genome information from a few mammals, chicken, clawed frog, a few bony fish, sea squirt, fruit fly, nematoda and sea anemone indicate that bony fish and higher vertebrates share practically the same set of complement genes. This suggests that most of the gene duplications that played an essential role in establishing the mammalian complement system had occurred by the time of the teleost/mammalian divergence around 500 million years ago (MYA). Members of most complement gene families are also present in ascidians, although they do not show a one-to-one correspondence to their counterparts in higher vertebrates, indicating that the gene duplications of each gene family occurred independently in vertebrates and ascidians. The C3 and factor B genes, but probably not the other complement genes, are present in the genome of the cnidaria and some protostomes, indicating that the origin of the central part of the complement system was established more than 1,000 MYA. © 2006 Springer-Verlag.","author":[{"dropping-particle":"","family":"Nonaka","given":"Masaru","non-dropping-particle":"","parse-names":false,"suffix":""},{"dropping-particle":"","family":"Kimura","given":"Ayuko","non-dropping-particle":"","parse-names":false,"suffix":""}],"container-title":"Immunogenetics","id":"ITEM-3","issue":"9","issued":{"date-parts":[["2006","9","9"]]},"page":"701-713","title":"Genomic view of the evolution of the complement system","type":"article-journal","volume":"58"},"uris":["http://www.mendeley.com/documents/?uuid=90617cb2-5e83-4116-97fc-3201982e71ad"]},{"id":"ITEM-4","itemData":{"DOI":"10.1016/j.dci.2019.01.010","ISSN":"0145305X","PMID":"30682446","abstract":"A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Immunology","id":"ITEM-4","issue":"November 2018","issued":{"date-parts":[["2019","5"]]},"page":"35-58","publisher":"Elsevier","title":"Derivatives of the lectin complement pathway in Lophotrochozoa","type":"article-journal","volume":"94"},"uris":["http://www.mendeley.com/documents/?uuid=baab566b-2a64-4abc-b421-f982786ea49c"]}],"mendeley":{"formattedCitation":"(Ji &lt;i&gt;et al.&lt;/i&gt;, 1997; Azumi &lt;i&gt;et al.&lt;/i&gt;, 2003; Nonaka and Kimura, 2006; Gorbushin, 2019)","plainTextFormattedCitation":"(Ji et al., 1997; Azumi et al., 2003; Nonaka and Kimura, 2006; Gorbushin, 2019)","previouslyFormattedCitation":"(Ji &lt;i&gt;et al.&lt;/i&gt;, 1997; Azumi &lt;i&gt;et al.&lt;/i&gt;, 2003; Nonaka and Kimura, 2006; Gorbushin, 2019)"},"properties":{"noteIndex":0},"schema":"https://github.com/citation-style-language/schema/raw/master/csl-citation.json"}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(Ji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1997; Azumi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2003; Nonaka and Kimura, 2006; Gorbushin, 2019)</w:t>
            </w:r>
            <w:r w:rsidRPr="00805017">
              <w:rPr>
                <w:rFonts w:ascii="Arial" w:hAnsi="Arial" w:cs="Arial"/>
                <w:color w:val="000000" w:themeColor="text1"/>
                <w:sz w:val="18"/>
                <w:szCs w:val="18"/>
              </w:rPr>
              <w:fldChar w:fldCharType="end"/>
            </w:r>
          </w:p>
        </w:tc>
        <w:tc>
          <w:tcPr>
            <w:tcW w:w="593" w:type="pct"/>
            <w:vAlign w:val="center"/>
          </w:tcPr>
          <w:p w14:paraId="34A200EA"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{"citationItems":[{"id":"ITEM-1","itemData":{"DOI":"10.1084/jem.176.6.1497","ISSN":"0022-1007","PMID":"1460414","abstract":"Serum mannose-binding protein (MBP) is a C-type lectin that binds to terminal mannose and N-acetylglucosamine moieties present on surfaces of certain pathogens and activates the classical complement pathway. In the present study, we describe the mechanism underlying the activation triggered by MBP. The human serum MBP fraction was obtained by sequential affinity chromatography on mannan-Sepharose, anti-IgM-Sepharose and anti-MBP-Sepharose in the presence of calcium ions. This fraction contained a C1s-like serine protease as assessed by C4 consumption. The C1s-like serine protease, designated MBP-associated serine protease (MASP), was separated from MBP by rechromatography on anti-MBP-Sepharose in the presence of ethylenediaminetetraacetic acid. MASP exhibited both C4- and C2-consuming activities. The molecular mass of MASP was estimated to be 83 kD with two polypeptides of heavy (66 kD) and light (L) (31 kD) chains linked by disulfide bonds. The serine residue responsible for protease activity is located on the L chain. Reconstitution experiments using MASP and MBP revealed that combination of the two components restores C4- and C2-activating capacity on mannan. Based on analyses of molecular size, antigenicity, and 11 NH2-terminal amino acid sequences of the L chain, we conclude that MASP is a novel protein different from C1r or C1s. Our findings are not in accord with a proposed mechanism by which MBP utilizes the C1r2-C1s2 complex to initiate the classical complement pathway.","author":[{"dropping-particle":"","family":"Matsushita","given":"Misao","non-dropping-particle":"","parse-names":false,"suffix":""},{"dropping-particle":"","family":"Fujita","given":"Teizo","non-dropping-particle":"","parse-names":false,"suffix":""}],"container-title":"Journal of Experimental Medicine","id":"ITEM-1","issue":"6","issued":{"date-parts":[["1992","12","1"]]},"page":"1497-1502","title":"Activation of the classical complement pathway by mannose-binding protein in association with a novel C1s-like serine protease.","type":"article-journal","volume":"176"},"uris":["http://www.mendeley.com/documents/?uuid=c03b0e7c-e812-4fc7-9c0b-5b43df2555c3"]}],"mendeley":{"formattedCitation":"(Matsushita and Fujita, 1992)","plainTextFormattedCitation":"(Matsushita and Fujita, 1992)","previouslyFormattedCitation":"(Matsushita and Fujita, 1992)"},"properties":{"noteIndex":0},"schema":"https://github.com/citation-style-language/schema/raw/master/csl-citation.json"}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(Matsushita and Fujita, 1992)</w:t>
            </w:r>
            <w:r w:rsidRPr="00805017">
              <w:rPr>
                <w:rFonts w:ascii="Arial" w:hAnsi="Arial" w:cs="Arial"/>
                <w:color w:val="000000" w:themeColor="text1"/>
                <w:sz w:val="18"/>
                <w:szCs w:val="18"/>
              </w:rPr>
              <w:fldChar w:fldCharType="end"/>
            </w:r>
          </w:p>
        </w:tc>
      </w:tr>
      <w:tr w:rsidR="001D7AD3" w:rsidRPr="00805017" w14:paraId="2F5281F5" w14:textId="77777777" w:rsidTr="00605F18">
        <w:tc>
          <w:tcPr>
            <w:tcW w:w="470" w:type="pct"/>
          </w:tcPr>
          <w:p w14:paraId="01D482ED"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MreM</w:t>
            </w:r>
          </w:p>
        </w:tc>
        <w:tc>
          <w:tcPr>
            <w:tcW w:w="614" w:type="pct"/>
            <w:vMerge/>
            <w:vAlign w:val="center"/>
          </w:tcPr>
          <w:p w14:paraId="50AF7A1D"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76EC9755"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{"citationItems":[{"id":"ITEM-1","itemData":{"DOI":"10.1016/j.dci.2019.01.010","ISSN":"0145305X","PMID":"30682446","abstract":"A plethora of non-overlapping immune molecular mechanisms in metazoans is the most puzzling issue in comparative immunobiology. No valid evolutionary retrospective on these mechanisms has been developed. In this study, we aimed to reveal the origin and evolution of the immune complement-like system in Lophotrochozoa. For this, we analyzed publicly available transcriptomes of prebilaterian and lophotrochozoan species, mapping lineage-specific molecular events on the phylogenetic tree. We found that there were no orthologs of mannose-binding lectin (MBL) and ficolins (FCN) in Lophotrochozoa but C1q-like proteins (C1qL), bearing both a collagen domain and a globular C1q domain, were omnipresent in them. This suggests that among all complement-like activators the C1qL-specific domain architecture was an evolutionarily first. Two novel protostomian MASP-Related Molecules, MReM1 and MReM2, might hypothetically compensate for the loss of a prebilaterian MASP-orthologous gene and act in complex with C1qL and C1qDC as a “proto-activator” of an ancient “proto-complement”. We proposed a new model of the complement evolution predicting that numerous lineage-specific complement-like systems should have evolved from a stem “antique” molecular complex. First evolved in the common ancestor of coelomic animals, the “antique” humoral complex consisted of a TEP molecule, the common ancestor of TEP-associated proteases (C2/Bf/Сf/Lf), the common ancestor of MASP-like proteases (MASP/C1r/C1s, MReM1/MReM2) and multimeric recognition proteins (C1q-, MBL- and FCN-homologs). Further evolutionary specialization and expansion of the complex was independent and lineage-specific, examples being the mammalian complement system and the Apogastropoda complement-like complex. The latter includes an impressive array of multimeric recognition proteins, the variable immunoglobulin and lectin domain containing molecules (VIgL), homologous to C1q, MBL, FCN and other lectins. Four novel polymorphic subfamilies of VIgLs were found to be expressed in Apogastropoda: C1q-related proteins (QREP), zona pellucida-related proteins (ZREP), Scavenger Receptor Cys-Rich-related proteins (SREP) and HPA-lectin related proteins (HREP). The transcriptional response of fibrinogen-related proteins of VIgL family (LlFREP), LlQREP and LlSREP to infestation of common periwinkle, Littorina littorea, with digenean parasite Himasthla elongata correlates with that of LlMReM1, supporting the model suggested in this st…","author":[{"dropping-particle":"","family":"Gorbushin","given":"Alexander M.","non-dropping-particle":"","parse-names":false,"suffix":""}],"container-title":"Developmental &amp; Comparative Immunology","id":"ITEM-1","issue":"November 2018","issued":{"date-parts":[["2019","5"]]},"page":"35-58","publisher":"Elsevier","title":"Derivatives of the lectin complement pathway in Lophotrochozoa","type":"article-journal","volume":"94"},"uris":["http://www.mendeley.com/documents/?uuid=baab566b-2a64-4abc-b421-f982786ea49c"]}],"mendeley":{"formattedCitation":"(Gorbushin, 2019)","plainTextFormattedCitation":"(Gorbushin, 2019)","previouslyFormattedCitation":"(Gorbushin, 2019)"},"properties":{"noteIndex":0},"schema":"https://github.com/citation-style-language/schema/raw/master/csl-citation.json"}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(Gorbushin, 2019)</w:t>
            </w:r>
            <w:r w:rsidRPr="00805017">
              <w:rPr>
                <w:rFonts w:ascii="Arial" w:hAnsi="Arial" w:cs="Arial"/>
                <w:color w:val="000000" w:themeColor="text1"/>
                <w:sz w:val="18"/>
                <w:szCs w:val="18"/>
              </w:rPr>
              <w:fldChar w:fldCharType="end"/>
            </w:r>
          </w:p>
        </w:tc>
        <w:tc>
          <w:tcPr>
            <w:tcW w:w="609" w:type="pct"/>
            <w:vAlign w:val="center"/>
          </w:tcPr>
          <w:p w14:paraId="6D767ED4"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Merge/>
            <w:vAlign w:val="center"/>
          </w:tcPr>
          <w:p w14:paraId="75EC7B08" w14:textId="77777777" w:rsidR="001D7AD3" w:rsidRPr="00805017" w:rsidRDefault="001D7AD3" w:rsidP="00605F18">
            <w:pPr>
              <w:jc w:val="center"/>
              <w:rPr>
                <w:rFonts w:ascii="Arial" w:hAnsi="Arial" w:cs="Arial"/>
                <w:color w:val="000000" w:themeColor="text1"/>
                <w:sz w:val="18"/>
                <w:szCs w:val="18"/>
              </w:rPr>
            </w:pPr>
          </w:p>
        </w:tc>
        <w:tc>
          <w:tcPr>
            <w:tcW w:w="572" w:type="pct"/>
            <w:vAlign w:val="center"/>
          </w:tcPr>
          <w:p w14:paraId="0C38D107"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46" w:type="pct"/>
            <w:vAlign w:val="center"/>
          </w:tcPr>
          <w:p w14:paraId="7AB7BB67"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93" w:type="pct"/>
            <w:vAlign w:val="center"/>
          </w:tcPr>
          <w:p w14:paraId="759D51A8"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r>
      <w:tr w:rsidR="001D7AD3" w:rsidRPr="00805017" w14:paraId="34C95FBD" w14:textId="77777777" w:rsidTr="00605F18">
        <w:tc>
          <w:tcPr>
            <w:tcW w:w="470" w:type="pct"/>
          </w:tcPr>
          <w:p w14:paraId="0B506B73"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C1q</w:t>
            </w:r>
          </w:p>
        </w:tc>
        <w:tc>
          <w:tcPr>
            <w:tcW w:w="614" w:type="pct"/>
            <w:vAlign w:val="center"/>
          </w:tcPr>
          <w:p w14:paraId="2736CD48"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7C6E06F7"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09" w:type="pct"/>
            <w:vAlign w:val="center"/>
          </w:tcPr>
          <w:p w14:paraId="240E1A55"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4C14F83C" w14:textId="77777777" w:rsidR="001D7AD3" w:rsidRPr="00805017" w:rsidRDefault="001D7AD3" w:rsidP="00605F18">
            <w:pPr>
              <w:jc w:val="center"/>
              <w:rPr>
                <w:rFonts w:ascii="Arial" w:hAnsi="Arial" w:cs="Arial"/>
                <w:b/>
                <w:bCs/>
                <w:color w:val="000000" w:themeColor="text1"/>
                <w:sz w:val="18"/>
                <w:szCs w:val="18"/>
                <w:lang w:val="en-US"/>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{"citationItems":[{"id":"ITEM-1","itemData":{"DOI":"10.1016/j.ydbio.2006.08.065","ISSN":"00121606","abstract":"Echinoderms occupy a critical and largely unexplored phylogenetic vantage point from which to infer both the early evolution of bilaterian immunity and the underpinnings of the vertebrate adaptive immune system. Here we present an initial survey of the purple sea urchin genome for genes associated with immunity. An elaborate repertoire of potential immune receptors, regulators and effectors is present, including unprecedented expansions of innate pathogen recognition genes. These include a diverse array of 222 Toll-like receptor (TLR) genes and a coordinate expansion of directly associated signaling adaptors. Notably, a subset of sea urchin TLR genes encodes receptors with structural characteristics previously identified only in protostomes. A similarly expanded set of 203 NOD/NALP-like cytoplasmic recognition proteins is present. These genes have previously been identified only in vertebrates where they are represented in much lower numbers. Genes that mediate the alternative and lectin complement pathways are described, while gene homologues of the terminal pathway are not present. We have also identified several homologues of genes that function in jawed vertebrate adaptive immunity. The most striking of these is a gene cluster with similarity to the jawed vertebrate Recombination Activating Genes 1 and 2 (RAG1/2). Sea urchins are long-lived, complex organisms and these findings reveal an innate immune system of unprecedented complexity. Whether the presumably intense selective processes that molded these gene families also gave rise to novel immune mechanisms akin to adaptive systems remains to be seen. The genome sequence provides immediate opportunities to apply the advantages of the sea urchin model toward problems in developmental and evolutionary immunobiology. © 2006 Elsevier Inc. All rights reserved.","author":[{"dropping-particle":"","family":"Hibino","given":"Taku","non-dropping-particle":"","parse-names":false,"suffix":""},{"dropping-particle":"","family":"Loza-Coll","given":"Mariano","non-dropping-particle":"","parse-names":false,"suffix":""},{"dropping-particle":"","family":"Messier","given":"Cynthia","non-dropping-particle":"","parse-names":false,"suffix":""},{"dropping-particle":"","family":"Majeske","given":"Audrey J.","non-dropping-particle":"","parse-names":false,"suffix":""},{"dropping-particle":"","family":"Cohen","given":"Avis H.","non-dropping-particle":"","parse-names":false,"suffix":""},{"dropping-particle":"","family":"Terwilliger","given":"David P.","non-dropping-particle":"","parse-names":false,"suffix":""},{"dropping-particle":"","family":"Buckley","given":"Katherine M.","non-dropping-particle":"","parse-names":false,"suffix":""},{"dropping-particle":"","family":"Brockton","given":"Virginia","non-dropping-particle":"","parse-names":false,"suffix":""},{"dropping-particle":"V.","family":"Nair","given":"Sham","non-dropping-particle":"","parse-names":false,"suffix":""},{"dropping-particle":"","family":"Berney","given":"Kevin","non-dropping-particle":"","parse-names":false,"suffix":""},{"dropping-particle":"","family":"Fugmann","given":"Sebastian D.","non-dropping-particle":"","parse-names":false,"suffix":""},{"dropping-particle":"","family":"Anderson","given":"Michele K.","non-dropping-particle":"","parse-names":false,"suffix":""},{"dropping-particle":"","family":"Pancer","given":"Zeev","non-dropping-particle":"","parse-names":false,"suffix":""},{"dropping-particle":"","family":"Cameron","given":"R. Andrew","non-dropping-particle":"","parse-names":false,"suffix":""},{"dropping-particle":"","family":"Smith","given":"L. Courtney","non-dropping-particle":"","parse-names":false,"suffix":""},{"dropping-particle":"","family":"Rast","given":"Jonathan P.","non-dropping-particle":"","parse-names":false,"suffix":""}],"container-title":"Developmental Biology","id":"ITEM-1","issue":"1","issued":{"date-parts":[["2006","12"]]},"note":"- P-type/V-type classification","page":"349-365","title":"The immune gene repertoire encoded in the purple sea urchin genome","type":"article-journal","volume":"300"},"uris":["http://www.mendeley.com/documents/?uuid=e5ee6e2f-6c5d-472b-9c8c-5af2fb549c0d"]}],"mendeley":{"formattedCitation":"(Hibino &lt;i&gt;et al.&lt;/i&gt;, 2006)","plainTextFormattedCitation":"(Hibino et al., 2006)","previouslyFormattedCitation":"(Hibino &lt;i&gt;et al.&lt;/i&gt;, 2006)"},"properties":{"noteIndex":0},"schema":"https://github.com/citation-style-language/schema/raw/master/csl-citation.json"}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(Hibino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2006)</w:t>
            </w:r>
            <w:r w:rsidRPr="00805017">
              <w:rPr>
                <w:rFonts w:ascii="Arial" w:hAnsi="Arial" w:cs="Arial"/>
                <w:color w:val="000000" w:themeColor="text1"/>
                <w:sz w:val="18"/>
                <w:szCs w:val="18"/>
              </w:rPr>
              <w:fldChar w:fldCharType="end"/>
            </w:r>
          </w:p>
        </w:tc>
        <w:tc>
          <w:tcPr>
            <w:tcW w:w="572" w:type="pct"/>
            <w:vAlign w:val="center"/>
          </w:tcPr>
          <w:p w14:paraId="5B83E8F7"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46" w:type="pct"/>
            <w:vMerge w:val="restart"/>
            <w:vAlign w:val="center"/>
          </w:tcPr>
          <w:p w14:paraId="6E8D3D65"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{"citationItems":[{"id":"ITEM-1","itemData":{"DOI":"10.1007/s00251-003-0606-5","ISBN":"8135800339","ISSN":"0093-7711","PMID":"14530883","abstract":"Genome-wide sequence analysis in the invertebrate chordate, Ciona intestinalis, has provided a comprehensive picture of immune-related genes in an organism that occupies a key phylogenetic position in vertebrate evolution. The pivotal genes for adaptive immunity, such as the major histocompatibility complex (MHC) class I and II genes, T-cell receptors, or dimeric immunoglobulin molecules, have not been identified in the Ciona genome. Many genes involved in innate immunity have been identified, including complement components, Toll-like receptors, and the genes involved in intracellular signal transduction of immune responses, and show both expansion and unexpected diversity in comparison with the vertebrates. In addition, a number of genes were identified which predicted integral membrane proteins with extracellular C-type lectin or immunoglobulin domains and intracellular immunoreceptor tyrosine-based inhibitory motifs (ITIMs) and immunoreceptor tyrosine-based activation motifs (ITAMs) (plus their associated signal transduction molecules), suggesting that activating and inhibitory receptors have an MHC-independent function and an early evolutionary origin. A crucial component of vertebrate adaptive immunity is somatic diversification, and the recombination activating genes (RAG) and activation-induced cytidine deaminase (AID) genes responsible for the Generation of diversity are not present in Ciona. However, there are key V regions, the essential feature of an immunoglobulin superfamily VC1-like core, and possible proto-MHC regions scattered throughout the genome waiting for Godot.","author":[{"dropping-particle":"","family":"Azumi","given":"Kaoru","non-dropping-particle":"","parse-names":false,"suffix":""},{"dropping-particle":"","family":"Santis","given":"Rosaria","non-dropping-particle":"De","parse-names":false,"suffix":""},{"dropping-particle":"","family":"Tomaso","given":"Anthony","non-dropping-particle":"De","parse-names":false,"suffix":""},{"dropping-particle":"","family":"Rigoutsos","given":"Isidore","non-dropping-particle":"","parse-names":false,"suffix":""},{"dropping-particle":"","family":"Yoshizaki","given":"Fumiko","non-dropping-particle":"","parse-names":false,"suffix":""},{"dropping-particle":"","family":"Pinto","given":"Maria Rosaria","non-dropping-particle":"","parse-names":false,"suffix":""},{"dropping-particle":"","family":"Marino","given":"Rita","non-dropping-particle":"","parse-names":false,"suffix":""},{"dropping-particle":"","family":"Shida","given":"Kazuhito","non-dropping-particle":"","parse-names":false,"suffix":""},{"dropping-particle":"","family":"Ikeda","given":"Makoto","non-dropping-particle":"","parse-names":false,"suffix":""},{"dropping-particle":"","family":"Ikeda","given":"Masami","non-dropping-particle":"","parse-names":false,"suffix":""},{"dropping-particle":"","family":"Arai","given":"Masafumi","non-dropping-particle":"","parse-names":false,"suffix":""},{"dropping-particle":"","family":"Inoue","given":"Yasuhito","non-dropping-particle":"","parse-names":false,"suffix":""},{"dropping-particle":"","family":"Shimizu","given":"Toshio","non-dropping-particle":"","parse-names":false,"suffix":""},{"dropping-particle":"","family":"Satoh","given":"Nori","non-dropping-particle":"","parse-names":false,"suffix":""},{"dropping-particle":"","family":"Rokhsar","given":"Daniel S.","non-dropping-particle":"","parse-names":false,"suffix":""},{"dropping-particle":"","family":"Pasquier","given":"Louis","non-dropping-particle":"Du","parse-names":false,"suffix":""},{"dropping-particle":"","family":"Kasahara","given":"Masanori","non-dropping-particle":"","parse-names":false,"suffix":""},{"dropping-particle":"","family":"Satake","given":"Masanobu","non-dropping-particle":"","parse-names":false,"suffix":""},{"dropping-particle":"","family":"Nonaka","given":"Masaru","non-dropping-particle":"","parse-names":false,"suffix":""}],"container-title":"Immunogenetics","id":"ITEM-1","issue":"8","issued":{"date-parts":[["2003","11","7"]]},"page":"570-581","title":"Genomic analysis of immunity in a Urochordate and the emergence of the vertebrate immune system: “waiting for Godot”","type":"article-journal","volume":"55"},"uris":["http://www.mendeley.com/documents/?uuid=e7da1dc6-9af8-4176-a52d-f8f94bb7f04c"]}],"mendeley":{"formattedCitation":"(Azumi &lt;i&gt;et al.&lt;/i&gt;, 2003)","plainTextFormattedCitation":"(Azumi et al., 2003)","previouslyFormattedCitation":"(Azumi &lt;i&gt;et al.&lt;/i&gt;, 2003)"},"properties":{"noteIndex":0},"schema":"https://github.com/citation-style-language/schema/raw/master/csl-citation.json"}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(Azumi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2003)</w:t>
            </w:r>
            <w:r w:rsidRPr="00805017">
              <w:rPr>
                <w:rFonts w:ascii="Arial" w:hAnsi="Arial" w:cs="Arial"/>
                <w:color w:val="000000" w:themeColor="text1"/>
                <w:sz w:val="18"/>
                <w:szCs w:val="18"/>
              </w:rPr>
              <w:fldChar w:fldCharType="end"/>
            </w:r>
          </w:p>
        </w:tc>
        <w:tc>
          <w:tcPr>
            <w:tcW w:w="593" w:type="pct"/>
            <w:vAlign w:val="center"/>
          </w:tcPr>
          <w:p w14:paraId="3B793A96"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10.1038/newbio238117a0","ISBN":"0028-0836","ISSN":"0090-0028","PMID":"4561957","author":[{"dropping-particle":"","family":"Svehag","given":"SE","non-dropping-particle":"","parse-names":false,"suffix":""},{"dropping-particle":"","family":"Manhem","given":"L.","non-dropping-particle":"","parse-names":false,"suffix":""},{"dropping-particle":"","family":"Bloth","given":"B.","non-dropping-particle":"","parse-names":false,"suffix":""}],"container-title":"Nature New Biology","id":"ITEM-1","issue":"82","issued":{"date-parts":[["1972","7"]]},"page":"117-118","title":"Ultrastructure of Human C1q Protein","type":"article-journal","volume":"238"},"uris":["http://www.mendeley.com/documents/?uuid=7e4fbc80-3c9b-401e-8e1e-b90956c31e39"]},{"id":"ITEM-2","itemData":{"DOI":"10.1016/j.dci.2010.02.014","ISSN":"0145305X","PMID":"20214925","abstract":"The gene sequence encoding an N-terminal collagen stalk followed by a globular complement 1q domain (gC1q), an architecture that characterizes the C1q A, B and C chains of the first complement component (C1), did not become prevalent until the cephalochordates and urochordates. However, genes encoding only the globular complement 1q domain (ghC1q) are more ancient as they exist within many lower vertebrate and invertebrate genomes, and are even present in the prokaryotes. These genes can be divided into two groups, the first, which appears to be the more ancient form, encodes proteins that are not secreted (cghC1q). The second group encodes proteins in which the globular domain is preceded by a signal peptide indicating secretion (sghC1q). In this review we examine bioinformatic evidence for C1q domain containing (C1qDC) genes in many organisms and integrate these observations with research performed and published on the biochemistry and functions of this fascinating set of proteins. © 2010 Elsevier Ltd.","author":[{"dropping-particle":"","family":"Carland","given":"Tristan M.","non-dropping-particle":"","parse-names":false,"suffix":""},{"dropping-particle":"","family":"Gerwick","given":"Lena","non-dropping-particle":"","parse-names":false,"suffix":""}],"container-title":"Developmental and Comparative Immunology","id":"ITEM-2","issue":"8","issued":{"date-parts":[["2010"]]},"page":"785-790","publisher":"Elsevier Ltd","title":"The C1q domain containing proteins: Where do they come from and what do they do?","type":"article-journal","volume":"34"},"uris":["http://www.mendeley.com/documents/?uuid=9a8287d0-e7ec-4561-a2b0-e02190810540"]}],"mendeley":{"formattedCitation":"(Svehag &lt;i&gt;et al.&lt;/i&gt;, 1972; Carland and Gerwick, 2010)","plainTextFormattedCitation":"(Svehag et al., 1972; Carland and Gerwick, 2010)","previouslyFormattedCitation":"(Svehag &lt;i&gt;et al.&lt;/i&gt;, 1972; Carland and Gerwick, 2010)"},"properties":{"noteIndex":0},"schema":"https://github.com/citation-style-language/schema/raw/master/csl-citation.json"}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(Svehag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1972; Carland and Gerwick, 2010)</w:t>
            </w:r>
            <w:r w:rsidRPr="00805017">
              <w:rPr>
                <w:rFonts w:ascii="Arial" w:hAnsi="Arial" w:cs="Arial"/>
                <w:color w:val="000000" w:themeColor="text1"/>
                <w:sz w:val="18"/>
                <w:szCs w:val="18"/>
              </w:rPr>
              <w:fldChar w:fldCharType="end"/>
            </w:r>
          </w:p>
        </w:tc>
      </w:tr>
      <w:tr w:rsidR="001D7AD3" w:rsidRPr="00805017" w14:paraId="48107A58" w14:textId="77777777" w:rsidTr="00605F18">
        <w:tc>
          <w:tcPr>
            <w:tcW w:w="470" w:type="pct"/>
          </w:tcPr>
          <w:p w14:paraId="2C6AA7EF"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FreDC2</w:t>
            </w:r>
          </w:p>
        </w:tc>
        <w:tc>
          <w:tcPr>
            <w:tcW w:w="614" w:type="pct"/>
            <w:vAlign w:val="center"/>
          </w:tcPr>
          <w:p w14:paraId="12B9403D"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67E2116A"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{"citationItems":[{"id":"ITEM-1","itemData":{"DOI":"10.1016/j.fsi.2018.08.036","ISSN":"10504648","abstract":"Fibrinogen-related proteins (FREPs) are widely found in vertebrates and invertebrates, and they play crucial roles in innate immunity. Here, a new FREP named as MrFREP was identified from giant freshwater prawn (Macrobrachium rosenbergii). The full-length cDNA of MrFREP measures 1649 bp in length and consists of a 1086 bp open reading frame encoding a polypeptide composed of 361 amino acids. The MrFREP sequence has a signal peptide with 20 amino acids and a fibrinogen-related domain (FReD) with 223 amino acids. Phylogenetic analysis showed that MrFREP was grouped with FREPs from Marsupenaeus japonicus and Litopenaeus vannamei. BLASTp results showed that it had 43% identity with a FREP from M. japonicus. The expression of MrFREP was higher in gills, intestine, and hepatopancreas than in hemocytes, heart, stomach, and muscles. The expression levels of MrFREP in gills and intestine were obviously upregulated after they were exposed to Vibrio parahaemolyticus or White spot syndrome virus infection. Recombinant MrFReD protein (rMrFReD) could bind to Gram-positive and Gram-negative bacteria and agglutinate the tested bacteria in the presence of calcium. rMrFReD demonstrated lipopolysaccharide and peptidoglycan binding activities. rMrFReD could accelerate the clearance of V. parahaemolyticus in vivo. These results suggested that MrFREP could function as a pattern recognition receptor contributing to the innate immunity of M. rosenbergii.","author":[{"dropping-particle":"","family":"Han","given":"Keke","non-dropping-particle":"","parse-names":false,"suffix":""},{"dropping-particle":"","family":"Chen","given":"Xuefeng","non-dropping-particle":"","parse-names":false,"suffix":""},{"dropping-particle":"","family":"Wu","given":"Lei","non-dropping-particle":"","parse-names":false,"suffix":""},{"dropping-particle":"","family":"Zhang","given":"Zhuoxing","non-dropping-particle":"","parse-names":false,"suffix":""},{"dropping-particle":"","family":"Ma","given":"Futong","non-dropping-particle":"","parse-names":false,"suffix":""},{"dropping-particle":"","family":"Huang","given":"Xin","non-dropping-particle":"","parse-names":false,"suffix":""},{"dropping-particle":"","family":"Zhang","given":"Yufei","non-dropping-particle":"","parse-names":false,"suffix":""},{"dropping-particle":"","family":"Ren","given":"Qian","non-dropping-particle":"","parse-names":false,"suffix":""}],"container-title":"Fish &amp; Shellfish Immunology","id":"ITEM-1","issue":"June","issued":{"date-parts":[["2018","11"]]},"page":"350-360","publisher":"Elsevier","title":"Novel fibrinogen-related protein with single FReD contributes to the innate immunity of &lt;i&gt;Macrobrachium rosenbergii&lt;/i &gt;","type":"article-journal","volume":"82"},"uris":["http://www.mendeley.com/documents/?uuid=03b204fb-e0ab-4d52-8bb3-8068cbd27106"]}],"mendeley":{"formattedCitation":"(Han &lt;i&gt;et al.&lt;/i&gt;, 2018)","plainTextFormattedCitation":"(Han et al., 2018)","previouslyFormattedCitation":"(Han &lt;i&gt;et al.&lt;/i&gt;, 2018)"},"properties":{"noteIndex":0},"schema":"https://github.com/citation-style-language/schema/raw/master/csl-citation.json"}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(Han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2018)</w:t>
            </w:r>
            <w:r w:rsidRPr="00805017">
              <w:rPr>
                <w:rFonts w:ascii="Arial" w:hAnsi="Arial" w:cs="Arial"/>
                <w:color w:val="000000" w:themeColor="text1"/>
                <w:sz w:val="18"/>
                <w:szCs w:val="18"/>
              </w:rPr>
              <w:fldChar w:fldCharType="end"/>
            </w:r>
          </w:p>
        </w:tc>
        <w:tc>
          <w:tcPr>
            <w:tcW w:w="609" w:type="pct"/>
            <w:vAlign w:val="center"/>
          </w:tcPr>
          <w:p w14:paraId="66C3049E"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62951DED"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72" w:type="pct"/>
            <w:vAlign w:val="center"/>
          </w:tcPr>
          <w:p w14:paraId="0DAA08F5"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{"citationItems":[{"id":"ITEM-1","itemData":{"DOI":"10.1074/jbc.M111.245944","ISSN":"00219258","PMID":"21832079","abstract":"The ficolin-mediated complement pathway plays an important role in vertebrate immunity, but it is not clear whether this pathway exists in invertebrates. Here we identified homologs of ficolin pathway components from the cephalochordate amphioxus and investigated whether they had been co-opted into a functional ficolin pathway. Four of these homologs, ficolin FCN1, serine proteaseMASP1and MASP3, and complement component C3, were highly expressed in mucosal tissues and gonads, and were significantly up-regulated following bacterial infection. Recombinant FCN1 could induce hemagglutination, discriminate among sugar components, and specifically recognize and aggregate several bacteria (especially Gram-positive strains) without showing bactericidal activity. This suggested that FCN1 is a dedicated pattern-recognition receptor. Recombinant serine protease MASP1/3 formed complexes with recombinant FCN1 and facilitated the activation of native C3 protein in amphioxus humoral fluid, in which C3 acted as an immune effector. We conclude that amphioxus have developed a functional ficolin-complement pathway. Because ficolin pathway components have not been reported in non-chordate species, our findings supported the idea that this pathway may represent a chordate-specific innovation in the evolution of the complement system. © 2011 by The American Society for Biochemistry and Molecular Biology, Inc.","author":[{"dropping-particle":"","family":"Huang","given":"Huiqing","non-dropping-particle":"","parse-names":false,"suffix":""},{"dropping-particle":"","family":"Huang","given":"Shengfeng","non-dropping-particle":"","parse-names":false,"suffix":""},{"dropping-particle":"","family":"Yu","given":"Yingcai","non-dropping-particle":"","parse-names":false,"suffix":""},{"dropping-particle":"","family":"Yuan","given":"Shaochun","non-dropping-particle":"","parse-names":false,"suffix":""},{"dropping-particle":"","family":"Li","given":"Rui","non-dropping-particle":"","parse-names":false,"suffix":""},{"dropping-particle":"","family":"Wang","given":"Xin","non-dropping-particle":"","parse-names":false,"suffix":""},{"dropping-particle":"","family":"Zhao","given":"Hongchen","non-dropping-particle":"","parse-names":false,"suffix":""},{"dropping-particle":"","family":"Yu","given":"Yanhong","non-dropping-particle":"","parse-names":false,"suffix":""},{"dropping-particle":"","family":"Li","given":"Jun","non-dropping-particle":"","parse-names":false,"suffix":""},{"dropping-particle":"","family":"Yang","given":"Manyi","non-dropping-particle":"","parse-names":false,"suffix":""},{"dropping-particle":"","family":"Xu","given":"Liqun","non-dropping-particle":"","parse-names":false,"suffix":""},{"dropping-particle":"","family":"Chen","given":"Shangwu","non-dropping-particle":"","parse-names":false,"suffix":""},{"dropping-particle":"","family":"Xu","given":"Anlong","non-dropping-particle":"","parse-names":false,"suffix":""}],"container-title":"Journal of Biological Chemistry","id":"ITEM-1","issue":"42","issued":{"date-parts":[["2011","10"]]},"page":"36739-36748","title":"Functional characterization of a Ficolin-mediated complement pathway in amphioxus","type":"article-journal","volume":"286"},"uris":["http://www.mendeley.com/documents/?uuid=768416b4-3c23-4cf6-9d22-ec4e86c3a970"]}],"mendeley":{"formattedCitation":"(Huang &lt;i&gt;et al.&lt;/i&gt;, 2011)","plainTextFormattedCitation":"(Huang et al., 2011)","previouslyFormattedCitation":"(Huang &lt;i&gt;et al.&lt;/i&gt;, 2011)"},"properties":{"noteIndex":0},"schema":"https://github.com/citation-style-language/schema/raw/master/csl-citation.json"}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(Huang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2011)</w:t>
            </w:r>
            <w:r w:rsidRPr="00805017">
              <w:rPr>
                <w:rFonts w:ascii="Arial" w:hAnsi="Arial" w:cs="Arial"/>
                <w:color w:val="000000" w:themeColor="text1"/>
                <w:sz w:val="18"/>
                <w:szCs w:val="18"/>
              </w:rPr>
              <w:fldChar w:fldCharType="end"/>
            </w:r>
          </w:p>
        </w:tc>
        <w:tc>
          <w:tcPr>
            <w:tcW w:w="646" w:type="pct"/>
            <w:vMerge/>
            <w:vAlign w:val="center"/>
          </w:tcPr>
          <w:p w14:paraId="4F265C25" w14:textId="77777777" w:rsidR="001D7AD3" w:rsidRPr="00805017" w:rsidRDefault="001D7AD3" w:rsidP="00605F18">
            <w:pPr>
              <w:jc w:val="center"/>
              <w:rPr>
                <w:rFonts w:ascii="Arial" w:hAnsi="Arial" w:cs="Arial"/>
                <w:color w:val="000000" w:themeColor="text1"/>
                <w:sz w:val="18"/>
                <w:szCs w:val="18"/>
              </w:rPr>
            </w:pPr>
          </w:p>
        </w:tc>
        <w:tc>
          <w:tcPr>
            <w:tcW w:w="593" w:type="pct"/>
            <w:vAlign w:val="center"/>
          </w:tcPr>
          <w:p w14:paraId="0DA9D9AD"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{"citationItems":[{"id":"ITEM-1","itemData":{"DOI":"10.1016/S0021-9258(19)85267-5","ISSN":"00219258","PMID":"7686157","abstract":"We have previously identified and purified transforming growth factor-β1 (TGF-β1)-binding proteins from porcine uterus membranes (Ichijo, H., Ronnstrand, L., Miyagawa, K., Ohashi, H., Heldin, C.-H., and Miyazono, K. (1991) J. Biol. Chem. 266, 22459-22464). One of these TGF-β1-binding proteins, with a molecular weight of 40,000, was purified to homogeneity and subjected to amino acid sequence analysis. The amino acid sequences obtained were used to isolate two closely related cDNA clones from a porcine uterus cDNA library. The deduced amino acid sequences revealed that both cDNAs encoded proteins that were mainly composed of fibrinogen-like and collagen- like domains. Therefore, they were denoted ficolin-α and ficolin-β. Expression of ficolin-α and -β cDNA in mammalian cells revealed that ficolin forms dimers, trimers, and several higher order of oligomers, whose molecular weights fit well with those of the purified TGF-β1-binding proteins from porcine uterus. Moreover, immunoblotting analysis using a peptide anti-serum against ficolin indicated that the TGF-β1-binding proteins identified in porcine uterus are ficolin-α, -β, and their oligomers or closely related molecules. However, recombinant ficolin-α and - β did not bind TGF-β1, despite the similarities in molecular weights and immunoreactivity with the material from the natural source. It is possible that a specific posttranslational modification of ficolin or interaction with another component is needed for TGF-β1 binding. Analysis by Northern blotting revealed that the expression of ficolin-α mRNA is relatively restricted and most abundant in placenta and lung. On the other hand, ficolin-β was mainly expressed in skeletal muscle. The in vivo functions of ficolin will be discussed.","author":[{"dropping-particle":"","family":"Ichijo","given":"H.","non-dropping-particle":"","parse-names":false,"suffix":""},{"dropping-particle":"","family":"Hellman","given":"U.","non-dropping-particle":"","parse-names":false,"suffix":""},{"dropping-particle":"","family":"Wernstedt","given":"C.","non-dropping-particle":"","parse-names":false,"suffix":""},{"dropping-particle":"","family":"Gonez","given":"L.J.","non-dropping-particle":"","parse-names":false,"suffix":""},{"dropping-particle":"","family":"Claesson-Welsh","given":"L.","non-dropping-particle":"","parse-names":false,"suffix":""},{"dropping-particle":"","family":"Heldin","given":"C.H.","non-dropping-particle":"","parse-names":false,"suffix":""},{"dropping-particle":"","family":"Miyazono","given":"K.","non-dropping-particle":"","parse-names":false,"suffix":""}],"container-title":"Journal of Biological Chemistry","id":"ITEM-1","issue":"19","issued":{"date-parts":[["1993","7"]]},"page":"14505-14513","publisher":"Â© 1993 ASBMB. Currently published by Elsevier Inc; originally published by American Society for Biochemistry and Molecular Biology.","title":"Molecular cloning and characterization of ficolin, a multimeric protein with fibrinogen- and collagen-like domains","type":"article-journal","volume":"268"},"uris":["http://www.mendeley.com/documents/?uuid=19f08b6b-cff2-468c-a065-d2da4a0492a1"]}],"mendeley":{"formattedCitation":"(Ichijo &lt;i&gt;et al.&lt;/i&gt;, 1993)","plainTextFormattedCitation":"(Ichijo et al., 1993)","previouslyFormattedCitation":"(Ichijo &lt;i&gt;et al.&lt;/i&gt;, 1993)"},"properties":{"noteIndex":0},"schema":"https://github.com/citation-style-language/schema/raw/master/csl-citation.json"}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(Ichijo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1993)</w:t>
            </w:r>
            <w:r w:rsidRPr="00805017">
              <w:rPr>
                <w:rFonts w:ascii="Arial" w:hAnsi="Arial" w:cs="Arial"/>
                <w:color w:val="000000" w:themeColor="text1"/>
                <w:sz w:val="18"/>
                <w:szCs w:val="18"/>
              </w:rPr>
              <w:fldChar w:fldCharType="end"/>
            </w:r>
          </w:p>
        </w:tc>
      </w:tr>
      <w:tr w:rsidR="001D7AD3" w:rsidRPr="00805017" w14:paraId="7BBB2425" w14:textId="77777777" w:rsidTr="00605F18">
        <w:tc>
          <w:tcPr>
            <w:tcW w:w="470" w:type="pct"/>
          </w:tcPr>
          <w:p w14:paraId="3B325A29" w14:textId="77777777" w:rsidR="001D7AD3" w:rsidRPr="00805017" w:rsidRDefault="001D7AD3" w:rsidP="00605F18">
            <w:pPr>
              <w:rPr>
                <w:rFonts w:ascii="Arial" w:hAnsi="Arial" w:cs="Arial"/>
                <w:b/>
                <w:bCs/>
                <w:color w:val="000000" w:themeColor="text1"/>
                <w:sz w:val="18"/>
                <w:szCs w:val="18"/>
              </w:rPr>
            </w:pPr>
            <w:r w:rsidRPr="00805017">
              <w:rPr>
                <w:rFonts w:ascii="Arial" w:hAnsi="Arial" w:cs="Arial"/>
                <w:b/>
                <w:bCs/>
                <w:color w:val="000000" w:themeColor="text1"/>
                <w:sz w:val="18"/>
                <w:szCs w:val="18"/>
              </w:rPr>
              <w:t>CTLDC2</w:t>
            </w:r>
          </w:p>
        </w:tc>
        <w:tc>
          <w:tcPr>
            <w:tcW w:w="614" w:type="pct"/>
            <w:vAlign w:val="center"/>
          </w:tcPr>
          <w:p w14:paraId="15B9A8B8" w14:textId="77777777" w:rsidR="001D7AD3" w:rsidRPr="00805017" w:rsidRDefault="001D7AD3" w:rsidP="00605F18">
            <w:pPr>
              <w:jc w:val="center"/>
              <w:rPr>
                <w:rFonts w:ascii="Arial" w:hAnsi="Arial" w:cs="Arial"/>
                <w:color w:val="000000" w:themeColor="text1"/>
                <w:sz w:val="18"/>
                <w:szCs w:val="18"/>
              </w:rPr>
            </w:pPr>
          </w:p>
        </w:tc>
        <w:tc>
          <w:tcPr>
            <w:tcW w:w="839" w:type="pct"/>
            <w:vAlign w:val="center"/>
          </w:tcPr>
          <w:p w14:paraId="0E8A5BCF"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09" w:type="pct"/>
            <w:vAlign w:val="center"/>
          </w:tcPr>
          <w:p w14:paraId="6CF0DA2E"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657" w:type="pct"/>
            <w:vAlign w:val="center"/>
          </w:tcPr>
          <w:p w14:paraId="6EEF0993" w14:textId="77777777" w:rsidR="001D7AD3" w:rsidRPr="00805017" w:rsidRDefault="001D7AD3" w:rsidP="00605F18">
            <w:pPr>
              <w:jc w:val="center"/>
              <w:rPr>
                <w:rFonts w:ascii="Arial" w:hAnsi="Arial" w:cs="Arial"/>
                <w:color w:val="000000" w:themeColor="text1"/>
                <w:sz w:val="18"/>
                <w:szCs w:val="18"/>
                <w:lang w:val="en-US"/>
              </w:rPr>
            </w:pPr>
            <w:r w:rsidRPr="00805017">
              <w:rPr>
                <w:rFonts w:ascii="Arial" w:hAnsi="Arial" w:cs="Arial"/>
                <w:color w:val="000000" w:themeColor="text1"/>
                <w:sz w:val="18"/>
                <w:szCs w:val="18"/>
                <w:lang w:val="en-US"/>
              </w:rPr>
              <w:t>X</w:t>
            </w:r>
          </w:p>
        </w:tc>
        <w:tc>
          <w:tcPr>
            <w:tcW w:w="572" w:type="pct"/>
            <w:vAlign w:val="center"/>
          </w:tcPr>
          <w:p w14:paraId="634F37C6"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lang w:val="en-US"/>
              </w:rPr>
              <w:t>X</w:t>
            </w:r>
          </w:p>
        </w:tc>
        <w:tc>
          <w:tcPr>
            <w:tcW w:w="646" w:type="pct"/>
            <w:vAlign w:val="center"/>
          </w:tcPr>
          <w:p w14:paraId="711B8C01"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{"citationItems":[{"id":"ITEM-1","itemData":{"DOI":"10.4049/jimmunol.167.8.4504","ISSN":"0022-1767","PMID":"11591777","abstract":"Mannose-binding lectin (MBL) is a C-type lectin involved in the first line of host defense against pathogens and it requires MBL-associated serine protease (MASP) for activation of the complement lectin pathway. To elucidate the origin and evolution of MBL, MBL-like lectin was isolated from the plasma of a urochordate, the solitary ascidian Halocynthia roretzi, using affinity chromatography on a yeast mannan-Sepharose. SDS-PAGE of the eluted proteins revealed a major band of approximately 36 kDa (p36). p36 cDNA was cloned from an ascidian hepatopancreas cDNA library. Sequence analysis revealed that the carboxy-terminal half of the ascidian lectin contains a carbohydrate recognition domain (CRD) that is homologous to C-type lectin, but it lacks a collagen-like domain that is present in mammalian MBLs. Purified p36 binds specifically to glucose but not to mannose or N-acetylglucosamine, and it was designated glucose-binding lectin (GBL). The two ascidian MASPs associated with GBL activate ascidian C3, which had been reported to act as an opsonin. The removal of GBL-MASPs complex from ascidian plasma using Ab against GBL inhibits C3-dependent phagocytosis. These observations strongly suggest that GBL acts as a recognition molecule and that the primitive complement system, consisting of the lectin-proteases complex and C3, played a major role in innate immunity before the evolution of an adaptive immune system in vertebrates.","author":[{"dropping-particle":"","family":"Sekine","given":"Hideharu","non-dropping-particle":"","parse-names":false,"suffix":""},{"dropping-particle":"","family":"Kenjo","given":"Akira","non-dropping-particle":"","parse-names":false,"suffix":""},{"dropping-particle":"","family":"Azumi","given":"Kaoru","non-dropping-particle":"","parse-names":false,"suffix":""},{"dropping-particle":"","family":"Ohi","given":"Gota","non-dropping-particle":"","parse-names":false,"suffix":""},{"dropping-particle":"","family":"Takahashi","given":"Minoru","non-dropping-particle":"","parse-names":false,"suffix":""},{"dropping-particle":"","family":"Kasukawa","given":"Reiji","non-dropping-particle":"","parse-names":false,"suffix":""},{"dropping-particle":"","family":"Ichikawa","given":"Narumi","non-dropping-particle":"","parse-names":false,"suffix":""},{"dropping-particle":"","family":"Nakata","given":"Munehiro","non-dropping-particle":"","parse-names":false,"suffix":""},{"dropping-particle":"","family":"Mizuochi","given":"Tsuguo","non-dropping-particle":"","parse-names":false,"suffix":""},{"dropping-particle":"","family":"Matsushita","given":"Misao","non-dropping-particle":"","parse-names":false,"suffix":""},{"dropping-particle":"","family":"Endo","given":"Yuichi","non-dropping-particle":"","parse-names":false,"suffix":""},{"dropping-particle":"","family":"Fujita","given":"Teizo","non-dropping-particle":"","parse-names":false,"suffix":""}],"container-title":"The Journal of Immunology","id":"ITEM-1","issue":"8","issued":{"date-parts":[["2001","10","15"]]},"page":"4504-4510","title":"An ancient lectin-dependent complement system in an ascidian: Novel lectin isolated from the plasma of the solitary ascidian, &lt;i&gt;Halocynthia roretzi&lt;/i&gt;","type":"article-journal","volume":"167"},"uris":["http://www.mendeley.com/documents/?uuid=84b0ae23-8449-4acf-b2a7-35a979baf1cf"]},{"id":"ITEM-2","itemData":{"DOI":"10.1007/s00251-003-0606-5","ISBN":"8135800339","ISSN":"0093-7711","PMID":"14530883","abstract":"Genome-wide sequence analysis in the invertebrate chordate, Ciona intestinalis, has provided a comprehensive picture of immune-related genes in an organism that occupies a key phylogenetic position in vertebrate evolution. The pivotal genes for adaptive immunity, such as the major histocompatibility complex (MHC) class I and II genes, T-cell receptors, or dimeric immunoglobulin molecules, have not been identified in the Ciona genome. Many genes involved in innate immunity have been identified, including complement components, Toll-like receptors, and the genes involved in intracellular signal transduction of immune responses, and show both expansion and unexpected diversity in comparison with the vertebrates. In addition, a number of genes were identified which predicted integral membrane proteins with extracellular C-type lectin or immunoglobulin domains and intracellular immunoreceptor tyrosine-based inhibitory motifs (ITIMs) and immunoreceptor tyrosine-based activation motifs (ITAMs) (plus their associated signal transduction molecules), suggesting that activating and inhibitory receptors have an MHC-independent function and an early evolutionary origin. A crucial component of vertebrate adaptive immunity is somatic diversification, and the recombination activating genes (RAG) and activation-induced cytidine deaminase (AID) genes responsible for the Generation of diversity are not present in Ciona. However, there are key V regions, the essential feature of an immunoglobulin superfamily VC1-like core, and possible proto-MHC regions scattered throughout the genome waiting for Godot.","author":[{"dropping-particle":"","family":"Azumi","given":"Kaoru","non-dropping-particle":"","parse-names":false,"suffix":""},{"dropping-particle":"","family":"Santis","given":"Rosaria","non-dropping-particle":"De","parse-names":false,"suffix":""},{"dropping-particle":"","family":"Tomaso","given":"Anthony","non-dropping-particle":"De","parse-names":false,"suffix":""},{"dropping-particle":"","family":"Rigoutsos","given":"Isidore","non-dropping-particle":"","parse-names":false,"suffix":""},{"dropping-particle":"","family":"Yoshizaki","given":"Fumiko","non-dropping-particle":"","parse-names":false,"suffix":""},{"dropping-particle":"","family":"Pinto","given":"Maria Rosaria","non-dropping-particle":"","parse-names":false,"suffix":""},{"dropping-particle":"","family":"Marino","given":"Rita","non-dropping-particle":"","parse-names":false,"suffix":""},{"dropping-particle":"","family":"Shida","given":"Kazuhito","non-dropping-particle":"","parse-names":false,"suffix":""},{"dropping-particle":"","family":"Ikeda","given":"Makoto","non-dropping-particle":"","parse-names":false,"suffix":""},{"dropping-particle":"","family":"Ikeda","given":"Masami","non-dropping-particle":"","parse-names":false,"suffix":""},{"dropping-particle":"","family":"Arai","given":"Masafumi","non-dropping-particle":"","parse-names":false,"suffix":""},{"dropping-particle":"","family":"Inoue","given":"Yasuhito","non-dropping-particle":"","parse-names":false,"suffix":""},{"dropping-particle":"","family":"Shimizu","given":"Toshio","non-dropping-particle":"","parse-names":false,"suffix":""},{"dropping-particle":"","family":"Satoh","given":"Nori","non-dropping-particle":"","parse-names":false,"suffix":""},{"dropping-particle":"","family":"Rokhsar","given":"Daniel S.","non-dropping-particle":"","parse-names":false,"suffix":""},{"dropping-particle":"","family":"Pasquier","given":"Louis","non-dropping-particle":"Du","parse-names":false,"suffix":""},{"dropping-particle":"","family":"Kasahara","given":"Masanori","non-dropping-particle":"","parse-names":false,"suffix":""},{"dropping-particle":"","family":"Satake","given":"Masanobu","non-dropping-particle":"","parse-names":false,"suffix":""},{"dropping-particle":"","family":"Nonaka","given":"Masaru","non-dropping-particle":"","parse-names":false,"suffix":""}],"container-title":"Immunogenetics","id":"ITEM-2","issue":"8","issued":{"date-parts":[["2003","11","7"]]},"page":"570-581","title":"Genomic analysis of immunity in a Urochordate and the emergence of the vertebrate immune system: “waiting for Godot”","type":"article-journal","volume":"55"},"uris":["http://www.mendeley.com/documents/?uuid=e7da1dc6-9af8-4176-a52d-f8f94bb7f04c"]}],"mendeley":{"formattedCitation":"(Sekine &lt;i&gt;et al.&lt;/i&gt;, 2001; Azumi &lt;i&gt;et al.&lt;/i&gt;, 2003)","plainTextFormattedCitation":"(Sekine et al., 2001; Azumi et al., 2003)","previouslyFormattedCitation":"(Sekine &lt;i&gt;et al.&lt;/i&gt;, 2001; Azumi &lt;i&gt;et al.&lt;/i&gt;, 2003)"},"properties":{"noteIndex":0},"schema":"https://github.com/citation-style-language/schema/raw/master/csl-citation.json"}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(Sekine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xml:space="preserve">, 2001; Azumi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2003)</w:t>
            </w:r>
            <w:r w:rsidRPr="00805017">
              <w:rPr>
                <w:rFonts w:ascii="Arial" w:hAnsi="Arial" w:cs="Arial"/>
                <w:color w:val="000000" w:themeColor="text1"/>
                <w:sz w:val="18"/>
                <w:szCs w:val="18"/>
              </w:rPr>
              <w:fldChar w:fldCharType="end"/>
            </w:r>
          </w:p>
        </w:tc>
        <w:tc>
          <w:tcPr>
            <w:tcW w:w="593" w:type="pct"/>
            <w:vAlign w:val="center"/>
          </w:tcPr>
          <w:p w14:paraId="48D703D7" w14:textId="77777777" w:rsidR="001D7AD3" w:rsidRPr="00805017" w:rsidRDefault="001D7AD3" w:rsidP="00605F18">
            <w:pPr>
              <w:jc w:val="center"/>
              <w:rPr>
                <w:rFonts w:ascii="Arial" w:hAnsi="Arial" w:cs="Arial"/>
                <w:color w:val="000000" w:themeColor="text1"/>
                <w:sz w:val="18"/>
                <w:szCs w:val="18"/>
              </w:rPr>
            </w:pPr>
            <w:r w:rsidRPr="00805017">
              <w:rPr>
                <w:rFonts w:ascii="Arial" w:hAnsi="Arial" w:cs="Arial"/>
                <w:color w:val="000000" w:themeColor="text1"/>
                <w:sz w:val="18"/>
                <w:szCs w:val="18"/>
              </w:rPr>
              <w:fldChar w:fldCharType="begin" w:fldLock="1"/>
            </w:r>
            <w:r w:rsidRPr="00805017">
              <w:rPr>
                <w:rFonts w:ascii="Arial" w:hAnsi="Arial" w:cs="Arial"/>
                <w:color w:val="000000" w:themeColor="text1"/>
                <w:sz w:val="18"/>
                <w:szCs w:val="18"/>
              </w:rPr>
              <w:instrText>ADDIN CSL_CITATION {"citationItems":[{"id":"ITEM-1","itemData":{"DOI":"10.1084/jem.170.4.1175","ISSN":"0022-1007","PMID":"2477486","abstract":"The human mannose-binding protein (MBP) plays a role in first line host defense against certain pathogens. It is an acute phase protein that exists in serum as a multimer of a 32-kD subunit. The NH2 terminus is rich in cysteines that mediate interchain disulphide bonds and stabilize the second collagen-like region. This is followed by a short intervening region, and the carbohydrate recognition domain is found in the COOH-terminal region. Analysis of the human MBP gene reveals that the coding region is interrupted by three introns, and all four exons appear to encode a distinct domain of the protein. It appears that the human MBP gene has evolved by recombination of an ancestral nonfibrillar collagen gene with a gene that encodes carbohydrate recognition, and is therefore similar to the human surfactant SP-A gene and the rat MBP gene. The gene for MBP is located on the long arm of chromosome 10 at 10q11.2-q21, a region that is included in the assignment for the gene for multiple endocrine neoplasia type 2A.","author":[{"dropping-particle":"","family":"Sastry","given":"K.","non-dropping-particle":"","parse-names":false,"suffix":""},{"dropping-particle":"","family":"Herman","given":"G. A.","non-dropping-particle":"","parse-names":false,"suffix":""},{"dropping-particle":"","family":"Day","given":"L.","non-dropping-particle":"","parse-names":false,"suffix":""},{"dropping-particle":"","family":"Deignan","given":"E.","non-dropping-particle":"","parse-names":false,"suffix":""},{"dropping-particle":"","family":"Bruns","given":"G.","non-dropping-particle":"","parse-names":false,"suffix":""},{"dropping-particle":"","family":"Morton","given":"C. C.","non-dropping-particle":"","parse-names":false,"suffix":""},{"dropping-particle":"","family":"Ezekowitz","given":"R. A.B.","non-dropping-particle":"","parse-names":false,"suffix":""}],"container-title":"Journal of Experimental Medicine","id":"ITEM-1","issue":"4","issued":{"date-parts":[["1989","10","1"]]},"page":"1175-1189","title":"The human mannose-binding protein gene. Exon structure reveals its evolutionary relationship to a human pulmonary surfactant gene and localization to chromosome 10.","type":"article-journal","volume":"170"},"uris":["http://www.mendeley.com/documents/?uuid=26e39252-1ab1-41bc-b0d1-9220da481d8a"]}],"mendeley":{"formattedCitation":"(Sastry &lt;i&gt;et al.&lt;/i&gt;, 1989)","plainTextFormattedCitation":"(Sastry et al., 1989)","previouslyFormattedCitation":"(Sastry &lt;i&gt;et al.&lt;/i&gt;, 1989)"},"properties":{"noteIndex":0},"schema":"https://github.com/citation-style-language/schema/raw/master/csl-citation.json"}</w:instrText>
            </w:r>
            <w:r w:rsidRPr="00805017">
              <w:rPr>
                <w:rFonts w:ascii="Arial" w:hAnsi="Arial" w:cs="Arial"/>
                <w:color w:val="000000" w:themeColor="text1"/>
                <w:sz w:val="18"/>
                <w:szCs w:val="18"/>
              </w:rPr>
              <w:fldChar w:fldCharType="separate"/>
            </w:r>
            <w:r w:rsidRPr="00805017">
              <w:rPr>
                <w:rFonts w:ascii="Arial" w:hAnsi="Arial" w:cs="Arial"/>
                <w:noProof/>
                <w:color w:val="000000" w:themeColor="text1"/>
                <w:sz w:val="18"/>
                <w:szCs w:val="18"/>
              </w:rPr>
              <w:t xml:space="preserve">(Sastry </w:t>
            </w:r>
            <w:r w:rsidRPr="00805017">
              <w:rPr>
                <w:rFonts w:ascii="Arial" w:hAnsi="Arial" w:cs="Arial"/>
                <w:i/>
                <w:noProof/>
                <w:color w:val="000000" w:themeColor="text1"/>
                <w:sz w:val="18"/>
                <w:szCs w:val="18"/>
              </w:rPr>
              <w:t>et al.</w:t>
            </w:r>
            <w:r w:rsidRPr="00805017">
              <w:rPr>
                <w:rFonts w:ascii="Arial" w:hAnsi="Arial" w:cs="Arial"/>
                <w:noProof/>
                <w:color w:val="000000" w:themeColor="text1"/>
                <w:sz w:val="18"/>
                <w:szCs w:val="18"/>
              </w:rPr>
              <w:t>, 1989)</w:t>
            </w:r>
            <w:r w:rsidRPr="00805017">
              <w:rPr>
                <w:rFonts w:ascii="Arial" w:hAnsi="Arial" w:cs="Arial"/>
                <w:color w:val="000000" w:themeColor="text1"/>
                <w:sz w:val="18"/>
                <w:szCs w:val="18"/>
              </w:rPr>
              <w:fldChar w:fldCharType="end"/>
            </w:r>
          </w:p>
        </w:tc>
      </w:tr>
    </w:tbl>
    <w:p w14:paraId="5566A5DD" w14:textId="77777777" w:rsidR="001D7AD3" w:rsidRDefault="001D7AD3" w:rsidP="001D7AD3">
      <w:pPr>
        <w:widowControl w:val="0"/>
        <w:autoSpaceDE w:val="0"/>
        <w:autoSpaceDN w:val="0"/>
        <w:adjustRightInd w:val="0"/>
        <w:rPr>
          <w:rFonts w:ascii="Arial" w:hAnsi="Arial" w:cs="Arial"/>
          <w:b/>
          <w:bCs/>
          <w:sz w:val="18"/>
          <w:szCs w:val="18"/>
          <w:lang w:val="en-US"/>
        </w:rPr>
        <w:sectPr w:rsidR="001D7AD3" w:rsidSect="0038698F">
          <w:pgSz w:w="15840" w:h="12240" w:orient="landscape"/>
          <w:pgMar w:top="1440" w:right="1440" w:bottom="1440" w:left="1440" w:header="709" w:footer="709" w:gutter="0"/>
          <w:cols w:space="708"/>
          <w:docGrid w:linePitch="360"/>
        </w:sectPr>
      </w:pPr>
    </w:p>
    <w:p w14:paraId="5DF5E407" w14:textId="77777777" w:rsidR="001D7AD3" w:rsidRDefault="001D7AD3" w:rsidP="001D7AD3">
      <w:pPr>
        <w:widowControl w:val="0"/>
        <w:autoSpaceDE w:val="0"/>
        <w:autoSpaceDN w:val="0"/>
        <w:adjustRightInd w:val="0"/>
        <w:rPr>
          <w:rFonts w:ascii="Arial" w:hAnsi="Arial" w:cs="Arial"/>
          <w:b/>
          <w:bCs/>
          <w:sz w:val="18"/>
          <w:szCs w:val="18"/>
          <w:lang w:val="en-US"/>
        </w:rPr>
      </w:pPr>
      <w:r>
        <w:rPr>
          <w:rFonts w:ascii="Arial" w:hAnsi="Arial" w:cs="Arial"/>
          <w:b/>
          <w:bCs/>
          <w:sz w:val="18"/>
          <w:szCs w:val="18"/>
          <w:lang w:val="en-US"/>
        </w:rPr>
        <w:lastRenderedPageBreak/>
        <w:t xml:space="preserve">Bibliography </w:t>
      </w:r>
      <w:r w:rsidRPr="00F878A3">
        <w:rPr>
          <w:rFonts w:ascii="Arial" w:hAnsi="Arial" w:cs="Arial"/>
          <w:b/>
          <w:bCs/>
          <w:sz w:val="18"/>
          <w:szCs w:val="18"/>
          <w:lang w:val="en-US"/>
        </w:rPr>
        <w:t>Supplementary Table 1.</w:t>
      </w:r>
    </w:p>
    <w:p w14:paraId="3D39CB17" w14:textId="77777777" w:rsidR="001D7AD3" w:rsidRPr="00E72BF2" w:rsidRDefault="001D7AD3" w:rsidP="001D7AD3">
      <w:pPr>
        <w:widowControl w:val="0"/>
        <w:autoSpaceDE w:val="0"/>
        <w:autoSpaceDN w:val="0"/>
        <w:adjustRightInd w:val="0"/>
        <w:rPr>
          <w:rFonts w:ascii="Arial" w:hAnsi="Arial" w:cs="Arial"/>
          <w:noProof/>
          <w:sz w:val="18"/>
          <w:lang w:val="en-US"/>
        </w:rPr>
      </w:pPr>
      <w:r>
        <w:rPr>
          <w:rFonts w:ascii="Arial" w:hAnsi="Arial" w:cs="Arial"/>
          <w:b/>
          <w:bCs/>
          <w:sz w:val="18"/>
          <w:szCs w:val="18"/>
          <w:lang w:val="en-US"/>
        </w:rPr>
        <w:fldChar w:fldCharType="begin" w:fldLock="1"/>
      </w:r>
      <w:r>
        <w:rPr>
          <w:rFonts w:ascii="Arial" w:hAnsi="Arial" w:cs="Arial"/>
          <w:b/>
          <w:bCs/>
          <w:sz w:val="18"/>
          <w:szCs w:val="18"/>
          <w:lang w:val="en-US"/>
        </w:rPr>
        <w:instrText xml:space="preserve">ADDIN Mendeley Bibliography CSL_BIBLIOGRAPHY </w:instrText>
      </w:r>
      <w:r>
        <w:rPr>
          <w:rFonts w:ascii="Arial" w:hAnsi="Arial" w:cs="Arial"/>
          <w:b/>
          <w:bCs/>
          <w:sz w:val="18"/>
          <w:szCs w:val="18"/>
          <w:lang w:val="en-US"/>
        </w:rPr>
        <w:fldChar w:fldCharType="separate"/>
      </w:r>
      <w:r w:rsidRPr="00E72BF2">
        <w:rPr>
          <w:rFonts w:ascii="Arial" w:hAnsi="Arial" w:cs="Arial"/>
          <w:noProof/>
          <w:sz w:val="18"/>
          <w:lang w:val="en-US"/>
        </w:rPr>
        <w:t xml:space="preserve">Adams, M. D. (2000) ‘The genome sequence of </w:t>
      </w:r>
      <w:r w:rsidRPr="00E72BF2">
        <w:rPr>
          <w:rFonts w:ascii="Arial" w:hAnsi="Arial" w:cs="Arial"/>
          <w:i/>
          <w:iCs/>
          <w:noProof/>
          <w:sz w:val="18"/>
          <w:lang w:val="en-US"/>
        </w:rPr>
        <w:t>Drosophila melanogaster</w:t>
      </w:r>
      <w:r w:rsidRPr="00E72BF2">
        <w:rPr>
          <w:rFonts w:ascii="Arial" w:hAnsi="Arial" w:cs="Arial"/>
          <w:noProof/>
          <w:sz w:val="18"/>
          <w:lang w:val="en-US"/>
        </w:rPr>
        <w:t xml:space="preserve">’, </w:t>
      </w:r>
      <w:r w:rsidRPr="00E72BF2">
        <w:rPr>
          <w:rFonts w:ascii="Arial" w:hAnsi="Arial" w:cs="Arial"/>
          <w:i/>
          <w:iCs/>
          <w:noProof/>
          <w:sz w:val="18"/>
          <w:lang w:val="en-US"/>
        </w:rPr>
        <w:t>Science</w:t>
      </w:r>
      <w:r w:rsidRPr="00E72BF2">
        <w:rPr>
          <w:rFonts w:ascii="Arial" w:hAnsi="Arial" w:cs="Arial"/>
          <w:noProof/>
          <w:sz w:val="18"/>
          <w:lang w:val="en-US"/>
        </w:rPr>
        <w:t>, 287(5461), pp. 2185–2195. doi: 10.1126/science.287.5461.2185.</w:t>
      </w:r>
    </w:p>
    <w:p w14:paraId="6D31166E"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Ahearn, J. M. and Fearon, D. T. (1989) ‘Structure and Function of the Complement Receptors, CR1 (CD35) and CR2 (CD21)’, </w:t>
      </w:r>
      <w:r w:rsidRPr="00E72BF2">
        <w:rPr>
          <w:rFonts w:ascii="Arial" w:hAnsi="Arial" w:cs="Arial"/>
          <w:i/>
          <w:iCs/>
          <w:noProof/>
          <w:sz w:val="18"/>
          <w:lang w:val="en-US"/>
        </w:rPr>
        <w:t>Advances in Immunology</w:t>
      </w:r>
      <w:r w:rsidRPr="00E72BF2">
        <w:rPr>
          <w:rFonts w:ascii="Arial" w:hAnsi="Arial" w:cs="Arial"/>
          <w:noProof/>
          <w:sz w:val="18"/>
          <w:lang w:val="en-US"/>
        </w:rPr>
        <w:t>, 46(C), pp. 183–219. doi: 10.1016/S0065-2776(08)60654-9.</w:t>
      </w:r>
    </w:p>
    <w:p w14:paraId="0F367B71" w14:textId="77777777" w:rsidR="001D7AD3" w:rsidRPr="00E72BF2" w:rsidRDefault="001D7AD3" w:rsidP="001D7AD3">
      <w:pPr>
        <w:widowControl w:val="0"/>
        <w:autoSpaceDE w:val="0"/>
        <w:autoSpaceDN w:val="0"/>
        <w:adjustRightInd w:val="0"/>
        <w:rPr>
          <w:rFonts w:ascii="Arial" w:hAnsi="Arial" w:cs="Arial"/>
          <w:noProof/>
          <w:sz w:val="18"/>
          <w:lang w:val="en-US"/>
        </w:rPr>
      </w:pPr>
      <w:r w:rsidRPr="00805017">
        <w:rPr>
          <w:rFonts w:ascii="Arial" w:hAnsi="Arial" w:cs="Arial"/>
          <w:noProof/>
          <w:sz w:val="18"/>
          <w:lang w:val="es-ES_tradnl"/>
        </w:rPr>
        <w:t xml:space="preserve">Al-Sharif, W. Z. </w:t>
      </w:r>
      <w:r w:rsidRPr="00805017">
        <w:rPr>
          <w:rFonts w:ascii="Arial" w:hAnsi="Arial" w:cs="Arial"/>
          <w:i/>
          <w:iCs/>
          <w:noProof/>
          <w:sz w:val="18"/>
          <w:lang w:val="es-ES_tradnl"/>
        </w:rPr>
        <w:t>et al.</w:t>
      </w:r>
      <w:r w:rsidRPr="00805017">
        <w:rPr>
          <w:rFonts w:ascii="Arial" w:hAnsi="Arial" w:cs="Arial"/>
          <w:noProof/>
          <w:sz w:val="18"/>
          <w:lang w:val="es-ES_tradnl"/>
        </w:rPr>
        <w:t xml:space="preserve"> </w:t>
      </w:r>
      <w:r w:rsidRPr="00E72BF2">
        <w:rPr>
          <w:rFonts w:ascii="Arial" w:hAnsi="Arial" w:cs="Arial"/>
          <w:noProof/>
          <w:sz w:val="18"/>
          <w:lang w:val="en-US"/>
        </w:rPr>
        <w:t xml:space="preserve">(1998) ‘Sea urchin coelomocytes specifically express a homologue of the complement component C3.’, </w:t>
      </w:r>
      <w:r w:rsidRPr="00E72BF2">
        <w:rPr>
          <w:rFonts w:ascii="Arial" w:hAnsi="Arial" w:cs="Arial"/>
          <w:i/>
          <w:iCs/>
          <w:noProof/>
          <w:sz w:val="18"/>
          <w:lang w:val="en-US"/>
        </w:rPr>
        <w:t>Journal of immunology (Baltimore, Md. : 1950)</w:t>
      </w:r>
      <w:r w:rsidRPr="00E72BF2">
        <w:rPr>
          <w:rFonts w:ascii="Arial" w:hAnsi="Arial" w:cs="Arial"/>
          <w:noProof/>
          <w:sz w:val="18"/>
          <w:lang w:val="en-US"/>
        </w:rPr>
        <w:t>, 160(6), pp. 2983–97. Available at: http://www.ncbi.nlm.nih.gov/pubmed/9510203.</w:t>
      </w:r>
    </w:p>
    <w:p w14:paraId="382A4CB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Altincicek, B. and Vilcinskas, A. (2007) ‘Analysis of the immune-related transcriptome of a lophotrochozoan model, the marine annelid </w:t>
      </w:r>
      <w:r w:rsidRPr="00E72BF2">
        <w:rPr>
          <w:rFonts w:ascii="Arial" w:hAnsi="Arial" w:cs="Arial"/>
          <w:i/>
          <w:iCs/>
          <w:noProof/>
          <w:sz w:val="18"/>
          <w:lang w:val="en-US"/>
        </w:rPr>
        <w:t>Platynereis dumerilii</w:t>
      </w:r>
      <w:r w:rsidRPr="00E72BF2">
        <w:rPr>
          <w:rFonts w:ascii="Arial" w:hAnsi="Arial" w:cs="Arial"/>
          <w:noProof/>
          <w:sz w:val="18"/>
          <w:lang w:val="en-US"/>
        </w:rPr>
        <w:t xml:space="preserve">’, </w:t>
      </w:r>
      <w:r w:rsidRPr="00E72BF2">
        <w:rPr>
          <w:rFonts w:ascii="Arial" w:hAnsi="Arial" w:cs="Arial"/>
          <w:i/>
          <w:iCs/>
          <w:noProof/>
          <w:sz w:val="18"/>
          <w:lang w:val="en-US"/>
        </w:rPr>
        <w:t>Frontiers in Zoology</w:t>
      </w:r>
      <w:r w:rsidRPr="00E72BF2">
        <w:rPr>
          <w:rFonts w:ascii="Arial" w:hAnsi="Arial" w:cs="Arial"/>
          <w:noProof/>
          <w:sz w:val="18"/>
          <w:lang w:val="en-US"/>
        </w:rPr>
        <w:t>, 4(1), p. 18. doi: 10.1186/1742-9994-4-18.</w:t>
      </w:r>
    </w:p>
    <w:p w14:paraId="49CE81FE"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Anderson, K. V., Jürgens, G. and Nüsslein-Volhard, C. (1985) ‘Establishment of dorsal-ventral polarity in the </w:t>
      </w:r>
      <w:r w:rsidRPr="00E72BF2">
        <w:rPr>
          <w:rFonts w:ascii="Arial" w:hAnsi="Arial" w:cs="Arial"/>
          <w:i/>
          <w:iCs/>
          <w:noProof/>
          <w:sz w:val="18"/>
          <w:lang w:val="en-US"/>
        </w:rPr>
        <w:t xml:space="preserve">Drosophila </w:t>
      </w:r>
      <w:r w:rsidRPr="00E72BF2">
        <w:rPr>
          <w:rFonts w:ascii="Arial" w:hAnsi="Arial" w:cs="Arial"/>
          <w:noProof/>
          <w:sz w:val="18"/>
          <w:lang w:val="en-US"/>
        </w:rPr>
        <w:t xml:space="preserve">embryo: Genetic studies on the role of the </w:t>
      </w:r>
      <w:r w:rsidRPr="00E72BF2">
        <w:rPr>
          <w:rFonts w:ascii="Arial" w:hAnsi="Arial" w:cs="Arial"/>
          <w:i/>
          <w:iCs/>
          <w:noProof/>
          <w:sz w:val="18"/>
          <w:lang w:val="en-US"/>
        </w:rPr>
        <w:t xml:space="preserve">Toll </w:t>
      </w:r>
      <w:r w:rsidRPr="00E72BF2">
        <w:rPr>
          <w:rFonts w:ascii="Arial" w:hAnsi="Arial" w:cs="Arial"/>
          <w:noProof/>
          <w:sz w:val="18"/>
          <w:lang w:val="en-US"/>
        </w:rPr>
        <w:t xml:space="preserve">gene product’, </w:t>
      </w:r>
      <w:r w:rsidRPr="00E72BF2">
        <w:rPr>
          <w:rFonts w:ascii="Arial" w:hAnsi="Arial" w:cs="Arial"/>
          <w:i/>
          <w:iCs/>
          <w:noProof/>
          <w:sz w:val="18"/>
          <w:lang w:val="en-US"/>
        </w:rPr>
        <w:t>Cell</w:t>
      </w:r>
      <w:r w:rsidRPr="00E72BF2">
        <w:rPr>
          <w:rFonts w:ascii="Arial" w:hAnsi="Arial" w:cs="Arial"/>
          <w:noProof/>
          <w:sz w:val="18"/>
          <w:lang w:val="en-US"/>
        </w:rPr>
        <w:t>, 42(3), pp. 779–789. doi: 10.1016/0092-8674(85)90274-0.</w:t>
      </w:r>
    </w:p>
    <w:p w14:paraId="125DC1DF"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Anderson, K. V. and Nüsslein-Volhard, C. (1984) ‘Information for the dorsal–ventral pattern of the </w:t>
      </w:r>
      <w:r w:rsidRPr="00E72BF2">
        <w:rPr>
          <w:rFonts w:ascii="Arial" w:hAnsi="Arial" w:cs="Arial"/>
          <w:i/>
          <w:iCs/>
          <w:noProof/>
          <w:sz w:val="18"/>
          <w:lang w:val="en-US"/>
        </w:rPr>
        <w:t>Drosophila</w:t>
      </w:r>
      <w:r w:rsidRPr="00E72BF2">
        <w:rPr>
          <w:rFonts w:ascii="Arial" w:hAnsi="Arial" w:cs="Arial"/>
          <w:noProof/>
          <w:sz w:val="18"/>
          <w:lang w:val="en-US"/>
        </w:rPr>
        <w:t xml:space="preserve"> embryo is stored as maternal mRNA’, </w:t>
      </w:r>
      <w:r w:rsidRPr="00E72BF2">
        <w:rPr>
          <w:rFonts w:ascii="Arial" w:hAnsi="Arial" w:cs="Arial"/>
          <w:i/>
          <w:iCs/>
          <w:noProof/>
          <w:sz w:val="18"/>
          <w:lang w:val="en-US"/>
        </w:rPr>
        <w:t>Nature</w:t>
      </w:r>
      <w:r w:rsidRPr="00E72BF2">
        <w:rPr>
          <w:rFonts w:ascii="Arial" w:hAnsi="Arial" w:cs="Arial"/>
          <w:noProof/>
          <w:sz w:val="18"/>
          <w:lang w:val="en-US"/>
        </w:rPr>
        <w:t>, 311(5983), pp. 223–227. doi: 10.1038/311223a0.</w:t>
      </w:r>
    </w:p>
    <w:p w14:paraId="31E33E43"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Ariki, S. </w:t>
      </w:r>
      <w:r w:rsidRPr="00E72BF2">
        <w:rPr>
          <w:rFonts w:ascii="Arial" w:hAnsi="Arial" w:cs="Arial"/>
          <w:i/>
          <w:iCs/>
          <w:noProof/>
          <w:sz w:val="18"/>
          <w:lang w:val="en-US"/>
        </w:rPr>
        <w:t>et al.</w:t>
      </w:r>
      <w:r w:rsidRPr="00E72BF2">
        <w:rPr>
          <w:rFonts w:ascii="Arial" w:hAnsi="Arial" w:cs="Arial"/>
          <w:noProof/>
          <w:sz w:val="18"/>
          <w:lang w:val="en-US"/>
        </w:rPr>
        <w:t xml:space="preserve"> (2008) ‘Factor C Acts as a lipopolysaccharide-responsive C3 convertase in horseshoe crab complement activation’, </w:t>
      </w:r>
      <w:r w:rsidRPr="00E72BF2">
        <w:rPr>
          <w:rFonts w:ascii="Arial" w:hAnsi="Arial" w:cs="Arial"/>
          <w:i/>
          <w:iCs/>
          <w:noProof/>
          <w:sz w:val="18"/>
          <w:lang w:val="en-US"/>
        </w:rPr>
        <w:t>The Journal of Immunology</w:t>
      </w:r>
      <w:r w:rsidRPr="00E72BF2">
        <w:rPr>
          <w:rFonts w:ascii="Arial" w:hAnsi="Arial" w:cs="Arial"/>
          <w:noProof/>
          <w:sz w:val="18"/>
          <w:lang w:val="en-US"/>
        </w:rPr>
        <w:t>, 181(11), pp. 7994–8001. doi: 10.4049/jimmunol.181.11.7994.</w:t>
      </w:r>
    </w:p>
    <w:p w14:paraId="75D8574B" w14:textId="77777777" w:rsidR="001D7AD3" w:rsidRPr="00E72BF2" w:rsidRDefault="001D7AD3" w:rsidP="001D7AD3">
      <w:pPr>
        <w:widowControl w:val="0"/>
        <w:autoSpaceDE w:val="0"/>
        <w:autoSpaceDN w:val="0"/>
        <w:adjustRightInd w:val="0"/>
        <w:rPr>
          <w:rFonts w:ascii="Arial" w:hAnsi="Arial" w:cs="Arial"/>
          <w:noProof/>
          <w:sz w:val="18"/>
          <w:lang w:val="en-US"/>
        </w:rPr>
      </w:pPr>
      <w:r w:rsidRPr="00805017">
        <w:rPr>
          <w:rFonts w:ascii="Arial" w:hAnsi="Arial" w:cs="Arial"/>
          <w:noProof/>
          <w:sz w:val="18"/>
          <w:lang w:val="es-ES_tradnl"/>
        </w:rPr>
        <w:t xml:space="preserve">Arlaud, G. J. </w:t>
      </w:r>
      <w:r w:rsidRPr="00805017">
        <w:rPr>
          <w:rFonts w:ascii="Arial" w:hAnsi="Arial" w:cs="Arial"/>
          <w:i/>
          <w:iCs/>
          <w:noProof/>
          <w:sz w:val="18"/>
          <w:lang w:val="es-ES_tradnl"/>
        </w:rPr>
        <w:t>et al.</w:t>
      </w:r>
      <w:r w:rsidRPr="00805017">
        <w:rPr>
          <w:rFonts w:ascii="Arial" w:hAnsi="Arial" w:cs="Arial"/>
          <w:noProof/>
          <w:sz w:val="18"/>
          <w:lang w:val="es-ES_tradnl"/>
        </w:rPr>
        <w:t xml:space="preserve"> </w:t>
      </w:r>
      <w:r w:rsidRPr="00E72BF2">
        <w:rPr>
          <w:rFonts w:ascii="Arial" w:hAnsi="Arial" w:cs="Arial"/>
          <w:noProof/>
          <w:sz w:val="18"/>
          <w:lang w:val="en-US"/>
        </w:rPr>
        <w:t xml:space="preserve">(2002) ‘Structural biology of the C1 complex of complement unveils the mechanisms of its activation and proteolytic activity’, </w:t>
      </w:r>
      <w:r w:rsidRPr="00E72BF2">
        <w:rPr>
          <w:rFonts w:ascii="Arial" w:hAnsi="Arial" w:cs="Arial"/>
          <w:i/>
          <w:iCs/>
          <w:noProof/>
          <w:sz w:val="18"/>
          <w:lang w:val="en-US"/>
        </w:rPr>
        <w:t>Molecular Immunology</w:t>
      </w:r>
      <w:r w:rsidRPr="00E72BF2">
        <w:rPr>
          <w:rFonts w:ascii="Arial" w:hAnsi="Arial" w:cs="Arial"/>
          <w:noProof/>
          <w:sz w:val="18"/>
          <w:lang w:val="en-US"/>
        </w:rPr>
        <w:t>, 39(7–8), pp. 383–394. doi: 10.1016/S0161-5890(02)00143-8.</w:t>
      </w:r>
    </w:p>
    <w:p w14:paraId="0799D8FA"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Azumi, K. </w:t>
      </w:r>
      <w:r w:rsidRPr="00E72BF2">
        <w:rPr>
          <w:rFonts w:ascii="Arial" w:hAnsi="Arial" w:cs="Arial"/>
          <w:i/>
          <w:iCs/>
          <w:noProof/>
          <w:sz w:val="18"/>
          <w:lang w:val="en-US"/>
        </w:rPr>
        <w:t>et al.</w:t>
      </w:r>
      <w:r w:rsidRPr="00E72BF2">
        <w:rPr>
          <w:rFonts w:ascii="Arial" w:hAnsi="Arial" w:cs="Arial"/>
          <w:noProof/>
          <w:sz w:val="18"/>
          <w:lang w:val="en-US"/>
        </w:rPr>
        <w:t xml:space="preserve"> (2003) ‘Genomic analysis of immunity in a Urochordate and the emergence of the vertebrate immune system: “waiting for Godot”’, </w:t>
      </w:r>
      <w:r w:rsidRPr="00E72BF2">
        <w:rPr>
          <w:rFonts w:ascii="Arial" w:hAnsi="Arial" w:cs="Arial"/>
          <w:i/>
          <w:iCs/>
          <w:noProof/>
          <w:sz w:val="18"/>
          <w:lang w:val="en-US"/>
        </w:rPr>
        <w:t>Immunogenetics</w:t>
      </w:r>
      <w:r w:rsidRPr="00E72BF2">
        <w:rPr>
          <w:rFonts w:ascii="Arial" w:hAnsi="Arial" w:cs="Arial"/>
          <w:noProof/>
          <w:sz w:val="18"/>
          <w:lang w:val="en-US"/>
        </w:rPr>
        <w:t>, 55(8), pp. 570–581. doi: 10.1007/s00251-003-0606-5.</w:t>
      </w:r>
    </w:p>
    <w:p w14:paraId="3425A4B2"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Bhakdi, S. and Tranum-Jensen, J. (1978) ‘Molecular nature of the complement lesion.’,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75(11), pp. 5655–5659. doi: 10.1073/pnas.75.11.5655.</w:t>
      </w:r>
    </w:p>
    <w:p w14:paraId="232C0B2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Bosch, T. C. G. </w:t>
      </w:r>
      <w:r w:rsidRPr="00E72BF2">
        <w:rPr>
          <w:rFonts w:ascii="Arial" w:hAnsi="Arial" w:cs="Arial"/>
          <w:i/>
          <w:iCs/>
          <w:noProof/>
          <w:sz w:val="18"/>
          <w:lang w:val="en-US"/>
        </w:rPr>
        <w:t>et al.</w:t>
      </w:r>
      <w:r w:rsidRPr="00E72BF2">
        <w:rPr>
          <w:rFonts w:ascii="Arial" w:hAnsi="Arial" w:cs="Arial"/>
          <w:noProof/>
          <w:sz w:val="18"/>
          <w:lang w:val="en-US"/>
        </w:rPr>
        <w:t xml:space="preserve"> (2009) ‘Uncovering the evolutionary history of innate immunity: The simple metazoan </w:t>
      </w:r>
      <w:r w:rsidRPr="00E72BF2">
        <w:rPr>
          <w:rFonts w:ascii="Arial" w:hAnsi="Arial" w:cs="Arial"/>
          <w:i/>
          <w:iCs/>
          <w:noProof/>
          <w:sz w:val="18"/>
          <w:lang w:val="en-US"/>
        </w:rPr>
        <w:t>Hydra</w:t>
      </w:r>
      <w:r w:rsidRPr="00E72BF2">
        <w:rPr>
          <w:rFonts w:ascii="Arial" w:hAnsi="Arial" w:cs="Arial"/>
          <w:noProof/>
          <w:sz w:val="18"/>
          <w:lang w:val="en-US"/>
        </w:rPr>
        <w:t xml:space="preserve"> uses epithelial cells for host defence’, </w:t>
      </w:r>
      <w:r w:rsidRPr="00E72BF2">
        <w:rPr>
          <w:rFonts w:ascii="Arial" w:hAnsi="Arial" w:cs="Arial"/>
          <w:i/>
          <w:iCs/>
          <w:noProof/>
          <w:sz w:val="18"/>
          <w:lang w:val="en-US"/>
        </w:rPr>
        <w:t>Developmental &amp; Comparative Immunology</w:t>
      </w:r>
      <w:r w:rsidRPr="00E72BF2">
        <w:rPr>
          <w:rFonts w:ascii="Arial" w:hAnsi="Arial" w:cs="Arial"/>
          <w:noProof/>
          <w:sz w:val="18"/>
          <w:lang w:val="en-US"/>
        </w:rPr>
        <w:t>, 33(4), pp. 559–569. doi: 10.1016/j.dci.2008.10.004.</w:t>
      </w:r>
    </w:p>
    <w:p w14:paraId="6BB4530B" w14:textId="77777777" w:rsidR="001D7AD3" w:rsidRPr="00E72BF2" w:rsidRDefault="001D7AD3" w:rsidP="001D7AD3">
      <w:pPr>
        <w:widowControl w:val="0"/>
        <w:autoSpaceDE w:val="0"/>
        <w:autoSpaceDN w:val="0"/>
        <w:adjustRightInd w:val="0"/>
        <w:rPr>
          <w:rFonts w:ascii="Arial" w:hAnsi="Arial" w:cs="Arial"/>
          <w:noProof/>
          <w:sz w:val="18"/>
          <w:lang w:val="en-US"/>
        </w:rPr>
      </w:pPr>
      <w:r w:rsidRPr="00805017">
        <w:rPr>
          <w:rFonts w:ascii="Arial" w:hAnsi="Arial" w:cs="Arial"/>
          <w:noProof/>
          <w:sz w:val="18"/>
          <w:lang w:val="es-ES_tradnl"/>
        </w:rPr>
        <w:t xml:space="preserve">Brennan, J. J. </w:t>
      </w:r>
      <w:r w:rsidRPr="00805017">
        <w:rPr>
          <w:rFonts w:ascii="Arial" w:hAnsi="Arial" w:cs="Arial"/>
          <w:i/>
          <w:iCs/>
          <w:noProof/>
          <w:sz w:val="18"/>
          <w:lang w:val="es-ES_tradnl"/>
        </w:rPr>
        <w:t>et al.</w:t>
      </w:r>
      <w:r w:rsidRPr="00805017">
        <w:rPr>
          <w:rFonts w:ascii="Arial" w:hAnsi="Arial" w:cs="Arial"/>
          <w:noProof/>
          <w:sz w:val="18"/>
          <w:lang w:val="es-ES_tradnl"/>
        </w:rPr>
        <w:t xml:space="preserve"> </w:t>
      </w:r>
      <w:r w:rsidRPr="00E72BF2">
        <w:rPr>
          <w:rFonts w:ascii="Arial" w:hAnsi="Arial" w:cs="Arial"/>
          <w:noProof/>
          <w:sz w:val="18"/>
          <w:lang w:val="en-US"/>
        </w:rPr>
        <w:t>(2017) ‘Sea anemone model has a single Toll-like receptor that can function in pathogen detection, NF-</w:t>
      </w:r>
      <w:r w:rsidRPr="00805017">
        <w:rPr>
          <w:rFonts w:ascii="Arial" w:hAnsi="Arial" w:cs="Arial"/>
          <w:noProof/>
          <w:sz w:val="18"/>
          <w:lang w:val="es-ES_tradnl"/>
        </w:rPr>
        <w:t>κ</w:t>
      </w:r>
      <w:r w:rsidRPr="00E72BF2">
        <w:rPr>
          <w:rFonts w:ascii="Arial" w:hAnsi="Arial" w:cs="Arial"/>
          <w:noProof/>
          <w:sz w:val="18"/>
          <w:lang w:val="en-US"/>
        </w:rPr>
        <w:t xml:space="preserve">B signal transduction, and development’,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114(47), pp. E10122–E10131. doi: 10.1073/pnas.1711530114.</w:t>
      </w:r>
    </w:p>
    <w:p w14:paraId="7FE2CD92"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Carland, T. M. and Gerwick, L. (2010) ‘The C1q domain containing proteins: Where do they come from and what do they do?’, </w:t>
      </w:r>
      <w:r w:rsidRPr="00E72BF2">
        <w:rPr>
          <w:rFonts w:ascii="Arial" w:hAnsi="Arial" w:cs="Arial"/>
          <w:i/>
          <w:iCs/>
          <w:noProof/>
          <w:sz w:val="18"/>
          <w:lang w:val="en-US"/>
        </w:rPr>
        <w:t>Developmental and Comparative Immunology</w:t>
      </w:r>
      <w:r w:rsidRPr="00E72BF2">
        <w:rPr>
          <w:rFonts w:ascii="Arial" w:hAnsi="Arial" w:cs="Arial"/>
          <w:noProof/>
          <w:sz w:val="18"/>
          <w:lang w:val="en-US"/>
        </w:rPr>
        <w:t>. Elsevier Ltd, 34(8), pp. 785–790. doi: 10.1016/j.dci.2010.02.014.</w:t>
      </w:r>
    </w:p>
    <w:p w14:paraId="3AF54E8E"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Castillo, M. G., Goodson, M. S. and McFall-Ngai, M. (2009) ‘Identification and molecular characterization of a complement C3 molecule in a lophotrochozoan, the Hawaiian bobtail squid </w:t>
      </w:r>
      <w:r w:rsidRPr="00E72BF2">
        <w:rPr>
          <w:rFonts w:ascii="Arial" w:hAnsi="Arial" w:cs="Arial"/>
          <w:i/>
          <w:iCs/>
          <w:noProof/>
          <w:sz w:val="18"/>
          <w:lang w:val="en-US"/>
        </w:rPr>
        <w:t>Euprymna scolopes</w:t>
      </w:r>
      <w:r w:rsidRPr="00E72BF2">
        <w:rPr>
          <w:rFonts w:ascii="Arial" w:hAnsi="Arial" w:cs="Arial"/>
          <w:noProof/>
          <w:sz w:val="18"/>
          <w:lang w:val="en-US"/>
        </w:rPr>
        <w:t xml:space="preserve">’, </w:t>
      </w:r>
      <w:r w:rsidRPr="00E72BF2">
        <w:rPr>
          <w:rFonts w:ascii="Arial" w:hAnsi="Arial" w:cs="Arial"/>
          <w:i/>
          <w:iCs/>
          <w:noProof/>
          <w:sz w:val="18"/>
          <w:lang w:val="en-US"/>
        </w:rPr>
        <w:t>Developmental &amp; Comparative Immunology</w:t>
      </w:r>
      <w:r w:rsidRPr="00E72BF2">
        <w:rPr>
          <w:rFonts w:ascii="Arial" w:hAnsi="Arial" w:cs="Arial"/>
          <w:noProof/>
          <w:sz w:val="18"/>
          <w:lang w:val="en-US"/>
        </w:rPr>
        <w:t>, 33(1), pp. 69–76. doi: 10.1016/j.dci.2008.07.013.</w:t>
      </w:r>
    </w:p>
    <w:p w14:paraId="6FD36271"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Chevée, V. </w:t>
      </w:r>
      <w:r w:rsidRPr="00E72BF2">
        <w:rPr>
          <w:rFonts w:ascii="Arial" w:hAnsi="Arial" w:cs="Arial"/>
          <w:i/>
          <w:iCs/>
          <w:noProof/>
          <w:sz w:val="18"/>
          <w:lang w:val="en-US"/>
        </w:rPr>
        <w:t>et al.</w:t>
      </w:r>
      <w:r w:rsidRPr="00E72BF2">
        <w:rPr>
          <w:rFonts w:ascii="Arial" w:hAnsi="Arial" w:cs="Arial"/>
          <w:noProof/>
          <w:sz w:val="18"/>
          <w:lang w:val="en-US"/>
        </w:rPr>
        <w:t xml:space="preserve"> (2019) ‘The peptidoglycan recognition protein PGRP-LE regulates the </w:t>
      </w:r>
      <w:r w:rsidRPr="00E72BF2">
        <w:rPr>
          <w:rFonts w:ascii="Arial" w:hAnsi="Arial" w:cs="Arial"/>
          <w:i/>
          <w:iCs/>
          <w:noProof/>
          <w:sz w:val="18"/>
          <w:lang w:val="en-US"/>
        </w:rPr>
        <w:t xml:space="preserve">Drosophila </w:t>
      </w:r>
      <w:r w:rsidRPr="00E72BF2">
        <w:rPr>
          <w:rFonts w:ascii="Arial" w:hAnsi="Arial" w:cs="Arial"/>
          <w:noProof/>
          <w:sz w:val="18"/>
          <w:lang w:val="en-US"/>
        </w:rPr>
        <w:t xml:space="preserve">immune response against the pathogen </w:t>
      </w:r>
      <w:r w:rsidRPr="00E72BF2">
        <w:rPr>
          <w:rFonts w:ascii="Arial" w:hAnsi="Arial" w:cs="Arial"/>
          <w:i/>
          <w:iCs/>
          <w:noProof/>
          <w:sz w:val="18"/>
          <w:lang w:val="en-US"/>
        </w:rPr>
        <w:t>Photorhabdus</w:t>
      </w:r>
      <w:r w:rsidRPr="00E72BF2">
        <w:rPr>
          <w:rFonts w:ascii="Arial" w:hAnsi="Arial" w:cs="Arial"/>
          <w:noProof/>
          <w:sz w:val="18"/>
          <w:lang w:val="en-US"/>
        </w:rPr>
        <w:t xml:space="preserve">’, </w:t>
      </w:r>
      <w:r w:rsidRPr="00E72BF2">
        <w:rPr>
          <w:rFonts w:ascii="Arial" w:hAnsi="Arial" w:cs="Arial"/>
          <w:i/>
          <w:iCs/>
          <w:noProof/>
          <w:sz w:val="18"/>
          <w:lang w:val="en-US"/>
        </w:rPr>
        <w:t>Microbial Pathogenesis</w:t>
      </w:r>
      <w:r w:rsidRPr="00E72BF2">
        <w:rPr>
          <w:rFonts w:ascii="Arial" w:hAnsi="Arial" w:cs="Arial"/>
          <w:noProof/>
          <w:sz w:val="18"/>
          <w:lang w:val="en-US"/>
        </w:rPr>
        <w:t>. Elsevier Ltd, 136(August), p. 103664. doi: 10.1016/j.micpath.2019.103664.</w:t>
      </w:r>
    </w:p>
    <w:p w14:paraId="1B74867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Choe, K. </w:t>
      </w:r>
      <w:r w:rsidRPr="00E72BF2">
        <w:rPr>
          <w:rFonts w:ascii="Arial" w:hAnsi="Arial" w:cs="Arial"/>
          <w:i/>
          <w:iCs/>
          <w:noProof/>
          <w:sz w:val="18"/>
          <w:lang w:val="en-US"/>
        </w:rPr>
        <w:t>et al.</w:t>
      </w:r>
      <w:r w:rsidRPr="00E72BF2">
        <w:rPr>
          <w:rFonts w:ascii="Arial" w:hAnsi="Arial" w:cs="Arial"/>
          <w:noProof/>
          <w:sz w:val="18"/>
          <w:lang w:val="en-US"/>
        </w:rPr>
        <w:t xml:space="preserve"> (2002) ‘Requirement for a Peptidoglycan Recognition Protein (PGRP) in Relish Activation and Antibacterial Immune Responses in Drosophila’, </w:t>
      </w:r>
      <w:r w:rsidRPr="00E72BF2">
        <w:rPr>
          <w:rFonts w:ascii="Arial" w:hAnsi="Arial" w:cs="Arial"/>
          <w:i/>
          <w:iCs/>
          <w:noProof/>
          <w:sz w:val="18"/>
          <w:lang w:val="en-US"/>
        </w:rPr>
        <w:t>Science</w:t>
      </w:r>
      <w:r w:rsidRPr="00E72BF2">
        <w:rPr>
          <w:rFonts w:ascii="Arial" w:hAnsi="Arial" w:cs="Arial"/>
          <w:noProof/>
          <w:sz w:val="18"/>
          <w:lang w:val="en-US"/>
        </w:rPr>
        <w:t>, 296(5566), pp. 359–362. doi: 10.1126/science.1070216.</w:t>
      </w:r>
    </w:p>
    <w:p w14:paraId="6057F938"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Davidson, C. R. </w:t>
      </w:r>
      <w:r w:rsidRPr="00E72BF2">
        <w:rPr>
          <w:rFonts w:ascii="Arial" w:hAnsi="Arial" w:cs="Arial"/>
          <w:i/>
          <w:iCs/>
          <w:noProof/>
          <w:sz w:val="18"/>
          <w:lang w:val="en-US"/>
        </w:rPr>
        <w:t>et al.</w:t>
      </w:r>
      <w:r w:rsidRPr="00E72BF2">
        <w:rPr>
          <w:rFonts w:ascii="Arial" w:hAnsi="Arial" w:cs="Arial"/>
          <w:noProof/>
          <w:sz w:val="18"/>
          <w:lang w:val="en-US"/>
        </w:rPr>
        <w:t xml:space="preserve"> (2008) ‘</w:t>
      </w:r>
      <w:r w:rsidRPr="00E72BF2">
        <w:rPr>
          <w:rFonts w:ascii="Arial" w:hAnsi="Arial" w:cs="Arial"/>
          <w:i/>
          <w:iCs/>
          <w:noProof/>
          <w:sz w:val="18"/>
          <w:lang w:val="en-US"/>
        </w:rPr>
        <w:t>Toll-like receptor</w:t>
      </w:r>
      <w:r w:rsidRPr="00E72BF2">
        <w:rPr>
          <w:rFonts w:ascii="Arial" w:hAnsi="Arial" w:cs="Arial"/>
          <w:noProof/>
          <w:sz w:val="18"/>
          <w:lang w:val="en-US"/>
        </w:rPr>
        <w:t xml:space="preserve"> genes (TLRs) from </w:t>
      </w:r>
      <w:r w:rsidRPr="00E72BF2">
        <w:rPr>
          <w:rFonts w:ascii="Arial" w:hAnsi="Arial" w:cs="Arial"/>
          <w:i/>
          <w:iCs/>
          <w:noProof/>
          <w:sz w:val="18"/>
          <w:lang w:val="en-US"/>
        </w:rPr>
        <w:t>Capitella capitata</w:t>
      </w:r>
      <w:r w:rsidRPr="00E72BF2">
        <w:rPr>
          <w:rFonts w:ascii="Arial" w:hAnsi="Arial" w:cs="Arial"/>
          <w:noProof/>
          <w:sz w:val="18"/>
          <w:lang w:val="en-US"/>
        </w:rPr>
        <w:t xml:space="preserve"> and </w:t>
      </w:r>
      <w:r w:rsidRPr="00E72BF2">
        <w:rPr>
          <w:rFonts w:ascii="Arial" w:hAnsi="Arial" w:cs="Arial"/>
          <w:i/>
          <w:iCs/>
          <w:noProof/>
          <w:sz w:val="18"/>
          <w:lang w:val="en-US"/>
        </w:rPr>
        <w:t xml:space="preserve">Helobdella robusta </w:t>
      </w:r>
      <w:r w:rsidRPr="00E72BF2">
        <w:rPr>
          <w:rFonts w:ascii="Arial" w:hAnsi="Arial" w:cs="Arial"/>
          <w:noProof/>
          <w:sz w:val="18"/>
          <w:lang w:val="en-US"/>
        </w:rPr>
        <w:t xml:space="preserve">(Annelida)’, </w:t>
      </w:r>
      <w:r w:rsidRPr="00E72BF2">
        <w:rPr>
          <w:rFonts w:ascii="Arial" w:hAnsi="Arial" w:cs="Arial"/>
          <w:i/>
          <w:iCs/>
          <w:noProof/>
          <w:sz w:val="18"/>
          <w:lang w:val="en-US"/>
        </w:rPr>
        <w:t>Developmental &amp; Comparative Immunology</w:t>
      </w:r>
      <w:r w:rsidRPr="00E72BF2">
        <w:rPr>
          <w:rFonts w:ascii="Arial" w:hAnsi="Arial" w:cs="Arial"/>
          <w:noProof/>
          <w:sz w:val="18"/>
          <w:lang w:val="en-US"/>
        </w:rPr>
        <w:t>, 32(6), pp. 608–612. doi: 10.1016/j.dci.2007.11.004.</w:t>
      </w:r>
    </w:p>
    <w:p w14:paraId="2A00BFB3"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Denoeud, F. </w:t>
      </w:r>
      <w:r w:rsidRPr="00E72BF2">
        <w:rPr>
          <w:rFonts w:ascii="Arial" w:hAnsi="Arial" w:cs="Arial"/>
          <w:i/>
          <w:iCs/>
          <w:noProof/>
          <w:sz w:val="18"/>
          <w:lang w:val="en-US"/>
        </w:rPr>
        <w:t>et al.</w:t>
      </w:r>
      <w:r w:rsidRPr="00E72BF2">
        <w:rPr>
          <w:rFonts w:ascii="Arial" w:hAnsi="Arial" w:cs="Arial"/>
          <w:noProof/>
          <w:sz w:val="18"/>
          <w:lang w:val="en-US"/>
        </w:rPr>
        <w:t xml:space="preserve"> (2010) ‘Plasticity of animal genome architecture unmasked by rapid evolution of a pelagic tunicate’, </w:t>
      </w:r>
      <w:r w:rsidRPr="00E72BF2">
        <w:rPr>
          <w:rFonts w:ascii="Arial" w:hAnsi="Arial" w:cs="Arial"/>
          <w:i/>
          <w:iCs/>
          <w:noProof/>
          <w:sz w:val="18"/>
          <w:lang w:val="en-US"/>
        </w:rPr>
        <w:t>Science</w:t>
      </w:r>
      <w:r w:rsidRPr="00E72BF2">
        <w:rPr>
          <w:rFonts w:ascii="Arial" w:hAnsi="Arial" w:cs="Arial"/>
          <w:noProof/>
          <w:sz w:val="18"/>
          <w:lang w:val="en-US"/>
        </w:rPr>
        <w:t>, 330(6009), pp. 1381–1385. doi: 10.1126/science.1194167.</w:t>
      </w:r>
    </w:p>
    <w:p w14:paraId="79C6EE2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Dishaw, L. J., Smith, S. L. and Bigger, C. H. (2005) ‘Characterization of a C3-like cDNA in a coral: phylogenetic implications’, </w:t>
      </w:r>
      <w:r w:rsidRPr="00E72BF2">
        <w:rPr>
          <w:rFonts w:ascii="Arial" w:hAnsi="Arial" w:cs="Arial"/>
          <w:i/>
          <w:iCs/>
          <w:noProof/>
          <w:sz w:val="18"/>
          <w:lang w:val="en-US"/>
        </w:rPr>
        <w:t>Immunogenetics</w:t>
      </w:r>
      <w:r w:rsidRPr="00E72BF2">
        <w:rPr>
          <w:rFonts w:ascii="Arial" w:hAnsi="Arial" w:cs="Arial"/>
          <w:noProof/>
          <w:sz w:val="18"/>
          <w:lang w:val="en-US"/>
        </w:rPr>
        <w:t>, 57(7), pp. 535–548. doi: 10.1007/s00251-005-0005-1.</w:t>
      </w:r>
    </w:p>
    <w:p w14:paraId="5FAB038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Dushay, M. S., Asling, B. and Hultmark, D. (1996) ‘Origins of immunity: Relish, a compound &lt;i&gt;Rel&lt;i/&gt;-like gene in the antibacterial defense of </w:t>
      </w:r>
      <w:r w:rsidRPr="00E72BF2">
        <w:rPr>
          <w:rFonts w:ascii="Arial" w:hAnsi="Arial" w:cs="Arial"/>
          <w:i/>
          <w:iCs/>
          <w:noProof/>
          <w:sz w:val="18"/>
          <w:lang w:val="en-US"/>
        </w:rPr>
        <w:t>Drosophila</w:t>
      </w:r>
      <w:r w:rsidRPr="00E72BF2">
        <w:rPr>
          <w:rFonts w:ascii="Arial" w:hAnsi="Arial" w:cs="Arial"/>
          <w:noProof/>
          <w:sz w:val="18"/>
          <w:lang w:val="en-US"/>
        </w:rPr>
        <w:t xml:space="preserve">.’,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93(19), pp. 10343–10347. doi: 10.1073/pnas.93.19.10343.</w:t>
      </w:r>
    </w:p>
    <w:p w14:paraId="3EB2C561"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Dziarski, R. and Gupta, D. (2006) ‘The peptidoglycan recognition proteins (PGRPs)’, </w:t>
      </w:r>
      <w:r w:rsidRPr="00E72BF2">
        <w:rPr>
          <w:rFonts w:ascii="Arial" w:hAnsi="Arial" w:cs="Arial"/>
          <w:i/>
          <w:iCs/>
          <w:noProof/>
          <w:sz w:val="18"/>
          <w:lang w:val="en-US"/>
        </w:rPr>
        <w:t>Genome Biology</w:t>
      </w:r>
      <w:r w:rsidRPr="00E72BF2">
        <w:rPr>
          <w:rFonts w:ascii="Arial" w:hAnsi="Arial" w:cs="Arial"/>
          <w:noProof/>
          <w:sz w:val="18"/>
          <w:lang w:val="en-US"/>
        </w:rPr>
        <w:t>, 7(8), pp. 1–13. doi: 10.1186/gb-2006-7-8-232.</w:t>
      </w:r>
    </w:p>
    <w:p w14:paraId="6B4AFFB0"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Forsthoefel, D. J. </w:t>
      </w:r>
      <w:r w:rsidRPr="00E72BF2">
        <w:rPr>
          <w:rFonts w:ascii="Arial" w:hAnsi="Arial" w:cs="Arial"/>
          <w:i/>
          <w:iCs/>
          <w:noProof/>
          <w:sz w:val="18"/>
          <w:lang w:val="en-US"/>
        </w:rPr>
        <w:t>et al.</w:t>
      </w:r>
      <w:r w:rsidRPr="00E72BF2">
        <w:rPr>
          <w:rFonts w:ascii="Arial" w:hAnsi="Arial" w:cs="Arial"/>
          <w:noProof/>
          <w:sz w:val="18"/>
          <w:lang w:val="en-US"/>
        </w:rPr>
        <w:t xml:space="preserve"> (2012) ‘An RNAi Screen Reveals Intestinal Regulators of Branching Morphogenesis, Differentiation, and Stem Cell Proliferation in Planarians’, </w:t>
      </w:r>
      <w:r w:rsidRPr="00E72BF2">
        <w:rPr>
          <w:rFonts w:ascii="Arial" w:hAnsi="Arial" w:cs="Arial"/>
          <w:i/>
          <w:iCs/>
          <w:noProof/>
          <w:sz w:val="18"/>
          <w:lang w:val="en-US"/>
        </w:rPr>
        <w:t>Developmental Cell</w:t>
      </w:r>
      <w:r w:rsidRPr="00E72BF2">
        <w:rPr>
          <w:rFonts w:ascii="Arial" w:hAnsi="Arial" w:cs="Arial"/>
          <w:noProof/>
          <w:sz w:val="18"/>
          <w:lang w:val="en-US"/>
        </w:rPr>
        <w:t>, 23(4), pp. 691–704. doi: 10.1016/j.devcel.2012.09.008.</w:t>
      </w:r>
    </w:p>
    <w:p w14:paraId="374000E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Fujito, N. T., Sugimoto, S. and Nonaka, M. (2010) ‘Evolution of thioester-containing proteins revealed by cloning and characterization of their genes from a cnidarian sea anemone, </w:t>
      </w:r>
      <w:r w:rsidRPr="00E72BF2">
        <w:rPr>
          <w:rFonts w:ascii="Arial" w:hAnsi="Arial" w:cs="Arial"/>
          <w:i/>
          <w:iCs/>
          <w:noProof/>
          <w:sz w:val="18"/>
          <w:lang w:val="en-US"/>
        </w:rPr>
        <w:t>Haliplanella lineate</w:t>
      </w:r>
      <w:r w:rsidRPr="00E72BF2">
        <w:rPr>
          <w:rFonts w:ascii="Arial" w:hAnsi="Arial" w:cs="Arial"/>
          <w:noProof/>
          <w:sz w:val="18"/>
          <w:lang w:val="en-US"/>
        </w:rPr>
        <w:t xml:space="preserve">’, </w:t>
      </w:r>
      <w:r w:rsidRPr="00E72BF2">
        <w:rPr>
          <w:rFonts w:ascii="Arial" w:hAnsi="Arial" w:cs="Arial"/>
          <w:i/>
          <w:iCs/>
          <w:noProof/>
          <w:sz w:val="18"/>
          <w:lang w:val="en-US"/>
        </w:rPr>
        <w:t>Developmental &amp; Comparative Immunology</w:t>
      </w:r>
      <w:r w:rsidRPr="00E72BF2">
        <w:rPr>
          <w:rFonts w:ascii="Arial" w:hAnsi="Arial" w:cs="Arial"/>
          <w:noProof/>
          <w:sz w:val="18"/>
          <w:lang w:val="en-US"/>
        </w:rPr>
        <w:t>. Elsevier Ltd, 34(7), pp. 775–784. doi: 10.1016/j.dci.2010.02.011.</w:t>
      </w:r>
    </w:p>
    <w:p w14:paraId="2D6F11B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Gauthier, M. E. A., Du Pasquier, L. and Degnan, B. M. (2010) ‘The genome of the sponge </w:t>
      </w:r>
      <w:r w:rsidRPr="00E72BF2">
        <w:rPr>
          <w:rFonts w:ascii="Arial" w:hAnsi="Arial" w:cs="Arial"/>
          <w:i/>
          <w:iCs/>
          <w:noProof/>
          <w:sz w:val="18"/>
          <w:lang w:val="en-US"/>
        </w:rPr>
        <w:t>Amphimedon queenslandica</w:t>
      </w:r>
      <w:r w:rsidRPr="00E72BF2">
        <w:rPr>
          <w:rFonts w:ascii="Arial" w:hAnsi="Arial" w:cs="Arial"/>
          <w:noProof/>
          <w:sz w:val="18"/>
          <w:lang w:val="en-US"/>
        </w:rPr>
        <w:t xml:space="preserve"> provides new perspectives into the origin of Toll-like and interleukin 1 receptor pathways’, </w:t>
      </w:r>
      <w:r w:rsidRPr="00E72BF2">
        <w:rPr>
          <w:rFonts w:ascii="Arial" w:hAnsi="Arial" w:cs="Arial"/>
          <w:i/>
          <w:iCs/>
          <w:noProof/>
          <w:sz w:val="18"/>
          <w:lang w:val="en-US"/>
        </w:rPr>
        <w:t>Evolution &amp; Development</w:t>
      </w:r>
      <w:r w:rsidRPr="00E72BF2">
        <w:rPr>
          <w:rFonts w:ascii="Arial" w:hAnsi="Arial" w:cs="Arial"/>
          <w:noProof/>
          <w:sz w:val="18"/>
          <w:lang w:val="en-US"/>
        </w:rPr>
        <w:t>, 12(5), pp. 519–533. doi: 10.1111/j.1525-142X.2010.00436.x.</w:t>
      </w:r>
    </w:p>
    <w:p w14:paraId="19070F4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Gerdol, M. </w:t>
      </w:r>
      <w:r w:rsidRPr="00E72BF2">
        <w:rPr>
          <w:rFonts w:ascii="Arial" w:hAnsi="Arial" w:cs="Arial"/>
          <w:i/>
          <w:iCs/>
          <w:noProof/>
          <w:sz w:val="18"/>
          <w:lang w:val="en-US"/>
        </w:rPr>
        <w:t>et al.</w:t>
      </w:r>
      <w:r w:rsidRPr="00E72BF2">
        <w:rPr>
          <w:rFonts w:ascii="Arial" w:hAnsi="Arial" w:cs="Arial"/>
          <w:noProof/>
          <w:sz w:val="18"/>
          <w:lang w:val="en-US"/>
        </w:rPr>
        <w:t xml:space="preserve"> (2018) ‘Genetic and molecular basis of the immune system in the brachiopod </w:t>
      </w:r>
      <w:r w:rsidRPr="00E72BF2">
        <w:rPr>
          <w:rFonts w:ascii="Arial" w:hAnsi="Arial" w:cs="Arial"/>
          <w:i/>
          <w:iCs/>
          <w:noProof/>
          <w:sz w:val="18"/>
          <w:lang w:val="en-US"/>
        </w:rPr>
        <w:t>Lingula anatina</w:t>
      </w:r>
      <w:r w:rsidRPr="00E72BF2">
        <w:rPr>
          <w:rFonts w:ascii="Arial" w:hAnsi="Arial" w:cs="Arial"/>
          <w:noProof/>
          <w:sz w:val="18"/>
          <w:lang w:val="en-US"/>
        </w:rPr>
        <w:t xml:space="preserve">’, </w:t>
      </w:r>
      <w:r w:rsidRPr="00E72BF2">
        <w:rPr>
          <w:rFonts w:ascii="Arial" w:hAnsi="Arial" w:cs="Arial"/>
          <w:i/>
          <w:iCs/>
          <w:noProof/>
          <w:sz w:val="18"/>
          <w:lang w:val="en-US"/>
        </w:rPr>
        <w:lastRenderedPageBreak/>
        <w:t>Developmental &amp; Comparative Immunology</w:t>
      </w:r>
      <w:r w:rsidRPr="00E72BF2">
        <w:rPr>
          <w:rFonts w:ascii="Arial" w:hAnsi="Arial" w:cs="Arial"/>
          <w:noProof/>
          <w:sz w:val="18"/>
          <w:lang w:val="en-US"/>
        </w:rPr>
        <w:t>, 82, pp. 7–30. doi: 10.1016/j.dci.2017.12.021.</w:t>
      </w:r>
    </w:p>
    <w:p w14:paraId="3EE26F1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Gerdol, M. and Venier, P. (2015) ‘An updated molecular basis for mussel immunity’, </w:t>
      </w:r>
      <w:r w:rsidRPr="00E72BF2">
        <w:rPr>
          <w:rFonts w:ascii="Arial" w:hAnsi="Arial" w:cs="Arial"/>
          <w:i/>
          <w:iCs/>
          <w:noProof/>
          <w:sz w:val="18"/>
          <w:lang w:val="en-US"/>
        </w:rPr>
        <w:t>Fish &amp; Shellfish Immunology</w:t>
      </w:r>
      <w:r w:rsidRPr="00E72BF2">
        <w:rPr>
          <w:rFonts w:ascii="Arial" w:hAnsi="Arial" w:cs="Arial"/>
          <w:noProof/>
          <w:sz w:val="18"/>
          <w:lang w:val="en-US"/>
        </w:rPr>
        <w:t>. Elsevier Ltd, 46(1), pp. 17–38. doi: 10.1016/j.fsi.2015.02.013.</w:t>
      </w:r>
    </w:p>
    <w:p w14:paraId="0FCD6E39"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Girija, V. </w:t>
      </w:r>
      <w:r w:rsidRPr="00E72BF2">
        <w:rPr>
          <w:rFonts w:ascii="Arial" w:hAnsi="Arial" w:cs="Arial"/>
          <w:i/>
          <w:iCs/>
          <w:noProof/>
          <w:sz w:val="18"/>
          <w:lang w:val="en-US"/>
        </w:rPr>
        <w:t>et al.</w:t>
      </w:r>
      <w:r w:rsidRPr="00E72BF2">
        <w:rPr>
          <w:rFonts w:ascii="Arial" w:hAnsi="Arial" w:cs="Arial"/>
          <w:noProof/>
          <w:sz w:val="18"/>
          <w:lang w:val="en-US"/>
        </w:rPr>
        <w:t xml:space="preserve"> (2013) ‘Structural basis of the C1q/C1s interaction and its central role in assembly of the C1 complex of complement activation’,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110(34), pp. 13916–13920. doi: 10.1073/pnas.1615704113.</w:t>
      </w:r>
    </w:p>
    <w:p w14:paraId="570A4D82"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Gorbushin, A. M. (2018) ‘Immune repertoire in the transcriptome of </w:t>
      </w:r>
      <w:r w:rsidRPr="00E72BF2">
        <w:rPr>
          <w:rFonts w:ascii="Arial" w:hAnsi="Arial" w:cs="Arial"/>
          <w:i/>
          <w:iCs/>
          <w:noProof/>
          <w:sz w:val="18"/>
          <w:lang w:val="en-US"/>
        </w:rPr>
        <w:t>Littorina littorea</w:t>
      </w:r>
      <w:r w:rsidRPr="00E72BF2">
        <w:rPr>
          <w:rFonts w:ascii="Arial" w:hAnsi="Arial" w:cs="Arial"/>
          <w:noProof/>
          <w:sz w:val="18"/>
          <w:lang w:val="en-US"/>
        </w:rPr>
        <w:t xml:space="preserve"> reveals new trends in lophotrochozoan proto-complement evolution’, </w:t>
      </w:r>
      <w:r w:rsidRPr="00E72BF2">
        <w:rPr>
          <w:rFonts w:ascii="Arial" w:hAnsi="Arial" w:cs="Arial"/>
          <w:i/>
          <w:iCs/>
          <w:noProof/>
          <w:sz w:val="18"/>
          <w:lang w:val="en-US"/>
        </w:rPr>
        <w:t>Developmental &amp; Comparative Immunology</w:t>
      </w:r>
      <w:r w:rsidRPr="00E72BF2">
        <w:rPr>
          <w:rFonts w:ascii="Arial" w:hAnsi="Arial" w:cs="Arial"/>
          <w:noProof/>
          <w:sz w:val="18"/>
          <w:lang w:val="en-US"/>
        </w:rPr>
        <w:t>. Elsevier Ltd, 84, pp. 250–263. doi: 10.1016/j.dci.2018.02.018.</w:t>
      </w:r>
    </w:p>
    <w:p w14:paraId="414C5509"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Gorbushin, A. M. (2019) ‘Derivatives of the lectin complement pathway in Lophotrochozoa’, </w:t>
      </w:r>
      <w:r w:rsidRPr="00E72BF2">
        <w:rPr>
          <w:rFonts w:ascii="Arial" w:hAnsi="Arial" w:cs="Arial"/>
          <w:i/>
          <w:iCs/>
          <w:noProof/>
          <w:sz w:val="18"/>
          <w:lang w:val="en-US"/>
        </w:rPr>
        <w:t>Developmental &amp; Comparative Immunology</w:t>
      </w:r>
      <w:r w:rsidRPr="00E72BF2">
        <w:rPr>
          <w:rFonts w:ascii="Arial" w:hAnsi="Arial" w:cs="Arial"/>
          <w:noProof/>
          <w:sz w:val="18"/>
          <w:lang w:val="en-US"/>
        </w:rPr>
        <w:t>. Elsevier, 94(November 2018), pp. 35–58. doi: 10.1016/j.dci.2019.01.010.</w:t>
      </w:r>
    </w:p>
    <w:p w14:paraId="286707D2"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Gottar, M. </w:t>
      </w:r>
      <w:r w:rsidRPr="00E72BF2">
        <w:rPr>
          <w:rFonts w:ascii="Arial" w:hAnsi="Arial" w:cs="Arial"/>
          <w:i/>
          <w:iCs/>
          <w:noProof/>
          <w:sz w:val="18"/>
          <w:lang w:val="en-US"/>
        </w:rPr>
        <w:t>et al.</w:t>
      </w:r>
      <w:r w:rsidRPr="00E72BF2">
        <w:rPr>
          <w:rFonts w:ascii="Arial" w:hAnsi="Arial" w:cs="Arial"/>
          <w:noProof/>
          <w:sz w:val="18"/>
          <w:lang w:val="en-US"/>
        </w:rPr>
        <w:t xml:space="preserve"> (2002) ‘The </w:t>
      </w:r>
      <w:r w:rsidRPr="00E72BF2">
        <w:rPr>
          <w:rFonts w:ascii="Arial" w:hAnsi="Arial" w:cs="Arial"/>
          <w:i/>
          <w:iCs/>
          <w:noProof/>
          <w:sz w:val="18"/>
          <w:lang w:val="en-US"/>
        </w:rPr>
        <w:t>Drosophila</w:t>
      </w:r>
      <w:r w:rsidRPr="00E72BF2">
        <w:rPr>
          <w:rFonts w:ascii="Arial" w:hAnsi="Arial" w:cs="Arial"/>
          <w:noProof/>
          <w:sz w:val="18"/>
          <w:lang w:val="en-US"/>
        </w:rPr>
        <w:t xml:space="preserve"> immune response against Gram-negative bacteria is mediated by a peptidoglycan recognition protein’, </w:t>
      </w:r>
      <w:r w:rsidRPr="00E72BF2">
        <w:rPr>
          <w:rFonts w:ascii="Arial" w:hAnsi="Arial" w:cs="Arial"/>
          <w:i/>
          <w:iCs/>
          <w:noProof/>
          <w:sz w:val="18"/>
          <w:lang w:val="en-US"/>
        </w:rPr>
        <w:t>Nature</w:t>
      </w:r>
      <w:r w:rsidRPr="00E72BF2">
        <w:rPr>
          <w:rFonts w:ascii="Arial" w:hAnsi="Arial" w:cs="Arial"/>
          <w:noProof/>
          <w:sz w:val="18"/>
          <w:lang w:val="en-US"/>
        </w:rPr>
        <w:t>, 416(6881), pp. 640–644. doi: 10.1038/nature734.</w:t>
      </w:r>
    </w:p>
    <w:p w14:paraId="13A3DD0E"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Halanych, K. M. and Kocot, K. M. (2014) ‘Repurposed transcriptomic data facilitate discovery of innate immunity </w:t>
      </w:r>
      <w:r w:rsidRPr="00E72BF2">
        <w:rPr>
          <w:rFonts w:ascii="Arial" w:hAnsi="Arial" w:cs="Arial"/>
          <w:i/>
          <w:iCs/>
          <w:noProof/>
          <w:sz w:val="18"/>
          <w:lang w:val="en-US"/>
        </w:rPr>
        <w:t>Toll-Like Receptor (TLR)</w:t>
      </w:r>
      <w:r w:rsidRPr="00E72BF2">
        <w:rPr>
          <w:rFonts w:ascii="Arial" w:hAnsi="Arial" w:cs="Arial"/>
          <w:noProof/>
          <w:sz w:val="18"/>
          <w:lang w:val="en-US"/>
        </w:rPr>
        <w:t xml:space="preserve"> genes across Lophotrochozoa’, </w:t>
      </w:r>
      <w:r w:rsidRPr="00E72BF2">
        <w:rPr>
          <w:rFonts w:ascii="Arial" w:hAnsi="Arial" w:cs="Arial"/>
          <w:i/>
          <w:iCs/>
          <w:noProof/>
          <w:sz w:val="18"/>
          <w:lang w:val="en-US"/>
        </w:rPr>
        <w:t>The Biological Bulletin</w:t>
      </w:r>
      <w:r w:rsidRPr="00E72BF2">
        <w:rPr>
          <w:rFonts w:ascii="Arial" w:hAnsi="Arial" w:cs="Arial"/>
          <w:noProof/>
          <w:sz w:val="18"/>
          <w:lang w:val="en-US"/>
        </w:rPr>
        <w:t>, 227(2), pp. 201–209. doi: 10.1086/BBLv227n2p201.</w:t>
      </w:r>
    </w:p>
    <w:p w14:paraId="10642CC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Han, K. </w:t>
      </w:r>
      <w:r w:rsidRPr="00E72BF2">
        <w:rPr>
          <w:rFonts w:ascii="Arial" w:hAnsi="Arial" w:cs="Arial"/>
          <w:i/>
          <w:iCs/>
          <w:noProof/>
          <w:sz w:val="18"/>
          <w:lang w:val="en-US"/>
        </w:rPr>
        <w:t>et al.</w:t>
      </w:r>
      <w:r w:rsidRPr="00E72BF2">
        <w:rPr>
          <w:rFonts w:ascii="Arial" w:hAnsi="Arial" w:cs="Arial"/>
          <w:noProof/>
          <w:sz w:val="18"/>
          <w:lang w:val="en-US"/>
        </w:rPr>
        <w:t xml:space="preserve"> (2018) ‘Novel fibrinogen-related protein with single FReD contributes to the innate immunity of &lt;i&gt;Macrobrachium rosenbergii&lt;/i &gt;’, </w:t>
      </w:r>
      <w:r w:rsidRPr="00E72BF2">
        <w:rPr>
          <w:rFonts w:ascii="Arial" w:hAnsi="Arial" w:cs="Arial"/>
          <w:i/>
          <w:iCs/>
          <w:noProof/>
          <w:sz w:val="18"/>
          <w:lang w:val="en-US"/>
        </w:rPr>
        <w:t>Fish &amp; Shellfish Immunology</w:t>
      </w:r>
      <w:r w:rsidRPr="00E72BF2">
        <w:rPr>
          <w:rFonts w:ascii="Arial" w:hAnsi="Arial" w:cs="Arial"/>
          <w:noProof/>
          <w:sz w:val="18"/>
          <w:lang w:val="en-US"/>
        </w:rPr>
        <w:t>. Elsevier, 82(June), pp. 350–360. doi: 10.1016/j.fsi.2018.08.036.</w:t>
      </w:r>
    </w:p>
    <w:p w14:paraId="6E171EE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He, Y. </w:t>
      </w:r>
      <w:r w:rsidRPr="00E72BF2">
        <w:rPr>
          <w:rFonts w:ascii="Arial" w:hAnsi="Arial" w:cs="Arial"/>
          <w:i/>
          <w:iCs/>
          <w:noProof/>
          <w:sz w:val="18"/>
          <w:lang w:val="en-US"/>
        </w:rPr>
        <w:t>et al.</w:t>
      </w:r>
      <w:r w:rsidRPr="00E72BF2">
        <w:rPr>
          <w:rFonts w:ascii="Arial" w:hAnsi="Arial" w:cs="Arial"/>
          <w:noProof/>
          <w:sz w:val="18"/>
          <w:lang w:val="en-US"/>
        </w:rPr>
        <w:t xml:space="preserve"> (2008) ‘Molecular and immunochemical demonstration of a novel member of Bf/C2 homolog in amphioxus </w:t>
      </w:r>
      <w:r w:rsidRPr="00E72BF2">
        <w:rPr>
          <w:rFonts w:ascii="Arial" w:hAnsi="Arial" w:cs="Arial"/>
          <w:i/>
          <w:iCs/>
          <w:noProof/>
          <w:sz w:val="18"/>
          <w:lang w:val="en-US"/>
        </w:rPr>
        <w:t>Branchiostoma belcheri</w:t>
      </w:r>
      <w:r w:rsidRPr="00E72BF2">
        <w:rPr>
          <w:rFonts w:ascii="Arial" w:hAnsi="Arial" w:cs="Arial"/>
          <w:noProof/>
          <w:sz w:val="18"/>
          <w:lang w:val="en-US"/>
        </w:rPr>
        <w:t xml:space="preserve">: Implications for involvement of hepatic cecum in acute phase response’, </w:t>
      </w:r>
      <w:r w:rsidRPr="00E72BF2">
        <w:rPr>
          <w:rFonts w:ascii="Arial" w:hAnsi="Arial" w:cs="Arial"/>
          <w:i/>
          <w:iCs/>
          <w:noProof/>
          <w:sz w:val="18"/>
          <w:lang w:val="en-US"/>
        </w:rPr>
        <w:t>Fish &amp; Shellfish Immunology</w:t>
      </w:r>
      <w:r w:rsidRPr="00E72BF2">
        <w:rPr>
          <w:rFonts w:ascii="Arial" w:hAnsi="Arial" w:cs="Arial"/>
          <w:noProof/>
          <w:sz w:val="18"/>
          <w:lang w:val="en-US"/>
        </w:rPr>
        <w:t>, 24(6), pp. 768–778. doi: 10.1016/j.fsi.2008.03.004.</w:t>
      </w:r>
    </w:p>
    <w:p w14:paraId="0809050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Helmy, K. Y. </w:t>
      </w:r>
      <w:r w:rsidRPr="00E72BF2">
        <w:rPr>
          <w:rFonts w:ascii="Arial" w:hAnsi="Arial" w:cs="Arial"/>
          <w:i/>
          <w:iCs/>
          <w:noProof/>
          <w:sz w:val="18"/>
          <w:lang w:val="en-US"/>
        </w:rPr>
        <w:t>et al.</w:t>
      </w:r>
      <w:r w:rsidRPr="00E72BF2">
        <w:rPr>
          <w:rFonts w:ascii="Arial" w:hAnsi="Arial" w:cs="Arial"/>
          <w:noProof/>
          <w:sz w:val="18"/>
          <w:lang w:val="en-US"/>
        </w:rPr>
        <w:t xml:space="preserve"> (2006) ‘CRIg: A macrophage complement receptor required for phagocytosis of circulating pathogens’, </w:t>
      </w:r>
      <w:r w:rsidRPr="00E72BF2">
        <w:rPr>
          <w:rFonts w:ascii="Arial" w:hAnsi="Arial" w:cs="Arial"/>
          <w:i/>
          <w:iCs/>
          <w:noProof/>
          <w:sz w:val="18"/>
          <w:lang w:val="en-US"/>
        </w:rPr>
        <w:t>Cell</w:t>
      </w:r>
      <w:r w:rsidRPr="00E72BF2">
        <w:rPr>
          <w:rFonts w:ascii="Arial" w:hAnsi="Arial" w:cs="Arial"/>
          <w:noProof/>
          <w:sz w:val="18"/>
          <w:lang w:val="en-US"/>
        </w:rPr>
        <w:t>, 124(5), pp. 915–927. doi: 10.1016/j.cell.2005.12.039.</w:t>
      </w:r>
    </w:p>
    <w:p w14:paraId="5D134658"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Hibino, T. </w:t>
      </w:r>
      <w:r w:rsidRPr="00E72BF2">
        <w:rPr>
          <w:rFonts w:ascii="Arial" w:hAnsi="Arial" w:cs="Arial"/>
          <w:i/>
          <w:iCs/>
          <w:noProof/>
          <w:sz w:val="18"/>
          <w:lang w:val="en-US"/>
        </w:rPr>
        <w:t>et al.</w:t>
      </w:r>
      <w:r w:rsidRPr="00E72BF2">
        <w:rPr>
          <w:rFonts w:ascii="Arial" w:hAnsi="Arial" w:cs="Arial"/>
          <w:noProof/>
          <w:sz w:val="18"/>
          <w:lang w:val="en-US"/>
        </w:rPr>
        <w:t xml:space="preserve"> (2006) ‘The immune gene repertoire encoded in the purple sea urchin genome’, </w:t>
      </w:r>
      <w:r w:rsidRPr="00E72BF2">
        <w:rPr>
          <w:rFonts w:ascii="Arial" w:hAnsi="Arial" w:cs="Arial"/>
          <w:i/>
          <w:iCs/>
          <w:noProof/>
          <w:sz w:val="18"/>
          <w:lang w:val="en-US"/>
        </w:rPr>
        <w:t>Developmental Biology</w:t>
      </w:r>
      <w:r w:rsidRPr="00E72BF2">
        <w:rPr>
          <w:rFonts w:ascii="Arial" w:hAnsi="Arial" w:cs="Arial"/>
          <w:noProof/>
          <w:sz w:val="18"/>
          <w:lang w:val="en-US"/>
        </w:rPr>
        <w:t>, 300(1), pp. 349–365. doi: 10.1016/j.ydbio.2006.08.065.</w:t>
      </w:r>
    </w:p>
    <w:p w14:paraId="477E858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Hoffmann, J. A. and Reichhart, J.-M. (2002) ‘</w:t>
      </w:r>
      <w:r w:rsidRPr="00E72BF2">
        <w:rPr>
          <w:rFonts w:ascii="Arial" w:hAnsi="Arial" w:cs="Arial"/>
          <w:i/>
          <w:iCs/>
          <w:noProof/>
          <w:sz w:val="18"/>
          <w:lang w:val="en-US"/>
        </w:rPr>
        <w:t>Drosophila</w:t>
      </w:r>
      <w:r w:rsidRPr="00E72BF2">
        <w:rPr>
          <w:rFonts w:ascii="Arial" w:hAnsi="Arial" w:cs="Arial"/>
          <w:noProof/>
          <w:sz w:val="18"/>
          <w:lang w:val="en-US"/>
        </w:rPr>
        <w:t xml:space="preserve"> innate immunity: an evolutionary perspective’, </w:t>
      </w:r>
      <w:r w:rsidRPr="00E72BF2">
        <w:rPr>
          <w:rFonts w:ascii="Arial" w:hAnsi="Arial" w:cs="Arial"/>
          <w:i/>
          <w:iCs/>
          <w:noProof/>
          <w:sz w:val="18"/>
          <w:lang w:val="en-US"/>
        </w:rPr>
        <w:t>Nature Immunology</w:t>
      </w:r>
      <w:r w:rsidRPr="00E72BF2">
        <w:rPr>
          <w:rFonts w:ascii="Arial" w:hAnsi="Arial" w:cs="Arial"/>
          <w:noProof/>
          <w:sz w:val="18"/>
          <w:lang w:val="en-US"/>
        </w:rPr>
        <w:t>, 3(2), pp. 121–126. doi: 10.1038/ni0202-121.</w:t>
      </w:r>
    </w:p>
    <w:p w14:paraId="5BD51A3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Hu, G. </w:t>
      </w:r>
      <w:r w:rsidRPr="00E72BF2">
        <w:rPr>
          <w:rFonts w:ascii="Arial" w:hAnsi="Arial" w:cs="Arial"/>
          <w:i/>
          <w:iCs/>
          <w:noProof/>
          <w:sz w:val="18"/>
          <w:lang w:val="en-US"/>
        </w:rPr>
        <w:t>et al.</w:t>
      </w:r>
      <w:r w:rsidRPr="00E72BF2">
        <w:rPr>
          <w:rFonts w:ascii="Arial" w:hAnsi="Arial" w:cs="Arial"/>
          <w:noProof/>
          <w:sz w:val="18"/>
          <w:lang w:val="en-US"/>
        </w:rPr>
        <w:t xml:space="preserve"> (2019) ‘Molecular cloning and characterization of FADD from the manila clam </w:t>
      </w:r>
      <w:r w:rsidRPr="00E72BF2">
        <w:rPr>
          <w:rFonts w:ascii="Arial" w:hAnsi="Arial" w:cs="Arial"/>
          <w:i/>
          <w:iCs/>
          <w:noProof/>
          <w:sz w:val="18"/>
          <w:lang w:val="en-US"/>
        </w:rPr>
        <w:t>Ruditapes philippinarum</w:t>
      </w:r>
      <w:r w:rsidRPr="00E72BF2">
        <w:rPr>
          <w:rFonts w:ascii="Arial" w:hAnsi="Arial" w:cs="Arial"/>
          <w:noProof/>
          <w:sz w:val="18"/>
          <w:lang w:val="en-US"/>
        </w:rPr>
        <w:t xml:space="preserve">’, </w:t>
      </w:r>
      <w:r w:rsidRPr="00E72BF2">
        <w:rPr>
          <w:rFonts w:ascii="Arial" w:hAnsi="Arial" w:cs="Arial"/>
          <w:i/>
          <w:iCs/>
          <w:noProof/>
          <w:sz w:val="18"/>
          <w:lang w:val="en-US"/>
        </w:rPr>
        <w:t>Fish &amp; Shellfish Immunology</w:t>
      </w:r>
      <w:r w:rsidRPr="00E72BF2">
        <w:rPr>
          <w:rFonts w:ascii="Arial" w:hAnsi="Arial" w:cs="Arial"/>
          <w:noProof/>
          <w:sz w:val="18"/>
          <w:lang w:val="en-US"/>
        </w:rPr>
        <w:t>. Elsevier, 88(March), pp. 556–566. doi: 10.1016/j.fsi.2019.03.033.</w:t>
      </w:r>
    </w:p>
    <w:p w14:paraId="195B236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Hu, S. and Yang, X. (2000) ‘dFADD, a novel death domain-containing adapter protein for the </w:t>
      </w:r>
      <w:r w:rsidRPr="00E72BF2">
        <w:rPr>
          <w:rFonts w:ascii="Arial" w:hAnsi="Arial" w:cs="Arial"/>
          <w:i/>
          <w:iCs/>
          <w:noProof/>
          <w:sz w:val="18"/>
          <w:lang w:val="en-US"/>
        </w:rPr>
        <w:t>Drosophila</w:t>
      </w:r>
      <w:r w:rsidRPr="00E72BF2">
        <w:rPr>
          <w:rFonts w:ascii="Arial" w:hAnsi="Arial" w:cs="Arial"/>
          <w:noProof/>
          <w:sz w:val="18"/>
          <w:lang w:val="en-US"/>
        </w:rPr>
        <w:t xml:space="preserve"> caspase DREDD’, </w:t>
      </w:r>
      <w:r w:rsidRPr="00E72BF2">
        <w:rPr>
          <w:rFonts w:ascii="Arial" w:hAnsi="Arial" w:cs="Arial"/>
          <w:i/>
          <w:iCs/>
          <w:noProof/>
          <w:sz w:val="18"/>
          <w:lang w:val="en-US"/>
        </w:rPr>
        <w:t>Journal of Biological Chemistry</w:t>
      </w:r>
      <w:r w:rsidRPr="00E72BF2">
        <w:rPr>
          <w:rFonts w:ascii="Arial" w:hAnsi="Arial" w:cs="Arial"/>
          <w:noProof/>
          <w:sz w:val="18"/>
          <w:lang w:val="en-US"/>
        </w:rPr>
        <w:t>, 275(40), pp. 30761–30764. doi: 10.1074/jbc.C000341200.</w:t>
      </w:r>
    </w:p>
    <w:p w14:paraId="58699FC0"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Huang, H. </w:t>
      </w:r>
      <w:r w:rsidRPr="00E72BF2">
        <w:rPr>
          <w:rFonts w:ascii="Arial" w:hAnsi="Arial" w:cs="Arial"/>
          <w:i/>
          <w:iCs/>
          <w:noProof/>
          <w:sz w:val="18"/>
          <w:lang w:val="en-US"/>
        </w:rPr>
        <w:t>et al.</w:t>
      </w:r>
      <w:r w:rsidRPr="00E72BF2">
        <w:rPr>
          <w:rFonts w:ascii="Arial" w:hAnsi="Arial" w:cs="Arial"/>
          <w:noProof/>
          <w:sz w:val="18"/>
          <w:lang w:val="en-US"/>
        </w:rPr>
        <w:t xml:space="preserve"> (2011) ‘Functional characterization of a Ficolin-mediated complement pathway in amphioxus’, </w:t>
      </w:r>
      <w:r w:rsidRPr="00E72BF2">
        <w:rPr>
          <w:rFonts w:ascii="Arial" w:hAnsi="Arial" w:cs="Arial"/>
          <w:i/>
          <w:iCs/>
          <w:noProof/>
          <w:sz w:val="18"/>
          <w:lang w:val="en-US"/>
        </w:rPr>
        <w:t>Journal of Biological Chemistry</w:t>
      </w:r>
      <w:r w:rsidRPr="00E72BF2">
        <w:rPr>
          <w:rFonts w:ascii="Arial" w:hAnsi="Arial" w:cs="Arial"/>
          <w:noProof/>
          <w:sz w:val="18"/>
          <w:lang w:val="en-US"/>
        </w:rPr>
        <w:t>, 286(42), pp. 36739–36748. doi: 10.1074/jbc.M111.245944.</w:t>
      </w:r>
    </w:p>
    <w:p w14:paraId="67225C38"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Ichijo, H. </w:t>
      </w:r>
      <w:r w:rsidRPr="00E72BF2">
        <w:rPr>
          <w:rFonts w:ascii="Arial" w:hAnsi="Arial" w:cs="Arial"/>
          <w:i/>
          <w:iCs/>
          <w:noProof/>
          <w:sz w:val="18"/>
          <w:lang w:val="en-US"/>
        </w:rPr>
        <w:t>et al.</w:t>
      </w:r>
      <w:r w:rsidRPr="00E72BF2">
        <w:rPr>
          <w:rFonts w:ascii="Arial" w:hAnsi="Arial" w:cs="Arial"/>
          <w:noProof/>
          <w:sz w:val="18"/>
          <w:lang w:val="en-US"/>
        </w:rPr>
        <w:t xml:space="preserve"> (1993) ‘Molecular cloning and characterization of ficolin, a multimeric protein with fibrinogen- and collagen-like domains’, </w:t>
      </w:r>
      <w:r w:rsidRPr="00E72BF2">
        <w:rPr>
          <w:rFonts w:ascii="Arial" w:hAnsi="Arial" w:cs="Arial"/>
          <w:i/>
          <w:iCs/>
          <w:noProof/>
          <w:sz w:val="18"/>
          <w:lang w:val="en-US"/>
        </w:rPr>
        <w:t>Journal of Biological Chemistry</w:t>
      </w:r>
      <w:r w:rsidRPr="00E72BF2">
        <w:rPr>
          <w:rFonts w:ascii="Arial" w:hAnsi="Arial" w:cs="Arial"/>
          <w:noProof/>
          <w:sz w:val="18"/>
          <w:lang w:val="en-US"/>
        </w:rPr>
        <w:t>. Â© 1993 ASBMB. Currently published by Elsevier Inc; originally published by American Society for Biochemistry and Molecular Biology., 268(19), pp. 14505–14513. doi: 10.1016/S0021-9258(19)85267-5.</w:t>
      </w:r>
    </w:p>
    <w:p w14:paraId="2C38B786"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Janssen, B. J. C. </w:t>
      </w:r>
      <w:r w:rsidRPr="00E72BF2">
        <w:rPr>
          <w:rFonts w:ascii="Arial" w:hAnsi="Arial" w:cs="Arial"/>
          <w:i/>
          <w:iCs/>
          <w:noProof/>
          <w:sz w:val="18"/>
          <w:lang w:val="en-US"/>
        </w:rPr>
        <w:t>et al.</w:t>
      </w:r>
      <w:r w:rsidRPr="00E72BF2">
        <w:rPr>
          <w:rFonts w:ascii="Arial" w:hAnsi="Arial" w:cs="Arial"/>
          <w:noProof/>
          <w:sz w:val="18"/>
          <w:lang w:val="en-US"/>
        </w:rPr>
        <w:t xml:space="preserve"> (2005) ‘Structures of complement component C3 provide insights into the function and evolution of immunity’, </w:t>
      </w:r>
      <w:r w:rsidRPr="00E72BF2">
        <w:rPr>
          <w:rFonts w:ascii="Arial" w:hAnsi="Arial" w:cs="Arial"/>
          <w:i/>
          <w:iCs/>
          <w:noProof/>
          <w:sz w:val="18"/>
          <w:lang w:val="en-US"/>
        </w:rPr>
        <w:t>Nature</w:t>
      </w:r>
      <w:r w:rsidRPr="00E72BF2">
        <w:rPr>
          <w:rFonts w:ascii="Arial" w:hAnsi="Arial" w:cs="Arial"/>
          <w:noProof/>
          <w:sz w:val="18"/>
          <w:lang w:val="en-US"/>
        </w:rPr>
        <w:t>, 437(7058), pp. 505–511. doi: 10.1038/nature04005.</w:t>
      </w:r>
    </w:p>
    <w:p w14:paraId="16E547B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Ji, J. </w:t>
      </w:r>
      <w:r w:rsidRPr="00E72BF2">
        <w:rPr>
          <w:rFonts w:ascii="Arial" w:hAnsi="Arial" w:cs="Arial"/>
          <w:i/>
          <w:iCs/>
          <w:noProof/>
          <w:sz w:val="18"/>
          <w:lang w:val="en-US"/>
        </w:rPr>
        <w:t>et al.</w:t>
      </w:r>
      <w:r w:rsidRPr="00E72BF2">
        <w:rPr>
          <w:rFonts w:ascii="Arial" w:hAnsi="Arial" w:cs="Arial"/>
          <w:noProof/>
          <w:sz w:val="18"/>
          <w:lang w:val="en-US"/>
        </w:rPr>
        <w:t xml:space="preserve"> (2018) ‘Characterization of the TLR family in </w:t>
      </w:r>
      <w:r w:rsidRPr="00E72BF2">
        <w:rPr>
          <w:rFonts w:ascii="Arial" w:hAnsi="Arial" w:cs="Arial"/>
          <w:i/>
          <w:iCs/>
          <w:noProof/>
          <w:sz w:val="18"/>
          <w:lang w:val="en-US"/>
        </w:rPr>
        <w:t>Branchiostoma lanceolatum</w:t>
      </w:r>
      <w:r w:rsidRPr="00E72BF2">
        <w:rPr>
          <w:rFonts w:ascii="Arial" w:hAnsi="Arial" w:cs="Arial"/>
          <w:noProof/>
          <w:sz w:val="18"/>
          <w:lang w:val="en-US"/>
        </w:rPr>
        <w:t xml:space="preserve"> and discovery of a novel TLR22-like involved in dsRNA recognition in amphioxus’, </w:t>
      </w:r>
      <w:r w:rsidRPr="00E72BF2">
        <w:rPr>
          <w:rFonts w:ascii="Arial" w:hAnsi="Arial" w:cs="Arial"/>
          <w:i/>
          <w:iCs/>
          <w:noProof/>
          <w:sz w:val="18"/>
          <w:lang w:val="en-US"/>
        </w:rPr>
        <w:t>Frontiers in Immunology</w:t>
      </w:r>
      <w:r w:rsidRPr="00E72BF2">
        <w:rPr>
          <w:rFonts w:ascii="Arial" w:hAnsi="Arial" w:cs="Arial"/>
          <w:noProof/>
          <w:sz w:val="18"/>
          <w:lang w:val="en-US"/>
        </w:rPr>
        <w:t>, 9, pp. 1–15. doi: 10.3389/fimmu.2018.02525.</w:t>
      </w:r>
    </w:p>
    <w:p w14:paraId="74FD7F50"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Ji, X. </w:t>
      </w:r>
      <w:r w:rsidRPr="00E72BF2">
        <w:rPr>
          <w:rFonts w:ascii="Arial" w:hAnsi="Arial" w:cs="Arial"/>
          <w:i/>
          <w:iCs/>
          <w:noProof/>
          <w:sz w:val="18"/>
          <w:lang w:val="en-US"/>
        </w:rPr>
        <w:t>et al.</w:t>
      </w:r>
      <w:r w:rsidRPr="00E72BF2">
        <w:rPr>
          <w:rFonts w:ascii="Arial" w:hAnsi="Arial" w:cs="Arial"/>
          <w:noProof/>
          <w:sz w:val="18"/>
          <w:lang w:val="en-US"/>
        </w:rPr>
        <w:t xml:space="preserve"> (1997) ‘Ancient origin of the complement lectin pathway revealed by molecular cloning of mannan binding protein-associated serine protease from a urochordate, the Japanese ascidian, </w:t>
      </w:r>
      <w:r w:rsidRPr="00E72BF2">
        <w:rPr>
          <w:rFonts w:ascii="Arial" w:hAnsi="Arial" w:cs="Arial"/>
          <w:i/>
          <w:iCs/>
          <w:noProof/>
          <w:sz w:val="18"/>
          <w:lang w:val="en-US"/>
        </w:rPr>
        <w:t>Halocynthia roretzi</w:t>
      </w:r>
      <w:r w:rsidRPr="00E72BF2">
        <w:rPr>
          <w:rFonts w:ascii="Arial" w:hAnsi="Arial" w:cs="Arial"/>
          <w:noProof/>
          <w:sz w:val="18"/>
          <w:lang w:val="en-US"/>
        </w:rPr>
        <w:t xml:space="preserve">’,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94(12), pp. 6340–6345. doi: 10.1073/pnas.94.12.6340.</w:t>
      </w:r>
    </w:p>
    <w:p w14:paraId="3C0A0A9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Kaneko, T. </w:t>
      </w:r>
      <w:r w:rsidRPr="00E72BF2">
        <w:rPr>
          <w:rFonts w:ascii="Arial" w:hAnsi="Arial" w:cs="Arial"/>
          <w:i/>
          <w:iCs/>
          <w:noProof/>
          <w:sz w:val="18"/>
          <w:lang w:val="en-US"/>
        </w:rPr>
        <w:t>et al.</w:t>
      </w:r>
      <w:r w:rsidRPr="00E72BF2">
        <w:rPr>
          <w:rFonts w:ascii="Arial" w:hAnsi="Arial" w:cs="Arial"/>
          <w:noProof/>
          <w:sz w:val="18"/>
          <w:lang w:val="en-US"/>
        </w:rPr>
        <w:t xml:space="preserve"> (2006) ‘PGRP-LC and PGRP-LE have essential yet distinct functions in the </w:t>
      </w:r>
      <w:r w:rsidRPr="00E72BF2">
        <w:rPr>
          <w:rFonts w:ascii="Arial" w:hAnsi="Arial" w:cs="Arial"/>
          <w:i/>
          <w:iCs/>
          <w:noProof/>
          <w:sz w:val="18"/>
          <w:lang w:val="en-US"/>
        </w:rPr>
        <w:t>Drosophila</w:t>
      </w:r>
      <w:r w:rsidRPr="00E72BF2">
        <w:rPr>
          <w:rFonts w:ascii="Arial" w:hAnsi="Arial" w:cs="Arial"/>
          <w:noProof/>
          <w:sz w:val="18"/>
          <w:lang w:val="en-US"/>
        </w:rPr>
        <w:t xml:space="preserve"> immune response to monomeric DAP-type peptidoglycan’, </w:t>
      </w:r>
      <w:r w:rsidRPr="00E72BF2">
        <w:rPr>
          <w:rFonts w:ascii="Arial" w:hAnsi="Arial" w:cs="Arial"/>
          <w:i/>
          <w:iCs/>
          <w:noProof/>
          <w:sz w:val="18"/>
          <w:lang w:val="en-US"/>
        </w:rPr>
        <w:t>Nature Immunology</w:t>
      </w:r>
      <w:r w:rsidRPr="00E72BF2">
        <w:rPr>
          <w:rFonts w:ascii="Arial" w:hAnsi="Arial" w:cs="Arial"/>
          <w:noProof/>
          <w:sz w:val="18"/>
          <w:lang w:val="en-US"/>
        </w:rPr>
        <w:t>, 7(7), pp. 715–723. doi: 10.1038/ni1356.</w:t>
      </w:r>
    </w:p>
    <w:p w14:paraId="6845E7E6"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Kang, D. </w:t>
      </w:r>
      <w:r w:rsidRPr="00E72BF2">
        <w:rPr>
          <w:rFonts w:ascii="Arial" w:hAnsi="Arial" w:cs="Arial"/>
          <w:i/>
          <w:iCs/>
          <w:noProof/>
          <w:sz w:val="18"/>
          <w:lang w:val="en-US"/>
        </w:rPr>
        <w:t>et al.</w:t>
      </w:r>
      <w:r w:rsidRPr="00E72BF2">
        <w:rPr>
          <w:rFonts w:ascii="Arial" w:hAnsi="Arial" w:cs="Arial"/>
          <w:noProof/>
          <w:sz w:val="18"/>
          <w:lang w:val="en-US"/>
        </w:rPr>
        <w:t xml:space="preserve"> (1998) ‘A peptidoglycan recognition protein in innate immunity conserved from insects to humans’,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95(17), pp. 10078–10082. doi: 10.1073/pnas.95.17.10078.</w:t>
      </w:r>
    </w:p>
    <w:p w14:paraId="5CDE4B9A"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Kimura, A., Sakaguchi, E. and Nonaka, M. (2009) ‘Multi-component complement system of Cnidaria: C3, Bf, and MASP genes expressed in the endodermal tissues of a sea anemone, </w:t>
      </w:r>
      <w:r w:rsidRPr="00E72BF2">
        <w:rPr>
          <w:rFonts w:ascii="Arial" w:hAnsi="Arial" w:cs="Arial"/>
          <w:i/>
          <w:iCs/>
          <w:noProof/>
          <w:sz w:val="18"/>
          <w:lang w:val="en-US"/>
        </w:rPr>
        <w:t>Nematostella vectensis</w:t>
      </w:r>
      <w:r w:rsidRPr="00E72BF2">
        <w:rPr>
          <w:rFonts w:ascii="Arial" w:hAnsi="Arial" w:cs="Arial"/>
          <w:noProof/>
          <w:sz w:val="18"/>
          <w:lang w:val="en-US"/>
        </w:rPr>
        <w:t xml:space="preserve">’, </w:t>
      </w:r>
      <w:r w:rsidRPr="00E72BF2">
        <w:rPr>
          <w:rFonts w:ascii="Arial" w:hAnsi="Arial" w:cs="Arial"/>
          <w:i/>
          <w:iCs/>
          <w:noProof/>
          <w:sz w:val="18"/>
          <w:lang w:val="en-US"/>
        </w:rPr>
        <w:t>Immunobiology</w:t>
      </w:r>
      <w:r w:rsidRPr="00E72BF2">
        <w:rPr>
          <w:rFonts w:ascii="Arial" w:hAnsi="Arial" w:cs="Arial"/>
          <w:noProof/>
          <w:sz w:val="18"/>
          <w:lang w:val="en-US"/>
        </w:rPr>
        <w:t>, 214(3), pp. 165–178. doi: 10.1016/j.imbio.2009.01.003.</w:t>
      </w:r>
    </w:p>
    <w:p w14:paraId="5707461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Leclère, L. </w:t>
      </w:r>
      <w:r w:rsidRPr="00E72BF2">
        <w:rPr>
          <w:rFonts w:ascii="Arial" w:hAnsi="Arial" w:cs="Arial"/>
          <w:i/>
          <w:iCs/>
          <w:noProof/>
          <w:sz w:val="18"/>
          <w:lang w:val="en-US"/>
        </w:rPr>
        <w:t>et al.</w:t>
      </w:r>
      <w:r w:rsidRPr="00E72BF2">
        <w:rPr>
          <w:rFonts w:ascii="Arial" w:hAnsi="Arial" w:cs="Arial"/>
          <w:noProof/>
          <w:sz w:val="18"/>
          <w:lang w:val="en-US"/>
        </w:rPr>
        <w:t xml:space="preserve"> (2019) ‘The genome of the jellyfish </w:t>
      </w:r>
      <w:r w:rsidRPr="00E72BF2">
        <w:rPr>
          <w:rFonts w:ascii="Arial" w:hAnsi="Arial" w:cs="Arial"/>
          <w:i/>
          <w:iCs/>
          <w:noProof/>
          <w:sz w:val="18"/>
          <w:lang w:val="en-US"/>
        </w:rPr>
        <w:t>Clytia hemisphaerica</w:t>
      </w:r>
      <w:r w:rsidRPr="00E72BF2">
        <w:rPr>
          <w:rFonts w:ascii="Arial" w:hAnsi="Arial" w:cs="Arial"/>
          <w:noProof/>
          <w:sz w:val="18"/>
          <w:lang w:val="en-US"/>
        </w:rPr>
        <w:t xml:space="preserve"> and the evolution of the cnidarian life-cycle’, </w:t>
      </w:r>
      <w:r w:rsidRPr="00E72BF2">
        <w:rPr>
          <w:rFonts w:ascii="Arial" w:hAnsi="Arial" w:cs="Arial"/>
          <w:i/>
          <w:iCs/>
          <w:noProof/>
          <w:sz w:val="18"/>
          <w:lang w:val="en-US"/>
        </w:rPr>
        <w:t>Nature Ecology &amp; Evolution</w:t>
      </w:r>
      <w:r w:rsidRPr="00E72BF2">
        <w:rPr>
          <w:rFonts w:ascii="Arial" w:hAnsi="Arial" w:cs="Arial"/>
          <w:noProof/>
          <w:sz w:val="18"/>
          <w:lang w:val="en-US"/>
        </w:rPr>
        <w:t>. Springer US, 3(5), pp. 801–810. doi: 10.1038/s41559-019-0833-2.</w:t>
      </w:r>
    </w:p>
    <w:p w14:paraId="4D1980F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Lemaitre, B. </w:t>
      </w:r>
      <w:r w:rsidRPr="00E72BF2">
        <w:rPr>
          <w:rFonts w:ascii="Arial" w:hAnsi="Arial" w:cs="Arial"/>
          <w:i/>
          <w:iCs/>
          <w:noProof/>
          <w:sz w:val="18"/>
          <w:lang w:val="en-US"/>
        </w:rPr>
        <w:t>et al.</w:t>
      </w:r>
      <w:r w:rsidRPr="00E72BF2">
        <w:rPr>
          <w:rFonts w:ascii="Arial" w:hAnsi="Arial" w:cs="Arial"/>
          <w:noProof/>
          <w:sz w:val="18"/>
          <w:lang w:val="en-US"/>
        </w:rPr>
        <w:t xml:space="preserve"> (1996) ‘The dorsoventral regulatory gene cassette </w:t>
      </w:r>
      <w:r w:rsidRPr="00E72BF2">
        <w:rPr>
          <w:rFonts w:ascii="Arial" w:hAnsi="Arial" w:cs="Arial"/>
          <w:i/>
          <w:iCs/>
          <w:noProof/>
          <w:sz w:val="18"/>
          <w:lang w:val="en-US"/>
        </w:rPr>
        <w:t>Spätzle/Toll/Cactus</w:t>
      </w:r>
      <w:r w:rsidRPr="00E72BF2">
        <w:rPr>
          <w:rFonts w:ascii="Arial" w:hAnsi="Arial" w:cs="Arial"/>
          <w:noProof/>
          <w:sz w:val="18"/>
          <w:lang w:val="en-US"/>
        </w:rPr>
        <w:t xml:space="preserve"> controls the potent antifungal response in </w:t>
      </w:r>
      <w:r w:rsidRPr="00E72BF2">
        <w:rPr>
          <w:rFonts w:ascii="Arial" w:hAnsi="Arial" w:cs="Arial"/>
          <w:i/>
          <w:iCs/>
          <w:noProof/>
          <w:sz w:val="18"/>
          <w:lang w:val="en-US"/>
        </w:rPr>
        <w:t>Drosophila</w:t>
      </w:r>
      <w:r w:rsidRPr="00E72BF2">
        <w:rPr>
          <w:rFonts w:ascii="Arial" w:hAnsi="Arial" w:cs="Arial"/>
          <w:noProof/>
          <w:sz w:val="18"/>
          <w:lang w:val="en-US"/>
        </w:rPr>
        <w:t xml:space="preserve"> adults’, </w:t>
      </w:r>
      <w:r w:rsidRPr="00E72BF2">
        <w:rPr>
          <w:rFonts w:ascii="Arial" w:hAnsi="Arial" w:cs="Arial"/>
          <w:i/>
          <w:iCs/>
          <w:noProof/>
          <w:sz w:val="18"/>
          <w:lang w:val="en-US"/>
        </w:rPr>
        <w:t>Cell</w:t>
      </w:r>
      <w:r w:rsidRPr="00E72BF2">
        <w:rPr>
          <w:rFonts w:ascii="Arial" w:hAnsi="Arial" w:cs="Arial"/>
          <w:noProof/>
          <w:sz w:val="18"/>
          <w:lang w:val="en-US"/>
        </w:rPr>
        <w:t>, 86(6), pp. 973–983. doi: 10.1016/S0092-8674(00)80172-5.</w:t>
      </w:r>
    </w:p>
    <w:p w14:paraId="6675EAB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Luo, Y.-J. </w:t>
      </w:r>
      <w:r w:rsidRPr="00E72BF2">
        <w:rPr>
          <w:rFonts w:ascii="Arial" w:hAnsi="Arial" w:cs="Arial"/>
          <w:i/>
          <w:iCs/>
          <w:noProof/>
          <w:sz w:val="18"/>
          <w:lang w:val="en-US"/>
        </w:rPr>
        <w:t>et al.</w:t>
      </w:r>
      <w:r w:rsidRPr="00E72BF2">
        <w:rPr>
          <w:rFonts w:ascii="Arial" w:hAnsi="Arial" w:cs="Arial"/>
          <w:noProof/>
          <w:sz w:val="18"/>
          <w:lang w:val="en-US"/>
        </w:rPr>
        <w:t xml:space="preserve"> (2018) ‘Nemertean and phoronid genomes reveal lophotrochozoan evolution and the origin of bilaterian heads’, </w:t>
      </w:r>
      <w:r w:rsidRPr="00E72BF2">
        <w:rPr>
          <w:rFonts w:ascii="Arial" w:hAnsi="Arial" w:cs="Arial"/>
          <w:i/>
          <w:iCs/>
          <w:noProof/>
          <w:sz w:val="18"/>
          <w:lang w:val="en-US"/>
        </w:rPr>
        <w:t>Nature Ecology &amp; Evolution</w:t>
      </w:r>
      <w:r w:rsidRPr="00E72BF2">
        <w:rPr>
          <w:rFonts w:ascii="Arial" w:hAnsi="Arial" w:cs="Arial"/>
          <w:noProof/>
          <w:sz w:val="18"/>
          <w:lang w:val="en-US"/>
        </w:rPr>
        <w:t>. Springer US, 2(1), pp. 141–151. doi: 10.1038/s41559-017-0389-y.</w:t>
      </w:r>
    </w:p>
    <w:p w14:paraId="54BB080F"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Mapalo, M. A. </w:t>
      </w:r>
      <w:r w:rsidRPr="00E72BF2">
        <w:rPr>
          <w:rFonts w:ascii="Arial" w:hAnsi="Arial" w:cs="Arial"/>
          <w:i/>
          <w:iCs/>
          <w:noProof/>
          <w:sz w:val="18"/>
          <w:lang w:val="en-US"/>
        </w:rPr>
        <w:t>et al.</w:t>
      </w:r>
      <w:r w:rsidRPr="00E72BF2">
        <w:rPr>
          <w:rFonts w:ascii="Arial" w:hAnsi="Arial" w:cs="Arial"/>
          <w:noProof/>
          <w:sz w:val="18"/>
          <w:lang w:val="en-US"/>
        </w:rPr>
        <w:t xml:space="preserve"> (2020) ‘The unique antimicrobial recognition and signaling pathways in tardigrades with a comparison across Ecdysozoa’, </w:t>
      </w:r>
      <w:r w:rsidRPr="00E72BF2">
        <w:rPr>
          <w:rFonts w:ascii="Arial" w:hAnsi="Arial" w:cs="Arial"/>
          <w:i/>
          <w:iCs/>
          <w:noProof/>
          <w:sz w:val="18"/>
          <w:lang w:val="en-US"/>
        </w:rPr>
        <w:t>G3 Genes|Genomes|Genetics</w:t>
      </w:r>
      <w:r w:rsidRPr="00E72BF2">
        <w:rPr>
          <w:rFonts w:ascii="Arial" w:hAnsi="Arial" w:cs="Arial"/>
          <w:noProof/>
          <w:sz w:val="18"/>
          <w:lang w:val="en-US"/>
        </w:rPr>
        <w:t>, 10(3), pp. 1137–1148. doi: 10.1534/g3.119.400734.</w:t>
      </w:r>
    </w:p>
    <w:p w14:paraId="2631188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Marino, R. </w:t>
      </w:r>
      <w:r w:rsidRPr="00E72BF2">
        <w:rPr>
          <w:rFonts w:ascii="Arial" w:hAnsi="Arial" w:cs="Arial"/>
          <w:i/>
          <w:iCs/>
          <w:noProof/>
          <w:sz w:val="18"/>
          <w:lang w:val="en-US"/>
        </w:rPr>
        <w:t>et al.</w:t>
      </w:r>
      <w:r w:rsidRPr="00E72BF2">
        <w:rPr>
          <w:rFonts w:ascii="Arial" w:hAnsi="Arial" w:cs="Arial"/>
          <w:noProof/>
          <w:sz w:val="18"/>
          <w:lang w:val="en-US"/>
        </w:rPr>
        <w:t xml:space="preserve"> (2002) ‘Complement in urochordates: cloning and characterization of two </w:t>
      </w:r>
      <w:r w:rsidRPr="00E72BF2">
        <w:rPr>
          <w:rFonts w:ascii="Arial" w:hAnsi="Arial" w:cs="Arial"/>
          <w:i/>
          <w:iCs/>
          <w:noProof/>
          <w:sz w:val="18"/>
          <w:lang w:val="en-US"/>
        </w:rPr>
        <w:t>C3-like</w:t>
      </w:r>
      <w:r w:rsidRPr="00E72BF2">
        <w:rPr>
          <w:rFonts w:ascii="Arial" w:hAnsi="Arial" w:cs="Arial"/>
          <w:noProof/>
          <w:sz w:val="18"/>
          <w:lang w:val="en-US"/>
        </w:rPr>
        <w:t xml:space="preserve"> genes in the </w:t>
      </w:r>
      <w:r w:rsidRPr="00E72BF2">
        <w:rPr>
          <w:rFonts w:ascii="Arial" w:hAnsi="Arial" w:cs="Arial"/>
          <w:noProof/>
          <w:sz w:val="18"/>
          <w:lang w:val="en-US"/>
        </w:rPr>
        <w:lastRenderedPageBreak/>
        <w:t xml:space="preserve">ascidian </w:t>
      </w:r>
      <w:r w:rsidRPr="00E72BF2">
        <w:rPr>
          <w:rFonts w:ascii="Arial" w:hAnsi="Arial" w:cs="Arial"/>
          <w:i/>
          <w:iCs/>
          <w:noProof/>
          <w:sz w:val="18"/>
          <w:lang w:val="en-US"/>
        </w:rPr>
        <w:t>Ciona intestinalis</w:t>
      </w:r>
      <w:r w:rsidRPr="00E72BF2">
        <w:rPr>
          <w:rFonts w:ascii="Arial" w:hAnsi="Arial" w:cs="Arial"/>
          <w:noProof/>
          <w:sz w:val="18"/>
          <w:lang w:val="en-US"/>
        </w:rPr>
        <w:t xml:space="preserve">’, </w:t>
      </w:r>
      <w:r w:rsidRPr="00E72BF2">
        <w:rPr>
          <w:rFonts w:ascii="Arial" w:hAnsi="Arial" w:cs="Arial"/>
          <w:i/>
          <w:iCs/>
          <w:noProof/>
          <w:sz w:val="18"/>
          <w:lang w:val="en-US"/>
        </w:rPr>
        <w:t>Immunogenetics</w:t>
      </w:r>
      <w:r w:rsidRPr="00E72BF2">
        <w:rPr>
          <w:rFonts w:ascii="Arial" w:hAnsi="Arial" w:cs="Arial"/>
          <w:noProof/>
          <w:sz w:val="18"/>
          <w:lang w:val="en-US"/>
        </w:rPr>
        <w:t>, 53(12), pp. 1055–1064. doi: 10.1007/s00251-001-0421-9.</w:t>
      </w:r>
    </w:p>
    <w:p w14:paraId="44865D77"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Matsushita, M. and Fujita, T. (1992) ‘Activation of the classical complement pathway by mannose-binding protein in association with a novel C1s-like serine protease.’, </w:t>
      </w:r>
      <w:r w:rsidRPr="00E72BF2">
        <w:rPr>
          <w:rFonts w:ascii="Arial" w:hAnsi="Arial" w:cs="Arial"/>
          <w:i/>
          <w:iCs/>
          <w:noProof/>
          <w:sz w:val="18"/>
          <w:lang w:val="en-US"/>
        </w:rPr>
        <w:t>Journal of Experimental Medicine</w:t>
      </w:r>
      <w:r w:rsidRPr="00E72BF2">
        <w:rPr>
          <w:rFonts w:ascii="Arial" w:hAnsi="Arial" w:cs="Arial"/>
          <w:noProof/>
          <w:sz w:val="18"/>
          <w:lang w:val="en-US"/>
        </w:rPr>
        <w:t>, 176(6), pp. 1497–1502. doi: 10.1084/jem.176.6.1497.</w:t>
      </w:r>
    </w:p>
    <w:p w14:paraId="71BC6C1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Medzhitov, R. </w:t>
      </w:r>
      <w:r w:rsidRPr="00E72BF2">
        <w:rPr>
          <w:rFonts w:ascii="Arial" w:hAnsi="Arial" w:cs="Arial"/>
          <w:i/>
          <w:iCs/>
          <w:noProof/>
          <w:sz w:val="18"/>
          <w:lang w:val="en-US"/>
        </w:rPr>
        <w:t>et al.</w:t>
      </w:r>
      <w:r w:rsidRPr="00E72BF2">
        <w:rPr>
          <w:rFonts w:ascii="Arial" w:hAnsi="Arial" w:cs="Arial"/>
          <w:noProof/>
          <w:sz w:val="18"/>
          <w:lang w:val="en-US"/>
        </w:rPr>
        <w:t xml:space="preserve"> (1998) ‘MyD88 Is an adaptor protein in the hToll/IL-1 receptor family signaling pathways’, </w:t>
      </w:r>
      <w:r w:rsidRPr="00E72BF2">
        <w:rPr>
          <w:rFonts w:ascii="Arial" w:hAnsi="Arial" w:cs="Arial"/>
          <w:i/>
          <w:iCs/>
          <w:noProof/>
          <w:sz w:val="18"/>
          <w:lang w:val="en-US"/>
        </w:rPr>
        <w:t>Molecular Cell</w:t>
      </w:r>
      <w:r w:rsidRPr="00E72BF2">
        <w:rPr>
          <w:rFonts w:ascii="Arial" w:hAnsi="Arial" w:cs="Arial"/>
          <w:noProof/>
          <w:sz w:val="18"/>
          <w:lang w:val="en-US"/>
        </w:rPr>
        <w:t>, 2(2), pp. 253–258. doi: 10.1016/S1097-2765(00)80136-7.</w:t>
      </w:r>
    </w:p>
    <w:p w14:paraId="648B30E7"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Medzhitov, R., Preston-Hurlburt, P. and Janeway, C. A. (1997) ‘A human homologue of the </w:t>
      </w:r>
      <w:r w:rsidRPr="00E72BF2">
        <w:rPr>
          <w:rFonts w:ascii="Arial" w:hAnsi="Arial" w:cs="Arial"/>
          <w:i/>
          <w:iCs/>
          <w:noProof/>
          <w:sz w:val="18"/>
          <w:lang w:val="en-US"/>
        </w:rPr>
        <w:t>Drosophila</w:t>
      </w:r>
      <w:r w:rsidRPr="00E72BF2">
        <w:rPr>
          <w:rFonts w:ascii="Arial" w:hAnsi="Arial" w:cs="Arial"/>
          <w:noProof/>
          <w:sz w:val="18"/>
          <w:lang w:val="en-US"/>
        </w:rPr>
        <w:t xml:space="preserve"> Toll protein signals activation of adaptive immunity’, </w:t>
      </w:r>
      <w:r w:rsidRPr="00E72BF2">
        <w:rPr>
          <w:rFonts w:ascii="Arial" w:hAnsi="Arial" w:cs="Arial"/>
          <w:i/>
          <w:iCs/>
          <w:noProof/>
          <w:sz w:val="18"/>
          <w:lang w:val="en-US"/>
        </w:rPr>
        <w:t>Nature</w:t>
      </w:r>
      <w:r w:rsidRPr="00E72BF2">
        <w:rPr>
          <w:rFonts w:ascii="Arial" w:hAnsi="Arial" w:cs="Arial"/>
          <w:noProof/>
          <w:sz w:val="18"/>
          <w:lang w:val="en-US"/>
        </w:rPr>
        <w:t>, 388(6640), pp. 394–397. doi: 10.1038/41131.</w:t>
      </w:r>
    </w:p>
    <w:p w14:paraId="4ADFEEA6"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Milder, F. J. </w:t>
      </w:r>
      <w:r w:rsidRPr="00E72BF2">
        <w:rPr>
          <w:rFonts w:ascii="Arial" w:hAnsi="Arial" w:cs="Arial"/>
          <w:i/>
          <w:iCs/>
          <w:noProof/>
          <w:sz w:val="18"/>
          <w:lang w:val="en-US"/>
        </w:rPr>
        <w:t>et al.</w:t>
      </w:r>
      <w:r w:rsidRPr="00E72BF2">
        <w:rPr>
          <w:rFonts w:ascii="Arial" w:hAnsi="Arial" w:cs="Arial"/>
          <w:noProof/>
          <w:sz w:val="18"/>
          <w:lang w:val="en-US"/>
        </w:rPr>
        <w:t xml:space="preserve"> (2007) ‘Factor B structure provides insights into activation of the central protease of the complement system’, </w:t>
      </w:r>
      <w:r w:rsidRPr="00E72BF2">
        <w:rPr>
          <w:rFonts w:ascii="Arial" w:hAnsi="Arial" w:cs="Arial"/>
          <w:i/>
          <w:iCs/>
          <w:noProof/>
          <w:sz w:val="18"/>
          <w:lang w:val="en-US"/>
        </w:rPr>
        <w:t>Nature Structural &amp; Molecular Biology</w:t>
      </w:r>
      <w:r w:rsidRPr="00E72BF2">
        <w:rPr>
          <w:rFonts w:ascii="Arial" w:hAnsi="Arial" w:cs="Arial"/>
          <w:noProof/>
          <w:sz w:val="18"/>
          <w:lang w:val="en-US"/>
        </w:rPr>
        <w:t>, 14(3), pp. 224–228. doi: 10.1038/nsmb1210.</w:t>
      </w:r>
    </w:p>
    <w:p w14:paraId="0BD34341" w14:textId="77777777" w:rsidR="001D7AD3" w:rsidRPr="00E72BF2" w:rsidRDefault="001D7AD3" w:rsidP="001D7AD3">
      <w:pPr>
        <w:widowControl w:val="0"/>
        <w:autoSpaceDE w:val="0"/>
        <w:autoSpaceDN w:val="0"/>
        <w:adjustRightInd w:val="0"/>
        <w:rPr>
          <w:rFonts w:ascii="Arial" w:hAnsi="Arial" w:cs="Arial"/>
          <w:noProof/>
          <w:sz w:val="18"/>
          <w:lang w:val="en-US"/>
        </w:rPr>
      </w:pPr>
      <w:r w:rsidRPr="00805017">
        <w:rPr>
          <w:rFonts w:ascii="Arial" w:hAnsi="Arial" w:cs="Arial"/>
          <w:noProof/>
          <w:sz w:val="18"/>
          <w:lang w:val="es-ES_tradnl"/>
        </w:rPr>
        <w:t xml:space="preserve">Miller, D. J. </w:t>
      </w:r>
      <w:r w:rsidRPr="00805017">
        <w:rPr>
          <w:rFonts w:ascii="Arial" w:hAnsi="Arial" w:cs="Arial"/>
          <w:i/>
          <w:iCs/>
          <w:noProof/>
          <w:sz w:val="18"/>
          <w:lang w:val="es-ES_tradnl"/>
        </w:rPr>
        <w:t>et al.</w:t>
      </w:r>
      <w:r w:rsidRPr="00805017">
        <w:rPr>
          <w:rFonts w:ascii="Arial" w:hAnsi="Arial" w:cs="Arial"/>
          <w:noProof/>
          <w:sz w:val="18"/>
          <w:lang w:val="es-ES_tradnl"/>
        </w:rPr>
        <w:t xml:space="preserve"> </w:t>
      </w:r>
      <w:r w:rsidRPr="00E72BF2">
        <w:rPr>
          <w:rFonts w:ascii="Arial" w:hAnsi="Arial" w:cs="Arial"/>
          <w:noProof/>
          <w:sz w:val="18"/>
          <w:lang w:val="en-US"/>
        </w:rPr>
        <w:t xml:space="preserve">(2007) ‘The innate immune repertoire in Cnidaria - ancestral complexity and stochastic gene loss’, </w:t>
      </w:r>
      <w:r w:rsidRPr="00E72BF2">
        <w:rPr>
          <w:rFonts w:ascii="Arial" w:hAnsi="Arial" w:cs="Arial"/>
          <w:i/>
          <w:iCs/>
          <w:noProof/>
          <w:sz w:val="18"/>
          <w:lang w:val="en-US"/>
        </w:rPr>
        <w:t>Genome Biology</w:t>
      </w:r>
      <w:r w:rsidRPr="00E72BF2">
        <w:rPr>
          <w:rFonts w:ascii="Arial" w:hAnsi="Arial" w:cs="Arial"/>
          <w:noProof/>
          <w:sz w:val="18"/>
          <w:lang w:val="en-US"/>
        </w:rPr>
        <w:t>, 8(4), p. R59. doi: 10.1186/gb-2007-8-4-r59.</w:t>
      </w:r>
    </w:p>
    <w:p w14:paraId="42C7CC23"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Myllymäki, H., Valanne, S. and Rämet, M. (2014) ‘The </w:t>
      </w:r>
      <w:r w:rsidRPr="00E72BF2">
        <w:rPr>
          <w:rFonts w:ascii="Arial" w:hAnsi="Arial" w:cs="Arial"/>
          <w:i/>
          <w:iCs/>
          <w:noProof/>
          <w:sz w:val="18"/>
          <w:lang w:val="en-US"/>
        </w:rPr>
        <w:t xml:space="preserve">Drosophila </w:t>
      </w:r>
      <w:r w:rsidRPr="00E72BF2">
        <w:rPr>
          <w:rFonts w:ascii="Arial" w:hAnsi="Arial" w:cs="Arial"/>
          <w:noProof/>
          <w:sz w:val="18"/>
          <w:lang w:val="en-US"/>
        </w:rPr>
        <w:t xml:space="preserve">Imd signaling pathway’, </w:t>
      </w:r>
      <w:r w:rsidRPr="00E72BF2">
        <w:rPr>
          <w:rFonts w:ascii="Arial" w:hAnsi="Arial" w:cs="Arial"/>
          <w:i/>
          <w:iCs/>
          <w:noProof/>
          <w:sz w:val="18"/>
          <w:lang w:val="en-US"/>
        </w:rPr>
        <w:t>The Journal of Immunology</w:t>
      </w:r>
      <w:r w:rsidRPr="00E72BF2">
        <w:rPr>
          <w:rFonts w:ascii="Arial" w:hAnsi="Arial" w:cs="Arial"/>
          <w:noProof/>
          <w:sz w:val="18"/>
          <w:lang w:val="en-US"/>
        </w:rPr>
        <w:t>, 192(8), pp. 3455–3462. doi: 10.4049/jimmunol.1303309.</w:t>
      </w:r>
    </w:p>
    <w:p w14:paraId="05EF250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Nair, S. V., Ramsden, A. and Raftos, D. A. (2005) ‘Ancient origins: Complement in invertebrates’, </w:t>
      </w:r>
      <w:r w:rsidRPr="00E72BF2">
        <w:rPr>
          <w:rFonts w:ascii="Arial" w:hAnsi="Arial" w:cs="Arial"/>
          <w:i/>
          <w:iCs/>
          <w:noProof/>
          <w:sz w:val="18"/>
          <w:lang w:val="en-US"/>
        </w:rPr>
        <w:t>Invertebrate Survival Journal</w:t>
      </w:r>
      <w:r w:rsidRPr="00E72BF2">
        <w:rPr>
          <w:rFonts w:ascii="Arial" w:hAnsi="Arial" w:cs="Arial"/>
          <w:noProof/>
          <w:sz w:val="18"/>
          <w:lang w:val="en-US"/>
        </w:rPr>
        <w:t>, 2(2), pp. 114–123.</w:t>
      </w:r>
    </w:p>
    <w:p w14:paraId="426CF807"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Naitza, S. </w:t>
      </w:r>
      <w:r w:rsidRPr="00E72BF2">
        <w:rPr>
          <w:rFonts w:ascii="Arial" w:hAnsi="Arial" w:cs="Arial"/>
          <w:i/>
          <w:iCs/>
          <w:noProof/>
          <w:sz w:val="18"/>
          <w:lang w:val="en-US"/>
        </w:rPr>
        <w:t>et al.</w:t>
      </w:r>
      <w:r w:rsidRPr="00E72BF2">
        <w:rPr>
          <w:rFonts w:ascii="Arial" w:hAnsi="Arial" w:cs="Arial"/>
          <w:noProof/>
          <w:sz w:val="18"/>
          <w:lang w:val="en-US"/>
        </w:rPr>
        <w:t xml:space="preserve"> (2002) ‘The</w:t>
      </w:r>
      <w:r w:rsidRPr="00E72BF2">
        <w:rPr>
          <w:rFonts w:ascii="Arial" w:hAnsi="Arial" w:cs="Arial"/>
          <w:i/>
          <w:iCs/>
          <w:noProof/>
          <w:sz w:val="18"/>
          <w:lang w:val="en-US"/>
        </w:rPr>
        <w:t xml:space="preserve"> Drosophila </w:t>
      </w:r>
      <w:r w:rsidRPr="00E72BF2">
        <w:rPr>
          <w:rFonts w:ascii="Arial" w:hAnsi="Arial" w:cs="Arial"/>
          <w:noProof/>
          <w:sz w:val="18"/>
          <w:lang w:val="en-US"/>
        </w:rPr>
        <w:t xml:space="preserve">immune defense against gram-negative infection requires the Death protein dFADD’, </w:t>
      </w:r>
      <w:r w:rsidRPr="00E72BF2">
        <w:rPr>
          <w:rFonts w:ascii="Arial" w:hAnsi="Arial" w:cs="Arial"/>
          <w:i/>
          <w:iCs/>
          <w:noProof/>
          <w:sz w:val="18"/>
          <w:lang w:val="en-US"/>
        </w:rPr>
        <w:t>Immunity</w:t>
      </w:r>
      <w:r w:rsidRPr="00E72BF2">
        <w:rPr>
          <w:rFonts w:ascii="Arial" w:hAnsi="Arial" w:cs="Arial"/>
          <w:noProof/>
          <w:sz w:val="18"/>
          <w:lang w:val="en-US"/>
        </w:rPr>
        <w:t>, 17(5), pp. 575–581. doi: 10.1016/S1074-7613(02)00454-5.</w:t>
      </w:r>
    </w:p>
    <w:p w14:paraId="697406FF"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Nonaka, M. </w:t>
      </w:r>
      <w:r w:rsidRPr="00E72BF2">
        <w:rPr>
          <w:rFonts w:ascii="Arial" w:hAnsi="Arial" w:cs="Arial"/>
          <w:i/>
          <w:iCs/>
          <w:noProof/>
          <w:sz w:val="18"/>
          <w:lang w:val="en-US"/>
        </w:rPr>
        <w:t>et al.</w:t>
      </w:r>
      <w:r w:rsidRPr="00E72BF2">
        <w:rPr>
          <w:rFonts w:ascii="Arial" w:hAnsi="Arial" w:cs="Arial"/>
          <w:noProof/>
          <w:sz w:val="18"/>
          <w:lang w:val="en-US"/>
        </w:rPr>
        <w:t xml:space="preserve"> (1999) ‘Opsonic complement C3 in the solitary ascidian, Halocynthia roretzi’, </w:t>
      </w:r>
      <w:r w:rsidRPr="00E72BF2">
        <w:rPr>
          <w:rFonts w:ascii="Arial" w:hAnsi="Arial" w:cs="Arial"/>
          <w:i/>
          <w:iCs/>
          <w:noProof/>
          <w:sz w:val="18"/>
          <w:lang w:val="en-US"/>
        </w:rPr>
        <w:t>Molecular Immunology</w:t>
      </w:r>
      <w:r w:rsidRPr="00E72BF2">
        <w:rPr>
          <w:rFonts w:ascii="Arial" w:hAnsi="Arial" w:cs="Arial"/>
          <w:noProof/>
          <w:sz w:val="18"/>
          <w:lang w:val="en-US"/>
        </w:rPr>
        <w:t>, 35(6–7), p. 363. doi: 10.1016/S0161-5890(98)90662-9.</w:t>
      </w:r>
    </w:p>
    <w:p w14:paraId="233D5867"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Nonaka, M. and Kimura, A. (2006) ‘Genomic view of the evolution of the complement system’, </w:t>
      </w:r>
      <w:r w:rsidRPr="00E72BF2">
        <w:rPr>
          <w:rFonts w:ascii="Arial" w:hAnsi="Arial" w:cs="Arial"/>
          <w:i/>
          <w:iCs/>
          <w:noProof/>
          <w:sz w:val="18"/>
          <w:lang w:val="en-US"/>
        </w:rPr>
        <w:t>Immunogenetics</w:t>
      </w:r>
      <w:r w:rsidRPr="00E72BF2">
        <w:rPr>
          <w:rFonts w:ascii="Arial" w:hAnsi="Arial" w:cs="Arial"/>
          <w:noProof/>
          <w:sz w:val="18"/>
          <w:lang w:val="en-US"/>
        </w:rPr>
        <w:t>, 58(9), pp. 701–713. doi: 10.1007/s00251-006-0142-1.</w:t>
      </w:r>
    </w:p>
    <w:p w14:paraId="03753340"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Orús-Alcalde, A., Lu, T. and Hejnol, A. (2021) ‘The evolution of the metazoan Toll receptor family and its expression during protostome development’, </w:t>
      </w:r>
      <w:r w:rsidRPr="00E72BF2">
        <w:rPr>
          <w:rFonts w:ascii="Arial" w:hAnsi="Arial" w:cs="Arial"/>
          <w:i/>
          <w:iCs/>
          <w:noProof/>
          <w:sz w:val="18"/>
          <w:lang w:val="en-US"/>
        </w:rPr>
        <w:t>BioRxiv</w:t>
      </w:r>
      <w:r w:rsidRPr="00E72BF2">
        <w:rPr>
          <w:rFonts w:ascii="Arial" w:hAnsi="Arial" w:cs="Arial"/>
          <w:noProof/>
          <w:sz w:val="18"/>
          <w:lang w:val="en-US"/>
        </w:rPr>
        <w:t>. doi: 10.1101/2021.02.01.429095.</w:t>
      </w:r>
    </w:p>
    <w:p w14:paraId="423BCAD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Paik, D. </w:t>
      </w:r>
      <w:r w:rsidRPr="00E72BF2">
        <w:rPr>
          <w:rFonts w:ascii="Arial" w:hAnsi="Arial" w:cs="Arial"/>
          <w:i/>
          <w:iCs/>
          <w:noProof/>
          <w:sz w:val="18"/>
          <w:lang w:val="en-US"/>
        </w:rPr>
        <w:t>et al.</w:t>
      </w:r>
      <w:r w:rsidRPr="00E72BF2">
        <w:rPr>
          <w:rFonts w:ascii="Arial" w:hAnsi="Arial" w:cs="Arial"/>
          <w:noProof/>
          <w:sz w:val="18"/>
          <w:lang w:val="en-US"/>
        </w:rPr>
        <w:t xml:space="preserve"> (2017) ‘SLC46 Family Transporters Facilitate Cytosolic Innate Immune Recognition of Monomeric Peptidoglycans’, </w:t>
      </w:r>
      <w:r w:rsidRPr="00E72BF2">
        <w:rPr>
          <w:rFonts w:ascii="Arial" w:hAnsi="Arial" w:cs="Arial"/>
          <w:i/>
          <w:iCs/>
          <w:noProof/>
          <w:sz w:val="18"/>
          <w:lang w:val="en-US"/>
        </w:rPr>
        <w:t>The Journal of Immunology</w:t>
      </w:r>
      <w:r w:rsidRPr="00E72BF2">
        <w:rPr>
          <w:rFonts w:ascii="Arial" w:hAnsi="Arial" w:cs="Arial"/>
          <w:noProof/>
          <w:sz w:val="18"/>
          <w:lang w:val="en-US"/>
        </w:rPr>
        <w:t>, 199(1), pp. 263–270. doi: 10.4049/jimmunol.1600409.</w:t>
      </w:r>
    </w:p>
    <w:p w14:paraId="0AE12A2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Palmer, W. J. and Jiggins, F. M. (2015) ‘Comparative genomics reveals the origins and diversity of arthropod immune systems’, </w:t>
      </w:r>
      <w:r w:rsidRPr="00E72BF2">
        <w:rPr>
          <w:rFonts w:ascii="Arial" w:hAnsi="Arial" w:cs="Arial"/>
          <w:i/>
          <w:iCs/>
          <w:noProof/>
          <w:sz w:val="18"/>
          <w:lang w:val="en-US"/>
        </w:rPr>
        <w:t>Molecular Biology and Evolution</w:t>
      </w:r>
      <w:r w:rsidRPr="00E72BF2">
        <w:rPr>
          <w:rFonts w:ascii="Arial" w:hAnsi="Arial" w:cs="Arial"/>
          <w:noProof/>
          <w:sz w:val="18"/>
          <w:lang w:val="en-US"/>
        </w:rPr>
        <w:t>, 32(8), pp. 2111–2129. doi: 10.1093/molbev/msv093.</w:t>
      </w:r>
    </w:p>
    <w:p w14:paraId="7B1A7BF8"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Peiris, T. H., Hoyer, K. K. and Oviedo, N. J. (2014) ‘Innate immune system and tissue regeneration in planarians: An area ripe for exploration’, </w:t>
      </w:r>
      <w:r w:rsidRPr="00E72BF2">
        <w:rPr>
          <w:rFonts w:ascii="Arial" w:hAnsi="Arial" w:cs="Arial"/>
          <w:i/>
          <w:iCs/>
          <w:noProof/>
          <w:sz w:val="18"/>
          <w:lang w:val="en-US"/>
        </w:rPr>
        <w:t>Seminars in Immunology</w:t>
      </w:r>
      <w:r w:rsidRPr="00E72BF2">
        <w:rPr>
          <w:rFonts w:ascii="Arial" w:hAnsi="Arial" w:cs="Arial"/>
          <w:noProof/>
          <w:sz w:val="18"/>
          <w:lang w:val="en-US"/>
        </w:rPr>
        <w:t>. Elsevier Ltd, 26(4), pp. 295–302. doi: 10.1016/j.smim.2014.06.005.</w:t>
      </w:r>
    </w:p>
    <w:p w14:paraId="4212D19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Poole, A. Z., Kitchen, S. A. and Weis, V. M. (2016) ‘The role of complement in cnidarian-dinoflagellate symbiosis and immune challenge in the sea anemone </w:t>
      </w:r>
      <w:r w:rsidRPr="00E72BF2">
        <w:rPr>
          <w:rFonts w:ascii="Arial" w:hAnsi="Arial" w:cs="Arial"/>
          <w:i/>
          <w:iCs/>
          <w:noProof/>
          <w:sz w:val="18"/>
          <w:lang w:val="en-US"/>
        </w:rPr>
        <w:t>Aiptasia pallida</w:t>
      </w:r>
      <w:r w:rsidRPr="00E72BF2">
        <w:rPr>
          <w:rFonts w:ascii="Arial" w:hAnsi="Arial" w:cs="Arial"/>
          <w:noProof/>
          <w:sz w:val="18"/>
          <w:lang w:val="en-US"/>
        </w:rPr>
        <w:t xml:space="preserve">’, </w:t>
      </w:r>
      <w:r w:rsidRPr="00E72BF2">
        <w:rPr>
          <w:rFonts w:ascii="Arial" w:hAnsi="Arial" w:cs="Arial"/>
          <w:i/>
          <w:iCs/>
          <w:noProof/>
          <w:sz w:val="18"/>
          <w:lang w:val="en-US"/>
        </w:rPr>
        <w:t>Frontiers in Microbiology</w:t>
      </w:r>
      <w:r w:rsidRPr="00E72BF2">
        <w:rPr>
          <w:rFonts w:ascii="Arial" w:hAnsi="Arial" w:cs="Arial"/>
          <w:noProof/>
          <w:sz w:val="18"/>
          <w:lang w:val="en-US"/>
        </w:rPr>
        <w:t>, 7, pp. 1–18. doi: 10.3389/fmicb.2016.00519.</w:t>
      </w:r>
    </w:p>
    <w:p w14:paraId="66FEF79A" w14:textId="77777777" w:rsidR="001D7AD3" w:rsidRPr="00805017" w:rsidRDefault="001D7AD3" w:rsidP="001D7AD3">
      <w:pPr>
        <w:widowControl w:val="0"/>
        <w:autoSpaceDE w:val="0"/>
        <w:autoSpaceDN w:val="0"/>
        <w:adjustRightInd w:val="0"/>
        <w:rPr>
          <w:rFonts w:ascii="Arial" w:hAnsi="Arial" w:cs="Arial"/>
          <w:noProof/>
          <w:sz w:val="18"/>
          <w:lang w:val="es-ES_tradnl"/>
        </w:rPr>
      </w:pPr>
      <w:r w:rsidRPr="00E72BF2">
        <w:rPr>
          <w:rFonts w:ascii="Arial" w:hAnsi="Arial" w:cs="Arial"/>
          <w:noProof/>
          <w:sz w:val="18"/>
          <w:lang w:val="en-US"/>
        </w:rPr>
        <w:t xml:space="preserve">Poole, A. Z. and Weis, V. M. (2014) ‘TIR-domain-containing protein repertoire of nine anthozoan species reveals coral–specific expansions and uncharacterized proteins’, </w:t>
      </w:r>
      <w:r w:rsidRPr="00E72BF2">
        <w:rPr>
          <w:rFonts w:ascii="Arial" w:hAnsi="Arial" w:cs="Arial"/>
          <w:i/>
          <w:iCs/>
          <w:noProof/>
          <w:sz w:val="18"/>
          <w:lang w:val="en-US"/>
        </w:rPr>
        <w:t>Developmental &amp; Comparative Immunology</w:t>
      </w:r>
      <w:r w:rsidRPr="00E72BF2">
        <w:rPr>
          <w:rFonts w:ascii="Arial" w:hAnsi="Arial" w:cs="Arial"/>
          <w:noProof/>
          <w:sz w:val="18"/>
          <w:lang w:val="en-US"/>
        </w:rPr>
        <w:t xml:space="preserve">. </w:t>
      </w:r>
      <w:r w:rsidRPr="00805017">
        <w:rPr>
          <w:rFonts w:ascii="Arial" w:hAnsi="Arial" w:cs="Arial"/>
          <w:noProof/>
          <w:sz w:val="18"/>
          <w:lang w:val="es-ES_tradnl"/>
        </w:rPr>
        <w:t>Elsevier Ltd, 46(2), pp. 480–488. doi: 10.1016/j.dci.2014.06.002.</w:t>
      </w:r>
    </w:p>
    <w:p w14:paraId="5E6DAACE" w14:textId="77777777" w:rsidR="001D7AD3" w:rsidRPr="00E72BF2" w:rsidRDefault="001D7AD3" w:rsidP="001D7AD3">
      <w:pPr>
        <w:widowControl w:val="0"/>
        <w:autoSpaceDE w:val="0"/>
        <w:autoSpaceDN w:val="0"/>
        <w:adjustRightInd w:val="0"/>
        <w:rPr>
          <w:rFonts w:ascii="Arial" w:hAnsi="Arial" w:cs="Arial"/>
          <w:noProof/>
          <w:sz w:val="18"/>
          <w:lang w:val="en-US"/>
        </w:rPr>
      </w:pPr>
      <w:r w:rsidRPr="00805017">
        <w:rPr>
          <w:rFonts w:ascii="Arial" w:hAnsi="Arial" w:cs="Arial"/>
          <w:noProof/>
          <w:sz w:val="18"/>
          <w:lang w:val="es-ES_tradnl"/>
        </w:rPr>
        <w:t xml:space="preserve">Prado-Alvarez, M. </w:t>
      </w:r>
      <w:r w:rsidRPr="00805017">
        <w:rPr>
          <w:rFonts w:ascii="Arial" w:hAnsi="Arial" w:cs="Arial"/>
          <w:i/>
          <w:iCs/>
          <w:noProof/>
          <w:sz w:val="18"/>
          <w:lang w:val="es-ES_tradnl"/>
        </w:rPr>
        <w:t>et al.</w:t>
      </w:r>
      <w:r w:rsidRPr="00805017">
        <w:rPr>
          <w:rFonts w:ascii="Arial" w:hAnsi="Arial" w:cs="Arial"/>
          <w:noProof/>
          <w:sz w:val="18"/>
          <w:lang w:val="es-ES_tradnl"/>
        </w:rPr>
        <w:t xml:space="preserve"> </w:t>
      </w:r>
      <w:r w:rsidRPr="00E72BF2">
        <w:rPr>
          <w:rFonts w:ascii="Arial" w:hAnsi="Arial" w:cs="Arial"/>
          <w:noProof/>
          <w:sz w:val="18"/>
          <w:lang w:val="en-US"/>
        </w:rPr>
        <w:t xml:space="preserve">(2009) ‘Characterization of a C3 and a factor B-like in the carpet-shell clam, </w:t>
      </w:r>
      <w:r w:rsidRPr="00E72BF2">
        <w:rPr>
          <w:rFonts w:ascii="Arial" w:hAnsi="Arial" w:cs="Arial"/>
          <w:i/>
          <w:iCs/>
          <w:noProof/>
          <w:sz w:val="18"/>
          <w:lang w:val="en-US"/>
        </w:rPr>
        <w:t>Ruditapes decussatus</w:t>
      </w:r>
      <w:r w:rsidRPr="00E72BF2">
        <w:rPr>
          <w:rFonts w:ascii="Arial" w:hAnsi="Arial" w:cs="Arial"/>
          <w:noProof/>
          <w:sz w:val="18"/>
          <w:lang w:val="en-US"/>
        </w:rPr>
        <w:t xml:space="preserve">’, </w:t>
      </w:r>
      <w:r w:rsidRPr="00E72BF2">
        <w:rPr>
          <w:rFonts w:ascii="Arial" w:hAnsi="Arial" w:cs="Arial"/>
          <w:i/>
          <w:iCs/>
          <w:noProof/>
          <w:sz w:val="18"/>
          <w:lang w:val="en-US"/>
        </w:rPr>
        <w:t>Fish &amp; Shellfish Immunology</w:t>
      </w:r>
      <w:r w:rsidRPr="00E72BF2">
        <w:rPr>
          <w:rFonts w:ascii="Arial" w:hAnsi="Arial" w:cs="Arial"/>
          <w:noProof/>
          <w:sz w:val="18"/>
          <w:lang w:val="en-US"/>
        </w:rPr>
        <w:t>. Elsevier Ltd, 26(2), pp. 305–315. doi: 10.1016/j.fsi.2008.11.015.</w:t>
      </w:r>
    </w:p>
    <w:p w14:paraId="303E9533"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Raftos, D. A. </w:t>
      </w:r>
      <w:r w:rsidRPr="00E72BF2">
        <w:rPr>
          <w:rFonts w:ascii="Arial" w:hAnsi="Arial" w:cs="Arial"/>
          <w:i/>
          <w:iCs/>
          <w:noProof/>
          <w:sz w:val="18"/>
          <w:lang w:val="en-US"/>
        </w:rPr>
        <w:t>et al.</w:t>
      </w:r>
      <w:r w:rsidRPr="00E72BF2">
        <w:rPr>
          <w:rFonts w:ascii="Arial" w:hAnsi="Arial" w:cs="Arial"/>
          <w:noProof/>
          <w:sz w:val="18"/>
          <w:lang w:val="en-US"/>
        </w:rPr>
        <w:t xml:space="preserve"> (2002) ‘A complement component C3-like protein from the tunicate, </w:t>
      </w:r>
      <w:r w:rsidRPr="00E72BF2">
        <w:rPr>
          <w:rFonts w:ascii="Arial" w:hAnsi="Arial" w:cs="Arial"/>
          <w:i/>
          <w:iCs/>
          <w:noProof/>
          <w:sz w:val="18"/>
          <w:lang w:val="en-US"/>
        </w:rPr>
        <w:t>Styela plicata</w:t>
      </w:r>
      <w:r w:rsidRPr="00E72BF2">
        <w:rPr>
          <w:rFonts w:ascii="Arial" w:hAnsi="Arial" w:cs="Arial"/>
          <w:noProof/>
          <w:sz w:val="18"/>
          <w:lang w:val="en-US"/>
        </w:rPr>
        <w:t xml:space="preserve">’, </w:t>
      </w:r>
      <w:r w:rsidRPr="00E72BF2">
        <w:rPr>
          <w:rFonts w:ascii="Arial" w:hAnsi="Arial" w:cs="Arial"/>
          <w:i/>
          <w:iCs/>
          <w:noProof/>
          <w:sz w:val="18"/>
          <w:lang w:val="en-US"/>
        </w:rPr>
        <w:t>Developmental &amp; Comparative Immunology</w:t>
      </w:r>
      <w:r w:rsidRPr="00E72BF2">
        <w:rPr>
          <w:rFonts w:ascii="Arial" w:hAnsi="Arial" w:cs="Arial"/>
          <w:noProof/>
          <w:sz w:val="18"/>
          <w:lang w:val="en-US"/>
        </w:rPr>
        <w:t>, 26(4), pp. 307–312. doi: 10.1016/S0145-305X(01)00080-5.</w:t>
      </w:r>
    </w:p>
    <w:p w14:paraId="6BEEA2B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Rämet, M. </w:t>
      </w:r>
      <w:r w:rsidRPr="00E72BF2">
        <w:rPr>
          <w:rFonts w:ascii="Arial" w:hAnsi="Arial" w:cs="Arial"/>
          <w:i/>
          <w:iCs/>
          <w:noProof/>
          <w:sz w:val="18"/>
          <w:lang w:val="en-US"/>
        </w:rPr>
        <w:t>et al.</w:t>
      </w:r>
      <w:r w:rsidRPr="00E72BF2">
        <w:rPr>
          <w:rFonts w:ascii="Arial" w:hAnsi="Arial" w:cs="Arial"/>
          <w:noProof/>
          <w:sz w:val="18"/>
          <w:lang w:val="en-US"/>
        </w:rPr>
        <w:t xml:space="preserve"> (2002) ‘Functional genomic analysis of phagocytosis and identification of a </w:t>
      </w:r>
      <w:r w:rsidRPr="00E72BF2">
        <w:rPr>
          <w:rFonts w:ascii="Arial" w:hAnsi="Arial" w:cs="Arial"/>
          <w:i/>
          <w:iCs/>
          <w:noProof/>
          <w:sz w:val="18"/>
          <w:lang w:val="en-US"/>
        </w:rPr>
        <w:t>Drosophila</w:t>
      </w:r>
      <w:r w:rsidRPr="00E72BF2">
        <w:rPr>
          <w:rFonts w:ascii="Arial" w:hAnsi="Arial" w:cs="Arial"/>
          <w:noProof/>
          <w:sz w:val="18"/>
          <w:lang w:val="en-US"/>
        </w:rPr>
        <w:t xml:space="preserve"> receptor for </w:t>
      </w:r>
      <w:r w:rsidRPr="00E72BF2">
        <w:rPr>
          <w:rFonts w:ascii="Arial" w:hAnsi="Arial" w:cs="Arial"/>
          <w:i/>
          <w:iCs/>
          <w:noProof/>
          <w:sz w:val="18"/>
          <w:lang w:val="en-US"/>
        </w:rPr>
        <w:t>E. coli</w:t>
      </w:r>
      <w:r w:rsidRPr="00E72BF2">
        <w:rPr>
          <w:rFonts w:ascii="Arial" w:hAnsi="Arial" w:cs="Arial"/>
          <w:noProof/>
          <w:sz w:val="18"/>
          <w:lang w:val="en-US"/>
        </w:rPr>
        <w:t xml:space="preserve">’, </w:t>
      </w:r>
      <w:r w:rsidRPr="00E72BF2">
        <w:rPr>
          <w:rFonts w:ascii="Arial" w:hAnsi="Arial" w:cs="Arial"/>
          <w:i/>
          <w:iCs/>
          <w:noProof/>
          <w:sz w:val="18"/>
          <w:lang w:val="en-US"/>
        </w:rPr>
        <w:t>Nature</w:t>
      </w:r>
      <w:r w:rsidRPr="00E72BF2">
        <w:rPr>
          <w:rFonts w:ascii="Arial" w:hAnsi="Arial" w:cs="Arial"/>
          <w:noProof/>
          <w:sz w:val="18"/>
          <w:lang w:val="en-US"/>
        </w:rPr>
        <w:t>, 416(6881), pp. 644–648. doi: 10.1038/nature735.</w:t>
      </w:r>
    </w:p>
    <w:p w14:paraId="3CE60500"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Ren, Y. </w:t>
      </w:r>
      <w:r w:rsidRPr="00E72BF2">
        <w:rPr>
          <w:rFonts w:ascii="Arial" w:hAnsi="Arial" w:cs="Arial"/>
          <w:i/>
          <w:iCs/>
          <w:noProof/>
          <w:sz w:val="18"/>
          <w:lang w:val="en-US"/>
        </w:rPr>
        <w:t>et al.</w:t>
      </w:r>
      <w:r w:rsidRPr="00E72BF2">
        <w:rPr>
          <w:rFonts w:ascii="Arial" w:hAnsi="Arial" w:cs="Arial"/>
          <w:noProof/>
          <w:sz w:val="18"/>
          <w:lang w:val="en-US"/>
        </w:rPr>
        <w:t xml:space="preserve"> (2016) ‘Identification and functional characterization of three TLR signaling pathway genes in </w:t>
      </w:r>
      <w:r w:rsidRPr="00E72BF2">
        <w:rPr>
          <w:rFonts w:ascii="Arial" w:hAnsi="Arial" w:cs="Arial"/>
          <w:i/>
          <w:iCs/>
          <w:noProof/>
          <w:sz w:val="18"/>
          <w:lang w:val="en-US"/>
        </w:rPr>
        <w:t>Cyclina sinensis</w:t>
      </w:r>
      <w:r w:rsidRPr="00E72BF2">
        <w:rPr>
          <w:rFonts w:ascii="Arial" w:hAnsi="Arial" w:cs="Arial"/>
          <w:noProof/>
          <w:sz w:val="18"/>
          <w:lang w:val="en-US"/>
        </w:rPr>
        <w:t xml:space="preserve">’, </w:t>
      </w:r>
      <w:r w:rsidRPr="00E72BF2">
        <w:rPr>
          <w:rFonts w:ascii="Arial" w:hAnsi="Arial" w:cs="Arial"/>
          <w:i/>
          <w:iCs/>
          <w:noProof/>
          <w:sz w:val="18"/>
          <w:lang w:val="en-US"/>
        </w:rPr>
        <w:t>Fish &amp; Shellfish Immunology</w:t>
      </w:r>
      <w:r w:rsidRPr="00E72BF2">
        <w:rPr>
          <w:rFonts w:ascii="Arial" w:hAnsi="Arial" w:cs="Arial"/>
          <w:noProof/>
          <w:sz w:val="18"/>
          <w:lang w:val="en-US"/>
        </w:rPr>
        <w:t>. Elsevier Ltd, 50, pp. 150–159. doi: 10.1016/j.fsi.2016.01.025.</w:t>
      </w:r>
    </w:p>
    <w:p w14:paraId="5F5AB0D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Ren, Y. </w:t>
      </w:r>
      <w:r w:rsidRPr="00E72BF2">
        <w:rPr>
          <w:rFonts w:ascii="Arial" w:hAnsi="Arial" w:cs="Arial"/>
          <w:i/>
          <w:iCs/>
          <w:noProof/>
          <w:sz w:val="18"/>
          <w:lang w:val="en-US"/>
        </w:rPr>
        <w:t>et al.</w:t>
      </w:r>
      <w:r w:rsidRPr="00E72BF2">
        <w:rPr>
          <w:rFonts w:ascii="Arial" w:hAnsi="Arial" w:cs="Arial"/>
          <w:noProof/>
          <w:sz w:val="18"/>
          <w:lang w:val="en-US"/>
        </w:rPr>
        <w:t xml:space="preserve"> (2017) ‘Comparative and evolutionary analysis of an adapter molecule MyD88 in invertebrate metazoans’, </w:t>
      </w:r>
      <w:r w:rsidRPr="00E72BF2">
        <w:rPr>
          <w:rFonts w:ascii="Arial" w:hAnsi="Arial" w:cs="Arial"/>
          <w:i/>
          <w:iCs/>
          <w:noProof/>
          <w:sz w:val="18"/>
          <w:lang w:val="en-US"/>
        </w:rPr>
        <w:t>Developmental &amp; Comparative Immunology</w:t>
      </w:r>
      <w:r w:rsidRPr="00E72BF2">
        <w:rPr>
          <w:rFonts w:ascii="Arial" w:hAnsi="Arial" w:cs="Arial"/>
          <w:noProof/>
          <w:sz w:val="18"/>
          <w:lang w:val="en-US"/>
        </w:rPr>
        <w:t>. Elsevier Ltd, 76, pp. 18–24. doi: 10.1016/j.dci.2017.05.007.</w:t>
      </w:r>
    </w:p>
    <w:p w14:paraId="353EC16F"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Rock, F. L. </w:t>
      </w:r>
      <w:r w:rsidRPr="00E72BF2">
        <w:rPr>
          <w:rFonts w:ascii="Arial" w:hAnsi="Arial" w:cs="Arial"/>
          <w:i/>
          <w:iCs/>
          <w:noProof/>
          <w:sz w:val="18"/>
          <w:lang w:val="en-US"/>
        </w:rPr>
        <w:t>et al.</w:t>
      </w:r>
      <w:r w:rsidRPr="00E72BF2">
        <w:rPr>
          <w:rFonts w:ascii="Arial" w:hAnsi="Arial" w:cs="Arial"/>
          <w:noProof/>
          <w:sz w:val="18"/>
          <w:lang w:val="en-US"/>
        </w:rPr>
        <w:t xml:space="preserve"> (1998) ‘A family of human receptors structurally related to </w:t>
      </w:r>
      <w:r w:rsidRPr="00E72BF2">
        <w:rPr>
          <w:rFonts w:ascii="Arial" w:hAnsi="Arial" w:cs="Arial"/>
          <w:i/>
          <w:iCs/>
          <w:noProof/>
          <w:sz w:val="18"/>
          <w:lang w:val="en-US"/>
        </w:rPr>
        <w:t>Drosophila</w:t>
      </w:r>
      <w:r w:rsidRPr="00E72BF2">
        <w:rPr>
          <w:rFonts w:ascii="Arial" w:hAnsi="Arial" w:cs="Arial"/>
          <w:noProof/>
          <w:sz w:val="18"/>
          <w:lang w:val="en-US"/>
        </w:rPr>
        <w:t xml:space="preserve"> Toll’,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95(2), pp. 588–593. doi: 10.1073/pnas.95.2.588.</w:t>
      </w:r>
    </w:p>
    <w:p w14:paraId="438F81F0"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Romero, A. </w:t>
      </w:r>
      <w:r w:rsidRPr="00E72BF2">
        <w:rPr>
          <w:rFonts w:ascii="Arial" w:hAnsi="Arial" w:cs="Arial"/>
          <w:i/>
          <w:iCs/>
          <w:noProof/>
          <w:sz w:val="18"/>
          <w:lang w:val="en-US"/>
        </w:rPr>
        <w:t>et al.</w:t>
      </w:r>
      <w:r w:rsidRPr="00E72BF2">
        <w:rPr>
          <w:rFonts w:ascii="Arial" w:hAnsi="Arial" w:cs="Arial"/>
          <w:noProof/>
          <w:sz w:val="18"/>
          <w:lang w:val="en-US"/>
        </w:rPr>
        <w:t xml:space="preserve"> (2011) ‘New Insights into the Apoptotic Process in Mollusks: Characterization of Caspase Genes in </w:t>
      </w:r>
      <w:r w:rsidRPr="00E72BF2">
        <w:rPr>
          <w:rFonts w:ascii="Arial" w:hAnsi="Arial" w:cs="Arial"/>
          <w:i/>
          <w:iCs/>
          <w:noProof/>
          <w:sz w:val="18"/>
          <w:lang w:val="en-US"/>
        </w:rPr>
        <w:t>Mytilus galloprovincialis</w:t>
      </w:r>
      <w:r w:rsidRPr="00E72BF2">
        <w:rPr>
          <w:rFonts w:ascii="Arial" w:hAnsi="Arial" w:cs="Arial"/>
          <w:noProof/>
          <w:sz w:val="18"/>
          <w:lang w:val="en-US"/>
        </w:rPr>
        <w:t xml:space="preserve">’, </w:t>
      </w:r>
      <w:r w:rsidRPr="00E72BF2">
        <w:rPr>
          <w:rFonts w:ascii="Arial" w:hAnsi="Arial" w:cs="Arial"/>
          <w:i/>
          <w:iCs/>
          <w:noProof/>
          <w:sz w:val="18"/>
          <w:lang w:val="en-US"/>
        </w:rPr>
        <w:t>PLoS ONE</w:t>
      </w:r>
      <w:r w:rsidRPr="00E72BF2">
        <w:rPr>
          <w:rFonts w:ascii="Arial" w:hAnsi="Arial" w:cs="Arial"/>
          <w:noProof/>
          <w:sz w:val="18"/>
          <w:lang w:val="en-US"/>
        </w:rPr>
        <w:t>. Edited by A. Bergmann, 6(2), p. e17003. doi: 10.1371/journal.pone.0017003.</w:t>
      </w:r>
    </w:p>
    <w:p w14:paraId="73789A0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Rosado, C. J. </w:t>
      </w:r>
      <w:r w:rsidRPr="00E72BF2">
        <w:rPr>
          <w:rFonts w:ascii="Arial" w:hAnsi="Arial" w:cs="Arial"/>
          <w:i/>
          <w:iCs/>
          <w:noProof/>
          <w:sz w:val="18"/>
          <w:lang w:val="en-US"/>
        </w:rPr>
        <w:t>et al.</w:t>
      </w:r>
      <w:r w:rsidRPr="00E72BF2">
        <w:rPr>
          <w:rFonts w:ascii="Arial" w:hAnsi="Arial" w:cs="Arial"/>
          <w:noProof/>
          <w:sz w:val="18"/>
          <w:lang w:val="en-US"/>
        </w:rPr>
        <w:t xml:space="preserve"> (2008) ‘The MACPF/CDC family of pore-forming toxins’, </w:t>
      </w:r>
      <w:r w:rsidRPr="00E72BF2">
        <w:rPr>
          <w:rFonts w:ascii="Arial" w:hAnsi="Arial" w:cs="Arial"/>
          <w:i/>
          <w:iCs/>
          <w:noProof/>
          <w:sz w:val="18"/>
          <w:lang w:val="en-US"/>
        </w:rPr>
        <w:t>Cellular Microbiology</w:t>
      </w:r>
      <w:r w:rsidRPr="00E72BF2">
        <w:rPr>
          <w:rFonts w:ascii="Arial" w:hAnsi="Arial" w:cs="Arial"/>
          <w:noProof/>
          <w:sz w:val="18"/>
          <w:lang w:val="en-US"/>
        </w:rPr>
        <w:t>, 10(9), pp. 1765–1774. doi: 10.1111/j.1462-5822.2008.01191.x.</w:t>
      </w:r>
    </w:p>
    <w:p w14:paraId="74B996BE"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Sasaki, N. </w:t>
      </w:r>
      <w:r w:rsidRPr="00E72BF2">
        <w:rPr>
          <w:rFonts w:ascii="Arial" w:hAnsi="Arial" w:cs="Arial"/>
          <w:i/>
          <w:iCs/>
          <w:noProof/>
          <w:sz w:val="18"/>
          <w:lang w:val="en-US"/>
        </w:rPr>
        <w:t>et al.</w:t>
      </w:r>
      <w:r w:rsidRPr="00E72BF2">
        <w:rPr>
          <w:rFonts w:ascii="Arial" w:hAnsi="Arial" w:cs="Arial"/>
          <w:noProof/>
          <w:sz w:val="18"/>
          <w:lang w:val="en-US"/>
        </w:rPr>
        <w:t xml:space="preserve"> (2009) ‘Toll-like Receptors of the ascidian </w:t>
      </w:r>
      <w:r w:rsidRPr="00E72BF2">
        <w:rPr>
          <w:rFonts w:ascii="Arial" w:hAnsi="Arial" w:cs="Arial"/>
          <w:i/>
          <w:iCs/>
          <w:noProof/>
          <w:sz w:val="18"/>
          <w:lang w:val="en-US"/>
        </w:rPr>
        <w:t>Ciona intestinalis</w:t>
      </w:r>
      <w:r w:rsidRPr="00E72BF2">
        <w:rPr>
          <w:rFonts w:ascii="Arial" w:hAnsi="Arial" w:cs="Arial"/>
          <w:noProof/>
          <w:sz w:val="18"/>
          <w:lang w:val="en-US"/>
        </w:rPr>
        <w:t xml:space="preserve">’, </w:t>
      </w:r>
      <w:r w:rsidRPr="00E72BF2">
        <w:rPr>
          <w:rFonts w:ascii="Arial" w:hAnsi="Arial" w:cs="Arial"/>
          <w:i/>
          <w:iCs/>
          <w:noProof/>
          <w:sz w:val="18"/>
          <w:lang w:val="en-US"/>
        </w:rPr>
        <w:t>Journal of Biological Chemistry</w:t>
      </w:r>
      <w:r w:rsidRPr="00E72BF2">
        <w:rPr>
          <w:rFonts w:ascii="Arial" w:hAnsi="Arial" w:cs="Arial"/>
          <w:noProof/>
          <w:sz w:val="18"/>
          <w:lang w:val="en-US"/>
        </w:rPr>
        <w:t>, 284(40), pp. 27336–27343. doi: 10.1074/jbc.M109.032433.</w:t>
      </w:r>
    </w:p>
    <w:p w14:paraId="0ED8EAA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Sastry, K. </w:t>
      </w:r>
      <w:r w:rsidRPr="00E72BF2">
        <w:rPr>
          <w:rFonts w:ascii="Arial" w:hAnsi="Arial" w:cs="Arial"/>
          <w:i/>
          <w:iCs/>
          <w:noProof/>
          <w:sz w:val="18"/>
          <w:lang w:val="en-US"/>
        </w:rPr>
        <w:t>et al.</w:t>
      </w:r>
      <w:r w:rsidRPr="00E72BF2">
        <w:rPr>
          <w:rFonts w:ascii="Arial" w:hAnsi="Arial" w:cs="Arial"/>
          <w:noProof/>
          <w:sz w:val="18"/>
          <w:lang w:val="en-US"/>
        </w:rPr>
        <w:t xml:space="preserve"> (1989) ‘The human mannose-binding protein gene. Exon structure reveals its evolutionary relationship to a human pulmonary surfactant gene and localization to chromosome 10.’, </w:t>
      </w:r>
      <w:r w:rsidRPr="00E72BF2">
        <w:rPr>
          <w:rFonts w:ascii="Arial" w:hAnsi="Arial" w:cs="Arial"/>
          <w:i/>
          <w:iCs/>
          <w:noProof/>
          <w:sz w:val="18"/>
          <w:lang w:val="en-US"/>
        </w:rPr>
        <w:t>Journal of Experimental Medicine</w:t>
      </w:r>
      <w:r w:rsidRPr="00E72BF2">
        <w:rPr>
          <w:rFonts w:ascii="Arial" w:hAnsi="Arial" w:cs="Arial"/>
          <w:noProof/>
          <w:sz w:val="18"/>
          <w:lang w:val="en-US"/>
        </w:rPr>
        <w:t>, 170(4), pp. 1175–1189. doi: 10.1084/jem.170.4.1175.</w:t>
      </w:r>
    </w:p>
    <w:p w14:paraId="32AE538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Sekiguchi, R., Fujito, N. T. and Nonaka, M. (2012) ‘Evolution of the thioester-containing proteins (TEPs) of the arthropoda, revealed by molecular cloning of TEP genes from a spider, </w:t>
      </w:r>
      <w:r w:rsidRPr="00E72BF2">
        <w:rPr>
          <w:rFonts w:ascii="Arial" w:hAnsi="Arial" w:cs="Arial"/>
          <w:i/>
          <w:iCs/>
          <w:noProof/>
          <w:sz w:val="18"/>
          <w:lang w:val="en-US"/>
        </w:rPr>
        <w:t>Hasarius adansoni</w:t>
      </w:r>
      <w:r w:rsidRPr="00E72BF2">
        <w:rPr>
          <w:rFonts w:ascii="Arial" w:hAnsi="Arial" w:cs="Arial"/>
          <w:noProof/>
          <w:sz w:val="18"/>
          <w:lang w:val="en-US"/>
        </w:rPr>
        <w:t xml:space="preserve">’, </w:t>
      </w:r>
      <w:r w:rsidRPr="00E72BF2">
        <w:rPr>
          <w:rFonts w:ascii="Arial" w:hAnsi="Arial" w:cs="Arial"/>
          <w:i/>
          <w:iCs/>
          <w:noProof/>
          <w:sz w:val="18"/>
          <w:lang w:val="en-US"/>
        </w:rPr>
        <w:t>Developmental &amp; Comparative Immunology</w:t>
      </w:r>
      <w:r w:rsidRPr="00E72BF2">
        <w:rPr>
          <w:rFonts w:ascii="Arial" w:hAnsi="Arial" w:cs="Arial"/>
          <w:noProof/>
          <w:sz w:val="18"/>
          <w:lang w:val="en-US"/>
        </w:rPr>
        <w:t>. Elsevier Ltd, 36(2), pp. 483–489. doi: 10.1016/j.dci.2011.05.003.</w:t>
      </w:r>
    </w:p>
    <w:p w14:paraId="64C7DDA6"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Sekiguchi, R. and Nonaka, M. (2015) ‘Evolution of the complement system in protostomes revealed by de novo </w:t>
      </w:r>
      <w:r w:rsidRPr="00E72BF2">
        <w:rPr>
          <w:rFonts w:ascii="Arial" w:hAnsi="Arial" w:cs="Arial"/>
          <w:noProof/>
          <w:sz w:val="18"/>
          <w:lang w:val="en-US"/>
        </w:rPr>
        <w:lastRenderedPageBreak/>
        <w:t xml:space="preserve">transcriptome analysis of six species of Arthropoda’, </w:t>
      </w:r>
      <w:r w:rsidRPr="00E72BF2">
        <w:rPr>
          <w:rFonts w:ascii="Arial" w:hAnsi="Arial" w:cs="Arial"/>
          <w:i/>
          <w:iCs/>
          <w:noProof/>
          <w:sz w:val="18"/>
          <w:lang w:val="en-US"/>
        </w:rPr>
        <w:t>Developmental &amp; Comparative Immunology</w:t>
      </w:r>
      <w:r w:rsidRPr="00E72BF2">
        <w:rPr>
          <w:rFonts w:ascii="Arial" w:hAnsi="Arial" w:cs="Arial"/>
          <w:noProof/>
          <w:sz w:val="18"/>
          <w:lang w:val="en-US"/>
        </w:rPr>
        <w:t>. Elsevier Ltd, 50(1), pp. 58–67. doi: 10.1016/j.dci.2014.12.008.</w:t>
      </w:r>
    </w:p>
    <w:p w14:paraId="628F278F"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Sekine, H. </w:t>
      </w:r>
      <w:r w:rsidRPr="00E72BF2">
        <w:rPr>
          <w:rFonts w:ascii="Arial" w:hAnsi="Arial" w:cs="Arial"/>
          <w:i/>
          <w:iCs/>
          <w:noProof/>
          <w:sz w:val="18"/>
          <w:lang w:val="en-US"/>
        </w:rPr>
        <w:t>et al.</w:t>
      </w:r>
      <w:r w:rsidRPr="00E72BF2">
        <w:rPr>
          <w:rFonts w:ascii="Arial" w:hAnsi="Arial" w:cs="Arial"/>
          <w:noProof/>
          <w:sz w:val="18"/>
          <w:lang w:val="en-US"/>
        </w:rPr>
        <w:t xml:space="preserve"> (2001) ‘An ancient lectin-dependent complement system in an ascidian: Novel lectin isolated from the plasma of the solitary ascidian, </w:t>
      </w:r>
      <w:r w:rsidRPr="00E72BF2">
        <w:rPr>
          <w:rFonts w:ascii="Arial" w:hAnsi="Arial" w:cs="Arial"/>
          <w:i/>
          <w:iCs/>
          <w:noProof/>
          <w:sz w:val="18"/>
          <w:lang w:val="en-US"/>
        </w:rPr>
        <w:t>Halocynthia roretzi</w:t>
      </w:r>
      <w:r w:rsidRPr="00E72BF2">
        <w:rPr>
          <w:rFonts w:ascii="Arial" w:hAnsi="Arial" w:cs="Arial"/>
          <w:noProof/>
          <w:sz w:val="18"/>
          <w:lang w:val="en-US"/>
        </w:rPr>
        <w:t xml:space="preserve">’, </w:t>
      </w:r>
      <w:r w:rsidRPr="00E72BF2">
        <w:rPr>
          <w:rFonts w:ascii="Arial" w:hAnsi="Arial" w:cs="Arial"/>
          <w:i/>
          <w:iCs/>
          <w:noProof/>
          <w:sz w:val="18"/>
          <w:lang w:val="en-US"/>
        </w:rPr>
        <w:t>The Journal of Immunology</w:t>
      </w:r>
      <w:r w:rsidRPr="00E72BF2">
        <w:rPr>
          <w:rFonts w:ascii="Arial" w:hAnsi="Arial" w:cs="Arial"/>
          <w:noProof/>
          <w:sz w:val="18"/>
          <w:lang w:val="en-US"/>
        </w:rPr>
        <w:t>, 167(8), pp. 4504–4510. doi: 10.4049/jimmunol.167.8.4504.</w:t>
      </w:r>
    </w:p>
    <w:p w14:paraId="28ED7543"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Shin, S. W. </w:t>
      </w:r>
      <w:r w:rsidRPr="00E72BF2">
        <w:rPr>
          <w:rFonts w:ascii="Arial" w:hAnsi="Arial" w:cs="Arial"/>
          <w:i/>
          <w:iCs/>
          <w:noProof/>
          <w:sz w:val="18"/>
          <w:lang w:val="en-US"/>
        </w:rPr>
        <w:t>et al.</w:t>
      </w:r>
      <w:r w:rsidRPr="00E72BF2">
        <w:rPr>
          <w:rFonts w:ascii="Arial" w:hAnsi="Arial" w:cs="Arial"/>
          <w:noProof/>
          <w:sz w:val="18"/>
          <w:lang w:val="en-US"/>
        </w:rPr>
        <w:t xml:space="preserve"> (2002) ‘Characterization of three alternatively spliced isoforms of the Rel/NF- B transcription factor Relish from the mosquito </w:t>
      </w:r>
      <w:r w:rsidRPr="00E72BF2">
        <w:rPr>
          <w:rFonts w:ascii="Arial" w:hAnsi="Arial" w:cs="Arial"/>
          <w:i/>
          <w:iCs/>
          <w:noProof/>
          <w:sz w:val="18"/>
          <w:lang w:val="en-US"/>
        </w:rPr>
        <w:t>Aedes aegypti</w:t>
      </w:r>
      <w:r w:rsidRPr="00E72BF2">
        <w:rPr>
          <w:rFonts w:ascii="Arial" w:hAnsi="Arial" w:cs="Arial"/>
          <w:noProof/>
          <w:sz w:val="18"/>
          <w:lang w:val="en-US"/>
        </w:rPr>
        <w:t xml:space="preserve">’,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99(15), pp. 9978–9983. doi: 10.1073/pnas.162345999.</w:t>
      </w:r>
    </w:p>
    <w:p w14:paraId="38B85CCA"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Skazina, M. A. and Gorbushin, A. M. (2016) ‘Characterization of the gene encoding a fibrinogen-related protein expressed in </w:t>
      </w:r>
      <w:r w:rsidRPr="00E72BF2">
        <w:rPr>
          <w:rFonts w:ascii="Arial" w:hAnsi="Arial" w:cs="Arial"/>
          <w:i/>
          <w:iCs/>
          <w:noProof/>
          <w:sz w:val="18"/>
          <w:lang w:val="en-US"/>
        </w:rPr>
        <w:t>Crassostrea gigas</w:t>
      </w:r>
      <w:r w:rsidRPr="00E72BF2">
        <w:rPr>
          <w:rFonts w:ascii="Arial" w:hAnsi="Arial" w:cs="Arial"/>
          <w:noProof/>
          <w:sz w:val="18"/>
          <w:lang w:val="en-US"/>
        </w:rPr>
        <w:t xml:space="preserve"> hemocytes’, </w:t>
      </w:r>
      <w:r w:rsidRPr="00E72BF2">
        <w:rPr>
          <w:rFonts w:ascii="Arial" w:hAnsi="Arial" w:cs="Arial"/>
          <w:i/>
          <w:iCs/>
          <w:noProof/>
          <w:sz w:val="18"/>
          <w:lang w:val="en-US"/>
        </w:rPr>
        <w:t>Fish &amp; Shellfish Immunology</w:t>
      </w:r>
      <w:r w:rsidRPr="00E72BF2">
        <w:rPr>
          <w:rFonts w:ascii="Arial" w:hAnsi="Arial" w:cs="Arial"/>
          <w:noProof/>
          <w:sz w:val="18"/>
          <w:lang w:val="en-US"/>
        </w:rPr>
        <w:t>. Elsevier Ltd, 54, pp. 586–588. doi: 10.1016/j.fsi.2016.05.017.</w:t>
      </w:r>
    </w:p>
    <w:p w14:paraId="13CC75DF"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Smith, L. C. </w:t>
      </w:r>
      <w:r w:rsidRPr="00E72BF2">
        <w:rPr>
          <w:rFonts w:ascii="Arial" w:hAnsi="Arial" w:cs="Arial"/>
          <w:i/>
          <w:iCs/>
          <w:noProof/>
          <w:sz w:val="18"/>
          <w:lang w:val="en-US"/>
        </w:rPr>
        <w:t>et al.</w:t>
      </w:r>
      <w:r w:rsidRPr="00E72BF2">
        <w:rPr>
          <w:rFonts w:ascii="Arial" w:hAnsi="Arial" w:cs="Arial"/>
          <w:noProof/>
          <w:sz w:val="18"/>
          <w:lang w:val="en-US"/>
        </w:rPr>
        <w:t xml:space="preserve"> (2006) ‘The sea urchin immune system’, </w:t>
      </w:r>
      <w:r w:rsidRPr="00E72BF2">
        <w:rPr>
          <w:rFonts w:ascii="Arial" w:hAnsi="Arial" w:cs="Arial"/>
          <w:i/>
          <w:iCs/>
          <w:noProof/>
          <w:sz w:val="18"/>
          <w:lang w:val="en-US"/>
        </w:rPr>
        <w:t>Invertebrate Survival Journal</w:t>
      </w:r>
      <w:r w:rsidRPr="00E72BF2">
        <w:rPr>
          <w:rFonts w:ascii="Arial" w:hAnsi="Arial" w:cs="Arial"/>
          <w:noProof/>
          <w:sz w:val="18"/>
          <w:lang w:val="en-US"/>
        </w:rPr>
        <w:t>, 3(1), pp. 25–39.</w:t>
      </w:r>
    </w:p>
    <w:p w14:paraId="25D2A03D"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Smith, L. C., Shih, C. S. and Dachenhausen, S. G. (1998) ‘Coelomocytes express SpBf, a homologue of factor B, the second component in the sea urchin complement system.’, </w:t>
      </w:r>
      <w:r w:rsidRPr="00E72BF2">
        <w:rPr>
          <w:rFonts w:ascii="Arial" w:hAnsi="Arial" w:cs="Arial"/>
          <w:i/>
          <w:iCs/>
          <w:noProof/>
          <w:sz w:val="18"/>
          <w:lang w:val="en-US"/>
        </w:rPr>
        <w:t>Journal of immunology (Baltimore, Md. : 1950)</w:t>
      </w:r>
      <w:r w:rsidRPr="00E72BF2">
        <w:rPr>
          <w:rFonts w:ascii="Arial" w:hAnsi="Arial" w:cs="Arial"/>
          <w:noProof/>
          <w:sz w:val="18"/>
          <w:lang w:val="en-US"/>
        </w:rPr>
        <w:t>, 161(12), pp. 6784–93. Available at: http://www.ncbi.nlm.nih.gov/pubmed/9862709.</w:t>
      </w:r>
    </w:p>
    <w:p w14:paraId="1C5A0EC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Srivastava, M. </w:t>
      </w:r>
      <w:r w:rsidRPr="00E72BF2">
        <w:rPr>
          <w:rFonts w:ascii="Arial" w:hAnsi="Arial" w:cs="Arial"/>
          <w:i/>
          <w:iCs/>
          <w:noProof/>
          <w:sz w:val="18"/>
          <w:lang w:val="en-US"/>
        </w:rPr>
        <w:t>et al.</w:t>
      </w:r>
      <w:r w:rsidRPr="00E72BF2">
        <w:rPr>
          <w:rFonts w:ascii="Arial" w:hAnsi="Arial" w:cs="Arial"/>
          <w:noProof/>
          <w:sz w:val="18"/>
          <w:lang w:val="en-US"/>
        </w:rPr>
        <w:t xml:space="preserve"> (2010) ‘The Amphimedon queenslandica genome and the evolution of animal complexity’, </w:t>
      </w:r>
      <w:r w:rsidRPr="00E72BF2">
        <w:rPr>
          <w:rFonts w:ascii="Arial" w:hAnsi="Arial" w:cs="Arial"/>
          <w:i/>
          <w:iCs/>
          <w:noProof/>
          <w:sz w:val="18"/>
          <w:lang w:val="en-US"/>
        </w:rPr>
        <w:t>Nature</w:t>
      </w:r>
      <w:r w:rsidRPr="00E72BF2">
        <w:rPr>
          <w:rFonts w:ascii="Arial" w:hAnsi="Arial" w:cs="Arial"/>
          <w:noProof/>
          <w:sz w:val="18"/>
          <w:lang w:val="en-US"/>
        </w:rPr>
        <w:t>. Nature Publishing Group, 466(7307), pp. 720–726. doi: 10.1038/nature09201.</w:t>
      </w:r>
    </w:p>
    <w:p w14:paraId="45F631ED"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Sullivan, J. C. </w:t>
      </w:r>
      <w:r w:rsidRPr="00E72BF2">
        <w:rPr>
          <w:rFonts w:ascii="Arial" w:hAnsi="Arial" w:cs="Arial"/>
          <w:i/>
          <w:iCs/>
          <w:noProof/>
          <w:sz w:val="18"/>
          <w:lang w:val="en-US"/>
        </w:rPr>
        <w:t>et al.</w:t>
      </w:r>
      <w:r w:rsidRPr="00E72BF2">
        <w:rPr>
          <w:rFonts w:ascii="Arial" w:hAnsi="Arial" w:cs="Arial"/>
          <w:noProof/>
          <w:sz w:val="18"/>
          <w:lang w:val="en-US"/>
        </w:rPr>
        <w:t xml:space="preserve"> (2007) ‘Rel homology domain-containing transcription factors in the cnidarian </w:t>
      </w:r>
      <w:r w:rsidRPr="00E72BF2">
        <w:rPr>
          <w:rFonts w:ascii="Arial" w:hAnsi="Arial" w:cs="Arial"/>
          <w:i/>
          <w:iCs/>
          <w:noProof/>
          <w:sz w:val="18"/>
          <w:lang w:val="en-US"/>
        </w:rPr>
        <w:t>Nematostella vectensis</w:t>
      </w:r>
      <w:r w:rsidRPr="00E72BF2">
        <w:rPr>
          <w:rFonts w:ascii="Arial" w:hAnsi="Arial" w:cs="Arial"/>
          <w:noProof/>
          <w:sz w:val="18"/>
          <w:lang w:val="en-US"/>
        </w:rPr>
        <w:t xml:space="preserve">’, </w:t>
      </w:r>
      <w:r w:rsidRPr="00E72BF2">
        <w:rPr>
          <w:rFonts w:ascii="Arial" w:hAnsi="Arial" w:cs="Arial"/>
          <w:i/>
          <w:iCs/>
          <w:noProof/>
          <w:sz w:val="18"/>
          <w:lang w:val="en-US"/>
        </w:rPr>
        <w:t>Development Genes and Evolution</w:t>
      </w:r>
      <w:r w:rsidRPr="00E72BF2">
        <w:rPr>
          <w:rFonts w:ascii="Arial" w:hAnsi="Arial" w:cs="Arial"/>
          <w:noProof/>
          <w:sz w:val="18"/>
          <w:lang w:val="en-US"/>
        </w:rPr>
        <w:t>, 217(1), pp. 63–72. doi: 10.1007/s00427-006-0111-6.</w:t>
      </w:r>
    </w:p>
    <w:p w14:paraId="10E62313"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Suzuki, M. M., Satoh, N. and Nonaka, M. (2002) ‘C6-like and C3-like molecules from the cephalochordate, amphioxus, suggest a cytolytic complement system in invertebrates’, </w:t>
      </w:r>
      <w:r w:rsidRPr="00E72BF2">
        <w:rPr>
          <w:rFonts w:ascii="Arial" w:hAnsi="Arial" w:cs="Arial"/>
          <w:i/>
          <w:iCs/>
          <w:noProof/>
          <w:sz w:val="18"/>
          <w:lang w:val="en-US"/>
        </w:rPr>
        <w:t>Journal of Molecular Evolution</w:t>
      </w:r>
      <w:r w:rsidRPr="00E72BF2">
        <w:rPr>
          <w:rFonts w:ascii="Arial" w:hAnsi="Arial" w:cs="Arial"/>
          <w:noProof/>
          <w:sz w:val="18"/>
          <w:lang w:val="en-US"/>
        </w:rPr>
        <w:t>, 54(5), pp. 671–679. doi: 10.1007/s00239-001-0068-z.</w:t>
      </w:r>
    </w:p>
    <w:p w14:paraId="67DC3870"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Svehag, S., Manhem, L. and Bloth, B. (1972) ‘Ultrastructure of Human C1q Protein’, </w:t>
      </w:r>
      <w:r w:rsidRPr="00E72BF2">
        <w:rPr>
          <w:rFonts w:ascii="Arial" w:hAnsi="Arial" w:cs="Arial"/>
          <w:i/>
          <w:iCs/>
          <w:noProof/>
          <w:sz w:val="18"/>
          <w:lang w:val="en-US"/>
        </w:rPr>
        <w:t>Nature New Biology</w:t>
      </w:r>
      <w:r w:rsidRPr="00E72BF2">
        <w:rPr>
          <w:rFonts w:ascii="Arial" w:hAnsi="Arial" w:cs="Arial"/>
          <w:noProof/>
          <w:sz w:val="18"/>
          <w:lang w:val="en-US"/>
        </w:rPr>
        <w:t>, 238(82), pp. 117–118. doi: 10.1038/newbio238117a0.</w:t>
      </w:r>
    </w:p>
    <w:p w14:paraId="066E04CC"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Takehana, A. </w:t>
      </w:r>
      <w:r w:rsidRPr="00E72BF2">
        <w:rPr>
          <w:rFonts w:ascii="Arial" w:hAnsi="Arial" w:cs="Arial"/>
          <w:i/>
          <w:iCs/>
          <w:noProof/>
          <w:sz w:val="18"/>
          <w:lang w:val="en-US"/>
        </w:rPr>
        <w:t>et al.</w:t>
      </w:r>
      <w:r w:rsidRPr="00E72BF2">
        <w:rPr>
          <w:rFonts w:ascii="Arial" w:hAnsi="Arial" w:cs="Arial"/>
          <w:noProof/>
          <w:sz w:val="18"/>
          <w:lang w:val="en-US"/>
        </w:rPr>
        <w:t xml:space="preserve"> (2002) ‘Overexpression of a pattern-recognition receptor, peptidoglycan-recognition protein-LE, activates imd/relish-mediated antibacterial defense and the prophenoloxidase cascade in </w:t>
      </w:r>
      <w:r w:rsidRPr="00E72BF2">
        <w:rPr>
          <w:rFonts w:ascii="Arial" w:hAnsi="Arial" w:cs="Arial"/>
          <w:i/>
          <w:iCs/>
          <w:noProof/>
          <w:sz w:val="18"/>
          <w:lang w:val="en-US"/>
        </w:rPr>
        <w:t xml:space="preserve">Drosophila </w:t>
      </w:r>
      <w:r w:rsidRPr="00E72BF2">
        <w:rPr>
          <w:rFonts w:ascii="Arial" w:hAnsi="Arial" w:cs="Arial"/>
          <w:noProof/>
          <w:sz w:val="18"/>
          <w:lang w:val="en-US"/>
        </w:rPr>
        <w:t xml:space="preserve">larvae’,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99(21), pp. 13705–13710. doi: 10.1073/pnas.212301199.</w:t>
      </w:r>
    </w:p>
    <w:p w14:paraId="45BAACFF"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Takehana, A. </w:t>
      </w:r>
      <w:r w:rsidRPr="00E72BF2">
        <w:rPr>
          <w:rFonts w:ascii="Arial" w:hAnsi="Arial" w:cs="Arial"/>
          <w:i/>
          <w:iCs/>
          <w:noProof/>
          <w:sz w:val="18"/>
          <w:lang w:val="en-US"/>
        </w:rPr>
        <w:t>et al.</w:t>
      </w:r>
      <w:r w:rsidRPr="00E72BF2">
        <w:rPr>
          <w:rFonts w:ascii="Arial" w:hAnsi="Arial" w:cs="Arial"/>
          <w:noProof/>
          <w:sz w:val="18"/>
          <w:lang w:val="en-US"/>
        </w:rPr>
        <w:t xml:space="preserve"> (2004) ‘Peptidoglycan recognition protein (PGRP)-LE and PGRP-LC act synergistically in </w:t>
      </w:r>
      <w:r w:rsidRPr="00E72BF2">
        <w:rPr>
          <w:rFonts w:ascii="Arial" w:hAnsi="Arial" w:cs="Arial"/>
          <w:i/>
          <w:iCs/>
          <w:noProof/>
          <w:sz w:val="18"/>
          <w:lang w:val="en-US"/>
        </w:rPr>
        <w:t>Drosophila</w:t>
      </w:r>
      <w:r w:rsidRPr="00E72BF2">
        <w:rPr>
          <w:rFonts w:ascii="Arial" w:hAnsi="Arial" w:cs="Arial"/>
          <w:noProof/>
          <w:sz w:val="18"/>
          <w:lang w:val="en-US"/>
        </w:rPr>
        <w:t xml:space="preserve"> immunity’, </w:t>
      </w:r>
      <w:r w:rsidRPr="00E72BF2">
        <w:rPr>
          <w:rFonts w:ascii="Arial" w:hAnsi="Arial" w:cs="Arial"/>
          <w:i/>
          <w:iCs/>
          <w:noProof/>
          <w:sz w:val="18"/>
          <w:lang w:val="en-US"/>
        </w:rPr>
        <w:t>The EMBO Journal</w:t>
      </w:r>
      <w:r w:rsidRPr="00E72BF2">
        <w:rPr>
          <w:rFonts w:ascii="Arial" w:hAnsi="Arial" w:cs="Arial"/>
          <w:noProof/>
          <w:sz w:val="18"/>
          <w:lang w:val="en-US"/>
        </w:rPr>
        <w:t>, 23(23), pp. 4690–4700. doi: 10.1038/sj.emboj.7600466.</w:t>
      </w:r>
    </w:p>
    <w:p w14:paraId="258B96E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Tassia, M. G., Whelan, N. V. and Halanych, K. M. (2017) ‘Toll-like receptor pathway evolution in deuterostomes’,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114(27), pp. 7055–7060. doi: 10.1073/pnas.1617722114.</w:t>
      </w:r>
    </w:p>
    <w:p w14:paraId="77288403"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The C.elegans Sequencing Consortium (1998) ‘Genome sequence of the nematode </w:t>
      </w:r>
      <w:r w:rsidRPr="00E72BF2">
        <w:rPr>
          <w:rFonts w:ascii="Arial" w:hAnsi="Arial" w:cs="Arial"/>
          <w:i/>
          <w:iCs/>
          <w:noProof/>
          <w:sz w:val="18"/>
          <w:lang w:val="en-US"/>
        </w:rPr>
        <w:t>C. elegans</w:t>
      </w:r>
      <w:r w:rsidRPr="00E72BF2">
        <w:rPr>
          <w:rFonts w:ascii="Arial" w:hAnsi="Arial" w:cs="Arial"/>
          <w:noProof/>
          <w:sz w:val="18"/>
          <w:lang w:val="en-US"/>
        </w:rPr>
        <w:t xml:space="preserve">: A platform for investigating biology’, </w:t>
      </w:r>
      <w:r w:rsidRPr="00E72BF2">
        <w:rPr>
          <w:rFonts w:ascii="Arial" w:hAnsi="Arial" w:cs="Arial"/>
          <w:i/>
          <w:iCs/>
          <w:noProof/>
          <w:sz w:val="18"/>
          <w:lang w:val="en-US"/>
        </w:rPr>
        <w:t>Science</w:t>
      </w:r>
      <w:r w:rsidRPr="00E72BF2">
        <w:rPr>
          <w:rFonts w:ascii="Arial" w:hAnsi="Arial" w:cs="Arial"/>
          <w:noProof/>
          <w:sz w:val="18"/>
          <w:lang w:val="en-US"/>
        </w:rPr>
        <w:t>, 282(5396), pp. 2012–2018. doi: 10.1126/science.282.5396.2012.</w:t>
      </w:r>
    </w:p>
    <w:p w14:paraId="685D6977"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Toubiana, M. </w:t>
      </w:r>
      <w:r w:rsidRPr="00E72BF2">
        <w:rPr>
          <w:rFonts w:ascii="Arial" w:hAnsi="Arial" w:cs="Arial"/>
          <w:i/>
          <w:iCs/>
          <w:noProof/>
          <w:sz w:val="18"/>
          <w:lang w:val="en-US"/>
        </w:rPr>
        <w:t>et al.</w:t>
      </w:r>
      <w:r w:rsidRPr="00E72BF2">
        <w:rPr>
          <w:rFonts w:ascii="Arial" w:hAnsi="Arial" w:cs="Arial"/>
          <w:noProof/>
          <w:sz w:val="18"/>
          <w:lang w:val="en-US"/>
        </w:rPr>
        <w:t xml:space="preserve"> (2014) ‘Toll signal transduction pathway in bivalves: Complete cds of intermediate elements and related gene transcription levels in hemocytes of immune stimulated </w:t>
      </w:r>
      <w:r w:rsidRPr="00E72BF2">
        <w:rPr>
          <w:rFonts w:ascii="Arial" w:hAnsi="Arial" w:cs="Arial"/>
          <w:i/>
          <w:iCs/>
          <w:noProof/>
          <w:sz w:val="18"/>
          <w:lang w:val="en-US"/>
        </w:rPr>
        <w:t>Mytilus galloprovincialis</w:t>
      </w:r>
      <w:r w:rsidRPr="00E72BF2">
        <w:rPr>
          <w:rFonts w:ascii="Arial" w:hAnsi="Arial" w:cs="Arial"/>
          <w:noProof/>
          <w:sz w:val="18"/>
          <w:lang w:val="en-US"/>
        </w:rPr>
        <w:t xml:space="preserve">’, </w:t>
      </w:r>
      <w:r w:rsidRPr="00E72BF2">
        <w:rPr>
          <w:rFonts w:ascii="Arial" w:hAnsi="Arial" w:cs="Arial"/>
          <w:i/>
          <w:iCs/>
          <w:noProof/>
          <w:sz w:val="18"/>
          <w:lang w:val="en-US"/>
        </w:rPr>
        <w:t>Developmental &amp; Comparative Immunology</w:t>
      </w:r>
      <w:r w:rsidRPr="00E72BF2">
        <w:rPr>
          <w:rFonts w:ascii="Arial" w:hAnsi="Arial" w:cs="Arial"/>
          <w:noProof/>
          <w:sz w:val="18"/>
          <w:lang w:val="en-US"/>
        </w:rPr>
        <w:t>, 45(2), pp. 300–312. doi: 10.1016/j.dci.2014.03.021.</w:t>
      </w:r>
    </w:p>
    <w:p w14:paraId="62A3D62A"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Valanne, S., Wang, J.-H. and Rämet, M. (2011) ‘The </w:t>
      </w:r>
      <w:r w:rsidRPr="00E72BF2">
        <w:rPr>
          <w:rFonts w:ascii="Arial" w:hAnsi="Arial" w:cs="Arial"/>
          <w:i/>
          <w:iCs/>
          <w:noProof/>
          <w:sz w:val="18"/>
          <w:lang w:val="en-US"/>
        </w:rPr>
        <w:t>Drosophila</w:t>
      </w:r>
      <w:r w:rsidRPr="00E72BF2">
        <w:rPr>
          <w:rFonts w:ascii="Arial" w:hAnsi="Arial" w:cs="Arial"/>
          <w:noProof/>
          <w:sz w:val="18"/>
          <w:lang w:val="en-US"/>
        </w:rPr>
        <w:t xml:space="preserve"> Toll signaling pathway’, </w:t>
      </w:r>
      <w:r w:rsidRPr="00E72BF2">
        <w:rPr>
          <w:rFonts w:ascii="Arial" w:hAnsi="Arial" w:cs="Arial"/>
          <w:i/>
          <w:iCs/>
          <w:noProof/>
          <w:sz w:val="18"/>
          <w:lang w:val="en-US"/>
        </w:rPr>
        <w:t>The Journal of Immunology</w:t>
      </w:r>
      <w:r w:rsidRPr="00E72BF2">
        <w:rPr>
          <w:rFonts w:ascii="Arial" w:hAnsi="Arial" w:cs="Arial"/>
          <w:noProof/>
          <w:sz w:val="18"/>
          <w:lang w:val="en-US"/>
        </w:rPr>
        <w:t>, 186(2), pp. 649–656. doi: 10.4049/jimmunol.1002302.</w:t>
      </w:r>
    </w:p>
    <w:p w14:paraId="425C0497"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Vorup-Jensen, T. and Jensen, R. K. (2018) ‘Structural immunology of complement receptors 3 and 4’, </w:t>
      </w:r>
      <w:r w:rsidRPr="00E72BF2">
        <w:rPr>
          <w:rFonts w:ascii="Arial" w:hAnsi="Arial" w:cs="Arial"/>
          <w:i/>
          <w:iCs/>
          <w:noProof/>
          <w:sz w:val="18"/>
          <w:lang w:val="en-US"/>
        </w:rPr>
        <w:t>Frontiers in Immunology</w:t>
      </w:r>
      <w:r w:rsidRPr="00E72BF2">
        <w:rPr>
          <w:rFonts w:ascii="Arial" w:hAnsi="Arial" w:cs="Arial"/>
          <w:noProof/>
          <w:sz w:val="18"/>
          <w:lang w:val="en-US"/>
        </w:rPr>
        <w:t>, 9(NOV), pp. 1–20. doi: 10.3389/fimmu.2018.02716.</w:t>
      </w:r>
    </w:p>
    <w:p w14:paraId="5F28EDF2"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Wang, Lingling </w:t>
      </w:r>
      <w:r w:rsidRPr="00E72BF2">
        <w:rPr>
          <w:rFonts w:ascii="Arial" w:hAnsi="Arial" w:cs="Arial"/>
          <w:i/>
          <w:iCs/>
          <w:noProof/>
          <w:sz w:val="18"/>
          <w:lang w:val="en-US"/>
        </w:rPr>
        <w:t>et al.</w:t>
      </w:r>
      <w:r w:rsidRPr="00E72BF2">
        <w:rPr>
          <w:rFonts w:ascii="Arial" w:hAnsi="Arial" w:cs="Arial"/>
          <w:noProof/>
          <w:sz w:val="18"/>
          <w:lang w:val="en-US"/>
        </w:rPr>
        <w:t xml:space="preserve"> (2017) ‘The RNA-seq analysis suggests a potential multi-component complement system in oyster </w:t>
      </w:r>
      <w:r w:rsidRPr="00E72BF2">
        <w:rPr>
          <w:rFonts w:ascii="Arial" w:hAnsi="Arial" w:cs="Arial"/>
          <w:i/>
          <w:iCs/>
          <w:noProof/>
          <w:sz w:val="18"/>
          <w:lang w:val="en-US"/>
        </w:rPr>
        <w:t>Crassostrea gigas</w:t>
      </w:r>
      <w:r w:rsidRPr="00E72BF2">
        <w:rPr>
          <w:rFonts w:ascii="Arial" w:hAnsi="Arial" w:cs="Arial"/>
          <w:noProof/>
          <w:sz w:val="18"/>
          <w:lang w:val="en-US"/>
        </w:rPr>
        <w:t xml:space="preserve">’, </w:t>
      </w:r>
      <w:r w:rsidRPr="00E72BF2">
        <w:rPr>
          <w:rFonts w:ascii="Arial" w:hAnsi="Arial" w:cs="Arial"/>
          <w:i/>
          <w:iCs/>
          <w:noProof/>
          <w:sz w:val="18"/>
          <w:lang w:val="en-US"/>
        </w:rPr>
        <w:t>Developmental &amp; Comparative Immunology</w:t>
      </w:r>
      <w:r w:rsidRPr="00E72BF2">
        <w:rPr>
          <w:rFonts w:ascii="Arial" w:hAnsi="Arial" w:cs="Arial"/>
          <w:noProof/>
          <w:sz w:val="18"/>
          <w:lang w:val="en-US"/>
        </w:rPr>
        <w:t>. Elsevier Ltd, 76, pp. 209–219. doi: 10.1016/j.dci.2017.06.009.</w:t>
      </w:r>
    </w:p>
    <w:p w14:paraId="403D35A1"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Wang, N. </w:t>
      </w:r>
      <w:r w:rsidRPr="00E72BF2">
        <w:rPr>
          <w:rFonts w:ascii="Arial" w:hAnsi="Arial" w:cs="Arial"/>
          <w:i/>
          <w:iCs/>
          <w:noProof/>
          <w:sz w:val="18"/>
          <w:lang w:val="en-US"/>
        </w:rPr>
        <w:t>et al.</w:t>
      </w:r>
      <w:r w:rsidRPr="00E72BF2">
        <w:rPr>
          <w:rFonts w:ascii="Arial" w:hAnsi="Arial" w:cs="Arial"/>
          <w:noProof/>
          <w:sz w:val="18"/>
          <w:lang w:val="en-US"/>
        </w:rPr>
        <w:t xml:space="preserve"> (2019) ‘Molecular cloning of complement component </w:t>
      </w:r>
      <w:r w:rsidRPr="00E72BF2">
        <w:rPr>
          <w:rFonts w:ascii="Arial" w:hAnsi="Arial" w:cs="Arial"/>
          <w:i/>
          <w:iCs/>
          <w:noProof/>
          <w:sz w:val="18"/>
          <w:lang w:val="en-US"/>
        </w:rPr>
        <w:t>C3</w:t>
      </w:r>
      <w:r w:rsidRPr="00E72BF2">
        <w:rPr>
          <w:rFonts w:ascii="Arial" w:hAnsi="Arial" w:cs="Arial"/>
          <w:noProof/>
          <w:sz w:val="18"/>
          <w:lang w:val="en-US"/>
        </w:rPr>
        <w:t xml:space="preserve"> gene from pearl mussel, </w:t>
      </w:r>
      <w:r w:rsidRPr="00E72BF2">
        <w:rPr>
          <w:rFonts w:ascii="Arial" w:hAnsi="Arial" w:cs="Arial"/>
          <w:i/>
          <w:iCs/>
          <w:noProof/>
          <w:sz w:val="18"/>
          <w:lang w:val="en-US"/>
        </w:rPr>
        <w:t>Hyriopsis cumingii</w:t>
      </w:r>
      <w:r w:rsidRPr="00E72BF2">
        <w:rPr>
          <w:rFonts w:ascii="Arial" w:hAnsi="Arial" w:cs="Arial"/>
          <w:noProof/>
          <w:sz w:val="18"/>
          <w:lang w:val="en-US"/>
        </w:rPr>
        <w:t xml:space="preserve"> and analysis of the gene expression in response to tissue transplantation’, </w:t>
      </w:r>
      <w:r w:rsidRPr="00E72BF2">
        <w:rPr>
          <w:rFonts w:ascii="Arial" w:hAnsi="Arial" w:cs="Arial"/>
          <w:i/>
          <w:iCs/>
          <w:noProof/>
          <w:sz w:val="18"/>
          <w:lang w:val="en-US"/>
        </w:rPr>
        <w:t>Fish &amp; Shellfish Immunology</w:t>
      </w:r>
      <w:r w:rsidRPr="00E72BF2">
        <w:rPr>
          <w:rFonts w:ascii="Arial" w:hAnsi="Arial" w:cs="Arial"/>
          <w:noProof/>
          <w:sz w:val="18"/>
          <w:lang w:val="en-US"/>
        </w:rPr>
        <w:t>. Elsevier, 94(301), pp. 288–293. doi: 10.1016/j.fsi.2019.09.010.</w:t>
      </w:r>
    </w:p>
    <w:p w14:paraId="073F3DB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Werner, T. </w:t>
      </w:r>
      <w:r w:rsidRPr="00E72BF2">
        <w:rPr>
          <w:rFonts w:ascii="Arial" w:hAnsi="Arial" w:cs="Arial"/>
          <w:i/>
          <w:iCs/>
          <w:noProof/>
          <w:sz w:val="18"/>
          <w:lang w:val="en-US"/>
        </w:rPr>
        <w:t>et al.</w:t>
      </w:r>
      <w:r w:rsidRPr="00E72BF2">
        <w:rPr>
          <w:rFonts w:ascii="Arial" w:hAnsi="Arial" w:cs="Arial"/>
          <w:noProof/>
          <w:sz w:val="18"/>
          <w:lang w:val="en-US"/>
        </w:rPr>
        <w:t xml:space="preserve"> (2000) ‘A family of peptidoglycan recognition proteins in the fruit fly </w:t>
      </w:r>
      <w:r w:rsidRPr="00E72BF2">
        <w:rPr>
          <w:rFonts w:ascii="Arial" w:hAnsi="Arial" w:cs="Arial"/>
          <w:i/>
          <w:iCs/>
          <w:noProof/>
          <w:sz w:val="18"/>
          <w:lang w:val="en-US"/>
        </w:rPr>
        <w:t>Drosophila melanogaster</w:t>
      </w:r>
      <w:r w:rsidRPr="00E72BF2">
        <w:rPr>
          <w:rFonts w:ascii="Arial" w:hAnsi="Arial" w:cs="Arial"/>
          <w:noProof/>
          <w:sz w:val="18"/>
          <w:lang w:val="en-US"/>
        </w:rPr>
        <w:t xml:space="preserve">’, </w:t>
      </w:r>
      <w:r w:rsidRPr="00E72BF2">
        <w:rPr>
          <w:rFonts w:ascii="Arial" w:hAnsi="Arial" w:cs="Arial"/>
          <w:i/>
          <w:iCs/>
          <w:noProof/>
          <w:sz w:val="18"/>
          <w:lang w:val="en-US"/>
        </w:rPr>
        <w:t>Proceedings of the National Academy of Sciences</w:t>
      </w:r>
      <w:r w:rsidRPr="00E72BF2">
        <w:rPr>
          <w:rFonts w:ascii="Arial" w:hAnsi="Arial" w:cs="Arial"/>
          <w:noProof/>
          <w:sz w:val="18"/>
          <w:lang w:val="en-US"/>
        </w:rPr>
        <w:t>, 97(25), pp. 13772–13777. doi: 10.1073/pnas.97.25.13772.</w:t>
      </w:r>
    </w:p>
    <w:p w14:paraId="202FD30D"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Werner, T. </w:t>
      </w:r>
      <w:r w:rsidRPr="00E72BF2">
        <w:rPr>
          <w:rFonts w:ascii="Arial" w:hAnsi="Arial" w:cs="Arial"/>
          <w:i/>
          <w:iCs/>
          <w:noProof/>
          <w:sz w:val="18"/>
          <w:lang w:val="en-US"/>
        </w:rPr>
        <w:t>et al.</w:t>
      </w:r>
      <w:r w:rsidRPr="00E72BF2">
        <w:rPr>
          <w:rFonts w:ascii="Arial" w:hAnsi="Arial" w:cs="Arial"/>
          <w:noProof/>
          <w:sz w:val="18"/>
          <w:lang w:val="en-US"/>
        </w:rPr>
        <w:t xml:space="preserve"> (2003) ‘Functional diversity of the </w:t>
      </w:r>
      <w:r w:rsidRPr="00E72BF2">
        <w:rPr>
          <w:rFonts w:ascii="Arial" w:hAnsi="Arial" w:cs="Arial"/>
          <w:i/>
          <w:iCs/>
          <w:noProof/>
          <w:sz w:val="18"/>
          <w:lang w:val="en-US"/>
        </w:rPr>
        <w:t>Drosophila PGRP-LC</w:t>
      </w:r>
      <w:r w:rsidRPr="00E72BF2">
        <w:rPr>
          <w:rFonts w:ascii="Arial" w:hAnsi="Arial" w:cs="Arial"/>
          <w:noProof/>
          <w:sz w:val="18"/>
          <w:lang w:val="en-US"/>
        </w:rPr>
        <w:t xml:space="preserve"> gene cluster in the response to lipopolysaccharide and peptidoglycan’, </w:t>
      </w:r>
      <w:r w:rsidRPr="00E72BF2">
        <w:rPr>
          <w:rFonts w:ascii="Arial" w:hAnsi="Arial" w:cs="Arial"/>
          <w:i/>
          <w:iCs/>
          <w:noProof/>
          <w:sz w:val="18"/>
          <w:lang w:val="en-US"/>
        </w:rPr>
        <w:t>Journal of Biological Chemistry</w:t>
      </w:r>
      <w:r w:rsidRPr="00E72BF2">
        <w:rPr>
          <w:rFonts w:ascii="Arial" w:hAnsi="Arial" w:cs="Arial"/>
          <w:noProof/>
          <w:sz w:val="18"/>
          <w:lang w:val="en-US"/>
        </w:rPr>
        <w:t>, 278(29), pp. 26319–26322. doi: 10.1074/jbc.C300184200.</w:t>
      </w:r>
    </w:p>
    <w:p w14:paraId="65C0625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Wesche, H. </w:t>
      </w:r>
      <w:r w:rsidRPr="00E72BF2">
        <w:rPr>
          <w:rFonts w:ascii="Arial" w:hAnsi="Arial" w:cs="Arial"/>
          <w:i/>
          <w:iCs/>
          <w:noProof/>
          <w:sz w:val="18"/>
          <w:lang w:val="en-US"/>
        </w:rPr>
        <w:t>et al.</w:t>
      </w:r>
      <w:r w:rsidRPr="00E72BF2">
        <w:rPr>
          <w:rFonts w:ascii="Arial" w:hAnsi="Arial" w:cs="Arial"/>
          <w:noProof/>
          <w:sz w:val="18"/>
          <w:lang w:val="en-US"/>
        </w:rPr>
        <w:t xml:space="preserve"> (1997) ‘MyD88: An adapter that recruits IRAK to the IL-1 receptor complex’, </w:t>
      </w:r>
      <w:r w:rsidRPr="00E72BF2">
        <w:rPr>
          <w:rFonts w:ascii="Arial" w:hAnsi="Arial" w:cs="Arial"/>
          <w:i/>
          <w:iCs/>
          <w:noProof/>
          <w:sz w:val="18"/>
          <w:lang w:val="en-US"/>
        </w:rPr>
        <w:t>Immunity</w:t>
      </w:r>
      <w:r w:rsidRPr="00E72BF2">
        <w:rPr>
          <w:rFonts w:ascii="Arial" w:hAnsi="Arial" w:cs="Arial"/>
          <w:noProof/>
          <w:sz w:val="18"/>
          <w:lang w:val="en-US"/>
        </w:rPr>
        <w:t>, 7(6), pp. 837–847. doi: 10.1016/S1074-7613(00)80402-1.</w:t>
      </w:r>
    </w:p>
    <w:p w14:paraId="20890ABB"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Wiens, M. </w:t>
      </w:r>
      <w:r w:rsidRPr="00E72BF2">
        <w:rPr>
          <w:rFonts w:ascii="Arial" w:hAnsi="Arial" w:cs="Arial"/>
          <w:i/>
          <w:iCs/>
          <w:noProof/>
          <w:sz w:val="18"/>
          <w:lang w:val="en-US"/>
        </w:rPr>
        <w:t>et al.</w:t>
      </w:r>
      <w:r w:rsidRPr="00E72BF2">
        <w:rPr>
          <w:rFonts w:ascii="Arial" w:hAnsi="Arial" w:cs="Arial"/>
          <w:noProof/>
          <w:sz w:val="18"/>
          <w:lang w:val="en-US"/>
        </w:rPr>
        <w:t xml:space="preserve"> (2005) ‘Innate Immune Defense of the Sponge </w:t>
      </w:r>
      <w:r w:rsidRPr="00E72BF2">
        <w:rPr>
          <w:rFonts w:ascii="Arial" w:hAnsi="Arial" w:cs="Arial"/>
          <w:i/>
          <w:iCs/>
          <w:noProof/>
          <w:sz w:val="18"/>
          <w:lang w:val="en-US"/>
        </w:rPr>
        <w:t>Suberites domuncula</w:t>
      </w:r>
      <w:r w:rsidRPr="00E72BF2">
        <w:rPr>
          <w:rFonts w:ascii="Arial" w:hAnsi="Arial" w:cs="Arial"/>
          <w:noProof/>
          <w:sz w:val="18"/>
          <w:lang w:val="en-US"/>
        </w:rPr>
        <w:t xml:space="preserve"> against Bacteria Involves a MyD88-dependent Signaling Pathway’, </w:t>
      </w:r>
      <w:r w:rsidRPr="00E72BF2">
        <w:rPr>
          <w:rFonts w:ascii="Arial" w:hAnsi="Arial" w:cs="Arial"/>
          <w:i/>
          <w:iCs/>
          <w:noProof/>
          <w:sz w:val="18"/>
          <w:lang w:val="en-US"/>
        </w:rPr>
        <w:t>Journal of Biological Chemistry</w:t>
      </w:r>
      <w:r w:rsidRPr="00E72BF2">
        <w:rPr>
          <w:rFonts w:ascii="Arial" w:hAnsi="Arial" w:cs="Arial"/>
          <w:noProof/>
          <w:sz w:val="18"/>
          <w:lang w:val="en-US"/>
        </w:rPr>
        <w:t>, 280(30), pp. 27949–27959. doi: 10.1074/jbc.M504049200.</w:t>
      </w:r>
    </w:p>
    <w:p w14:paraId="446D761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Wiens, M. </w:t>
      </w:r>
      <w:r w:rsidRPr="00E72BF2">
        <w:rPr>
          <w:rFonts w:ascii="Arial" w:hAnsi="Arial" w:cs="Arial"/>
          <w:i/>
          <w:iCs/>
          <w:noProof/>
          <w:sz w:val="18"/>
          <w:lang w:val="en-US"/>
        </w:rPr>
        <w:t>et al.</w:t>
      </w:r>
      <w:r w:rsidRPr="00E72BF2">
        <w:rPr>
          <w:rFonts w:ascii="Arial" w:hAnsi="Arial" w:cs="Arial"/>
          <w:noProof/>
          <w:sz w:val="18"/>
          <w:lang w:val="en-US"/>
        </w:rPr>
        <w:t xml:space="preserve"> (2006) ‘Toll-like receptors are part of the innate immune defense system of sponges (Demospongiae: Porifera)’, </w:t>
      </w:r>
      <w:r w:rsidRPr="00E72BF2">
        <w:rPr>
          <w:rFonts w:ascii="Arial" w:hAnsi="Arial" w:cs="Arial"/>
          <w:i/>
          <w:iCs/>
          <w:noProof/>
          <w:sz w:val="18"/>
          <w:lang w:val="en-US"/>
        </w:rPr>
        <w:t>Molecular Biology and Evolution</w:t>
      </w:r>
      <w:r w:rsidRPr="00E72BF2">
        <w:rPr>
          <w:rFonts w:ascii="Arial" w:hAnsi="Arial" w:cs="Arial"/>
          <w:noProof/>
          <w:sz w:val="18"/>
          <w:lang w:val="en-US"/>
        </w:rPr>
        <w:t>, 24(3), pp. 792–804. doi: 10.1093/molbev/msl208.</w:t>
      </w:r>
    </w:p>
    <w:p w14:paraId="3657EEC7"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Williams, L. M. </w:t>
      </w:r>
      <w:r w:rsidRPr="00E72BF2">
        <w:rPr>
          <w:rFonts w:ascii="Arial" w:hAnsi="Arial" w:cs="Arial"/>
          <w:i/>
          <w:iCs/>
          <w:noProof/>
          <w:sz w:val="18"/>
          <w:lang w:val="en-US"/>
        </w:rPr>
        <w:t>et al.</w:t>
      </w:r>
      <w:r w:rsidRPr="00E72BF2">
        <w:rPr>
          <w:rFonts w:ascii="Arial" w:hAnsi="Arial" w:cs="Arial"/>
          <w:noProof/>
          <w:sz w:val="18"/>
          <w:lang w:val="en-US"/>
        </w:rPr>
        <w:t xml:space="preserve"> (2018) ‘A conserved Toll-like receptor-to-NF-</w:t>
      </w:r>
      <w:r w:rsidRPr="00805017">
        <w:rPr>
          <w:rFonts w:ascii="Arial" w:hAnsi="Arial" w:cs="Arial"/>
          <w:noProof/>
          <w:sz w:val="18"/>
          <w:lang w:val="es-ES_tradnl"/>
        </w:rPr>
        <w:t>κ</w:t>
      </w:r>
      <w:r w:rsidRPr="00E72BF2">
        <w:rPr>
          <w:rFonts w:ascii="Arial" w:hAnsi="Arial" w:cs="Arial"/>
          <w:noProof/>
          <w:sz w:val="18"/>
          <w:lang w:val="en-US"/>
        </w:rPr>
        <w:t xml:space="preserve">B signaling pathway in the endangered coral </w:t>
      </w:r>
      <w:r w:rsidRPr="00E72BF2">
        <w:rPr>
          <w:rFonts w:ascii="Arial" w:hAnsi="Arial" w:cs="Arial"/>
          <w:i/>
          <w:iCs/>
          <w:noProof/>
          <w:sz w:val="18"/>
          <w:lang w:val="en-US"/>
        </w:rPr>
        <w:t>Orbicella faveolata</w:t>
      </w:r>
      <w:r w:rsidRPr="00E72BF2">
        <w:rPr>
          <w:rFonts w:ascii="Arial" w:hAnsi="Arial" w:cs="Arial"/>
          <w:noProof/>
          <w:sz w:val="18"/>
          <w:lang w:val="en-US"/>
        </w:rPr>
        <w:t xml:space="preserve">’, </w:t>
      </w:r>
      <w:r w:rsidRPr="00E72BF2">
        <w:rPr>
          <w:rFonts w:ascii="Arial" w:hAnsi="Arial" w:cs="Arial"/>
          <w:i/>
          <w:iCs/>
          <w:noProof/>
          <w:sz w:val="18"/>
          <w:lang w:val="en-US"/>
        </w:rPr>
        <w:t>Developmental &amp; Comparative Immunology</w:t>
      </w:r>
      <w:r w:rsidRPr="00E72BF2">
        <w:rPr>
          <w:rFonts w:ascii="Arial" w:hAnsi="Arial" w:cs="Arial"/>
          <w:noProof/>
          <w:sz w:val="18"/>
          <w:lang w:val="en-US"/>
        </w:rPr>
        <w:t>, 79, pp. 128–136. doi: 10.1016/j.dci.2017.10.016.</w:t>
      </w:r>
    </w:p>
    <w:p w14:paraId="66701864"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Yu, M. </w:t>
      </w:r>
      <w:r w:rsidRPr="00E72BF2">
        <w:rPr>
          <w:rFonts w:ascii="Arial" w:hAnsi="Arial" w:cs="Arial"/>
          <w:i/>
          <w:iCs/>
          <w:noProof/>
          <w:sz w:val="18"/>
          <w:lang w:val="en-US"/>
        </w:rPr>
        <w:t>et al.</w:t>
      </w:r>
      <w:r w:rsidRPr="00E72BF2">
        <w:rPr>
          <w:rFonts w:ascii="Arial" w:hAnsi="Arial" w:cs="Arial"/>
          <w:noProof/>
          <w:sz w:val="18"/>
          <w:lang w:val="en-US"/>
        </w:rPr>
        <w:t xml:space="preserve"> (2015) ‘The first mollusk spätzle homolog gene in the clam, Paphia undulate’, </w:t>
      </w:r>
      <w:r w:rsidRPr="00E72BF2">
        <w:rPr>
          <w:rFonts w:ascii="Arial" w:hAnsi="Arial" w:cs="Arial"/>
          <w:i/>
          <w:iCs/>
          <w:noProof/>
          <w:sz w:val="18"/>
          <w:lang w:val="en-US"/>
        </w:rPr>
        <w:t>Fish &amp; Shellfish Immunology</w:t>
      </w:r>
      <w:r w:rsidRPr="00E72BF2">
        <w:rPr>
          <w:rFonts w:ascii="Arial" w:hAnsi="Arial" w:cs="Arial"/>
          <w:noProof/>
          <w:sz w:val="18"/>
          <w:lang w:val="en-US"/>
        </w:rPr>
        <w:t>. Elsevier, 47(2), pp. 712–716. doi: 10.1016/j.fsi.2015.10.017.</w:t>
      </w:r>
    </w:p>
    <w:p w14:paraId="756494D5"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lastRenderedPageBreak/>
        <w:t xml:space="preserve">Yuan, S. </w:t>
      </w:r>
      <w:r w:rsidRPr="00E72BF2">
        <w:rPr>
          <w:rFonts w:ascii="Arial" w:hAnsi="Arial" w:cs="Arial"/>
          <w:i/>
          <w:iCs/>
          <w:noProof/>
          <w:sz w:val="18"/>
          <w:lang w:val="en-US"/>
        </w:rPr>
        <w:t>et al.</w:t>
      </w:r>
      <w:r w:rsidRPr="00E72BF2">
        <w:rPr>
          <w:rFonts w:ascii="Arial" w:hAnsi="Arial" w:cs="Arial"/>
          <w:noProof/>
          <w:sz w:val="18"/>
          <w:lang w:val="en-US"/>
        </w:rPr>
        <w:t xml:space="preserve"> (2009) ‘An amphioxus TLR with dynamic embryonic expression pattern responses to pathogens and activates NF-</w:t>
      </w:r>
      <w:r w:rsidRPr="00805017">
        <w:rPr>
          <w:rFonts w:ascii="Arial" w:hAnsi="Arial" w:cs="Arial"/>
          <w:noProof/>
          <w:sz w:val="18"/>
          <w:lang w:val="es-ES_tradnl"/>
        </w:rPr>
        <w:t>κ</w:t>
      </w:r>
      <w:r w:rsidRPr="00E72BF2">
        <w:rPr>
          <w:rFonts w:ascii="Arial" w:hAnsi="Arial" w:cs="Arial"/>
          <w:noProof/>
          <w:sz w:val="18"/>
          <w:lang w:val="en-US"/>
        </w:rPr>
        <w:t xml:space="preserve">B pathway via MyD88’, </w:t>
      </w:r>
      <w:r w:rsidRPr="00E72BF2">
        <w:rPr>
          <w:rFonts w:ascii="Arial" w:hAnsi="Arial" w:cs="Arial"/>
          <w:i/>
          <w:iCs/>
          <w:noProof/>
          <w:sz w:val="18"/>
          <w:lang w:val="en-US"/>
        </w:rPr>
        <w:t>Molecular Immunology</w:t>
      </w:r>
      <w:r w:rsidRPr="00E72BF2">
        <w:rPr>
          <w:rFonts w:ascii="Arial" w:hAnsi="Arial" w:cs="Arial"/>
          <w:noProof/>
          <w:sz w:val="18"/>
          <w:lang w:val="en-US"/>
        </w:rPr>
        <w:t>, 46(11–12), pp. 2348–2356. doi: 10.1016/j.molimm.2009.03.022.</w:t>
      </w:r>
    </w:p>
    <w:p w14:paraId="2EAEADC9" w14:textId="77777777" w:rsidR="001D7AD3" w:rsidRPr="00E72BF2" w:rsidRDefault="001D7AD3" w:rsidP="001D7AD3">
      <w:pPr>
        <w:widowControl w:val="0"/>
        <w:autoSpaceDE w:val="0"/>
        <w:autoSpaceDN w:val="0"/>
        <w:adjustRightInd w:val="0"/>
        <w:rPr>
          <w:rFonts w:ascii="Arial" w:hAnsi="Arial" w:cs="Arial"/>
          <w:noProof/>
          <w:sz w:val="18"/>
          <w:lang w:val="en-US"/>
        </w:rPr>
      </w:pPr>
      <w:r w:rsidRPr="00E72BF2">
        <w:rPr>
          <w:rFonts w:ascii="Arial" w:hAnsi="Arial" w:cs="Arial"/>
          <w:noProof/>
          <w:sz w:val="18"/>
          <w:lang w:val="en-US"/>
        </w:rPr>
        <w:t xml:space="preserve">Zhang, L., Li, L. and Zhang, G. (2011) ‘Gene discovery, comparative analysis and expression profile reveal the complexity of the </w:t>
      </w:r>
      <w:r w:rsidRPr="00E72BF2">
        <w:rPr>
          <w:rFonts w:ascii="Arial" w:hAnsi="Arial" w:cs="Arial"/>
          <w:i/>
          <w:iCs/>
          <w:noProof/>
          <w:sz w:val="18"/>
          <w:lang w:val="en-US"/>
        </w:rPr>
        <w:t>Crassostrea gigas</w:t>
      </w:r>
      <w:r w:rsidRPr="00E72BF2">
        <w:rPr>
          <w:rFonts w:ascii="Arial" w:hAnsi="Arial" w:cs="Arial"/>
          <w:noProof/>
          <w:sz w:val="18"/>
          <w:lang w:val="en-US"/>
        </w:rPr>
        <w:t xml:space="preserve"> apoptosis system’, </w:t>
      </w:r>
      <w:r w:rsidRPr="00E72BF2">
        <w:rPr>
          <w:rFonts w:ascii="Arial" w:hAnsi="Arial" w:cs="Arial"/>
          <w:i/>
          <w:iCs/>
          <w:noProof/>
          <w:sz w:val="18"/>
          <w:lang w:val="en-US"/>
        </w:rPr>
        <w:t>Developmental &amp; Comparative Immunology</w:t>
      </w:r>
      <w:r w:rsidRPr="00E72BF2">
        <w:rPr>
          <w:rFonts w:ascii="Arial" w:hAnsi="Arial" w:cs="Arial"/>
          <w:noProof/>
          <w:sz w:val="18"/>
          <w:lang w:val="en-US"/>
        </w:rPr>
        <w:t>, 35(5), pp. 603–610. doi: 10.1016/j.dci.2011.01.005.</w:t>
      </w:r>
    </w:p>
    <w:p w14:paraId="7E4DBBFA" w14:textId="77777777" w:rsidR="001D7AD3" w:rsidRPr="00805017" w:rsidRDefault="001D7AD3" w:rsidP="001D7AD3">
      <w:pPr>
        <w:widowControl w:val="0"/>
        <w:autoSpaceDE w:val="0"/>
        <w:autoSpaceDN w:val="0"/>
        <w:adjustRightInd w:val="0"/>
        <w:rPr>
          <w:rFonts w:ascii="Arial" w:hAnsi="Arial" w:cs="Arial"/>
          <w:noProof/>
          <w:sz w:val="18"/>
        </w:rPr>
      </w:pPr>
      <w:r w:rsidRPr="00E72BF2">
        <w:rPr>
          <w:rFonts w:ascii="Arial" w:hAnsi="Arial" w:cs="Arial"/>
          <w:noProof/>
          <w:sz w:val="18"/>
          <w:lang w:val="en-US"/>
        </w:rPr>
        <w:t xml:space="preserve">Zhu, Y. </w:t>
      </w:r>
      <w:r w:rsidRPr="00E72BF2">
        <w:rPr>
          <w:rFonts w:ascii="Arial" w:hAnsi="Arial" w:cs="Arial"/>
          <w:i/>
          <w:iCs/>
          <w:noProof/>
          <w:sz w:val="18"/>
          <w:lang w:val="en-US"/>
        </w:rPr>
        <w:t>et al.</w:t>
      </w:r>
      <w:r w:rsidRPr="00E72BF2">
        <w:rPr>
          <w:rFonts w:ascii="Arial" w:hAnsi="Arial" w:cs="Arial"/>
          <w:noProof/>
          <w:sz w:val="18"/>
          <w:lang w:val="en-US"/>
        </w:rPr>
        <w:t xml:space="preserve"> (2005) ‘The ancient origin of the complement system’, </w:t>
      </w:r>
      <w:r w:rsidRPr="00E72BF2">
        <w:rPr>
          <w:rFonts w:ascii="Arial" w:hAnsi="Arial" w:cs="Arial"/>
          <w:i/>
          <w:iCs/>
          <w:noProof/>
          <w:sz w:val="18"/>
          <w:lang w:val="en-US"/>
        </w:rPr>
        <w:t>The EMBO Journal</w:t>
      </w:r>
      <w:r w:rsidRPr="00E72BF2">
        <w:rPr>
          <w:rFonts w:ascii="Arial" w:hAnsi="Arial" w:cs="Arial"/>
          <w:noProof/>
          <w:sz w:val="18"/>
          <w:lang w:val="en-US"/>
        </w:rPr>
        <w:t>, 24(2), pp. 382–394. doi: 10.1038/sj.emboj.7600533.</w:t>
      </w:r>
    </w:p>
    <w:p w14:paraId="52271204" w14:textId="07315C5C" w:rsidR="001D7AD3" w:rsidRDefault="001D7AD3" w:rsidP="001D7AD3">
      <w:r>
        <w:rPr>
          <w:rFonts w:ascii="Arial" w:hAnsi="Arial" w:cs="Arial"/>
          <w:b/>
          <w:bCs/>
          <w:sz w:val="18"/>
          <w:szCs w:val="18"/>
          <w:lang w:val="en-US"/>
        </w:rPr>
        <w:fldChar w:fldCharType="end"/>
      </w:r>
    </w:p>
    <w:sectPr w:rsidR="001D7A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11B"/>
    <w:multiLevelType w:val="hybridMultilevel"/>
    <w:tmpl w:val="BE041D8E"/>
    <w:lvl w:ilvl="0" w:tplc="B8204B9A">
      <w:start w:val="1"/>
      <w:numFmt w:val="bullet"/>
      <w:lvlText w:val=""/>
      <w:lvlJc w:val="left"/>
      <w:pPr>
        <w:ind w:left="720" w:hanging="360"/>
      </w:pPr>
      <w:rPr>
        <w:rFonts w:ascii="Symbol" w:eastAsiaTheme="minorHAnsi" w:hAnsi="Symbo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25B71D8E"/>
    <w:multiLevelType w:val="hybridMultilevel"/>
    <w:tmpl w:val="F9FCF5B8"/>
    <w:lvl w:ilvl="0" w:tplc="4EEACE4C">
      <w:start w:val="1"/>
      <w:numFmt w:val="bullet"/>
      <w:lvlText w:val=""/>
      <w:lvlJc w:val="left"/>
      <w:pPr>
        <w:ind w:left="720" w:hanging="360"/>
      </w:pPr>
      <w:rPr>
        <w:rFonts w:ascii="Symbol" w:eastAsiaTheme="minorHAnsi" w:hAnsi="Symbol" w:cs="Aria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AD3"/>
    <w:rsid w:val="001D7AD3"/>
    <w:rsid w:val="00D4370E"/>
  </w:rsids>
  <m:mathPr>
    <m:mathFont m:val="Cambria Math"/>
    <m:brkBin m:val="before"/>
    <m:brkBinSub m:val="--"/>
    <m:smallFrac m:val="0"/>
    <m:dispDef/>
    <m:lMargin m:val="0"/>
    <m:rMargin m:val="0"/>
    <m:defJc m:val="centerGroup"/>
    <m:wrapIndent m:val="1440"/>
    <m:intLim m:val="subSup"/>
    <m:naryLim m:val="undOvr"/>
  </m:mathPr>
  <w:themeFontLang w:val="es-NO"/>
  <w:clrSchemeMapping w:bg1="light1" w:t1="dark1" w:bg2="light2" w:t2="dark2" w:accent1="accent1" w:accent2="accent2" w:accent3="accent3" w:accent4="accent4" w:accent5="accent5" w:accent6="accent6" w:hyperlink="hyperlink" w:followedHyperlink="followedHyperlink"/>
  <w:decimalSymbol w:val=","/>
  <w:listSeparator w:val=";"/>
  <w14:docId w14:val="36FDE128"/>
  <w15:chartTrackingRefBased/>
  <w15:docId w15:val="{A7EAF9F9-BE9B-C147-BD58-CB6048C8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A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D7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D7AD3"/>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1D7AD3"/>
    <w:rPr>
      <w:rFonts w:ascii="Times New Roman" w:hAnsi="Times New Roman" w:cs="Times New Roman"/>
      <w:sz w:val="18"/>
      <w:szCs w:val="18"/>
    </w:rPr>
  </w:style>
  <w:style w:type="paragraph" w:styleId="Encabezado">
    <w:name w:val="header"/>
    <w:basedOn w:val="Normal"/>
    <w:link w:val="EncabezadoCar"/>
    <w:uiPriority w:val="99"/>
    <w:unhideWhenUsed/>
    <w:rsid w:val="001D7AD3"/>
    <w:pPr>
      <w:tabs>
        <w:tab w:val="center" w:pos="4680"/>
        <w:tab w:val="right" w:pos="9360"/>
      </w:tabs>
    </w:pPr>
  </w:style>
  <w:style w:type="character" w:customStyle="1" w:styleId="EncabezadoCar">
    <w:name w:val="Encabezado Car"/>
    <w:basedOn w:val="Fuentedeprrafopredeter"/>
    <w:link w:val="Encabezado"/>
    <w:uiPriority w:val="99"/>
    <w:rsid w:val="001D7AD3"/>
  </w:style>
  <w:style w:type="paragraph" w:styleId="Piedepgina">
    <w:name w:val="footer"/>
    <w:basedOn w:val="Normal"/>
    <w:link w:val="PiedepginaCar"/>
    <w:uiPriority w:val="99"/>
    <w:unhideWhenUsed/>
    <w:rsid w:val="001D7AD3"/>
    <w:pPr>
      <w:tabs>
        <w:tab w:val="center" w:pos="4680"/>
        <w:tab w:val="right" w:pos="9360"/>
      </w:tabs>
    </w:pPr>
  </w:style>
  <w:style w:type="character" w:customStyle="1" w:styleId="PiedepginaCar">
    <w:name w:val="Pie de página Car"/>
    <w:basedOn w:val="Fuentedeprrafopredeter"/>
    <w:link w:val="Piedepgina"/>
    <w:uiPriority w:val="99"/>
    <w:rsid w:val="001D7AD3"/>
  </w:style>
  <w:style w:type="paragraph" w:styleId="Prrafodelista">
    <w:name w:val="List Paragraph"/>
    <w:basedOn w:val="Normal"/>
    <w:uiPriority w:val="34"/>
    <w:qFormat/>
    <w:rsid w:val="001D7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106898</Words>
  <Characters>587943</Characters>
  <Application>Microsoft Office Word</Application>
  <DocSecurity>0</DocSecurity>
  <Lines>4899</Lines>
  <Paragraphs>1386</Paragraphs>
  <ScaleCrop>false</ScaleCrop>
  <Company/>
  <LinksUpToDate>false</LinksUpToDate>
  <CharactersWithSpaces>693455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Orús Alcalde</dc:creator>
  <cp:keywords/>
  <dc:description/>
  <cp:lastModifiedBy>Andrea Orús Alcalde</cp:lastModifiedBy>
  <cp:revision>2</cp:revision>
  <dcterms:created xsi:type="dcterms:W3CDTF">2022-04-23T18:27:00Z</dcterms:created>
  <dcterms:modified xsi:type="dcterms:W3CDTF">2022-12-28T14:44:00Z</dcterms:modified>
</cp:coreProperties>
</file>