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C2" w:rsidRPr="00D513B4" w:rsidRDefault="00A308C2" w:rsidP="00A308C2">
      <w:pPr>
        <w:spacing w:line="480" w:lineRule="auto"/>
        <w:rPr>
          <w:rFonts w:ascii="Times New Roman" w:hAnsi="Times New Roman" w:cs="Times New Roman"/>
          <w:szCs w:val="21"/>
        </w:rPr>
      </w:pPr>
      <w:r w:rsidRPr="00D513B4">
        <w:rPr>
          <w:rFonts w:ascii="Times New Roman" w:eastAsia="黑体" w:hAnsi="Times New Roman" w:cs="Times New Roman"/>
          <w:b/>
          <w:sz w:val="18"/>
          <w:szCs w:val="18"/>
        </w:rPr>
        <w:t>Table S1</w:t>
      </w:r>
      <w:r w:rsidRPr="00D513B4">
        <w:rPr>
          <w:rFonts w:ascii="Times New Roman" w:hAnsi="Times New Roman" w:cs="Times New Roman"/>
          <w:b/>
          <w:szCs w:val="21"/>
        </w:rPr>
        <w:t xml:space="preserve"> </w:t>
      </w:r>
      <w:r w:rsidRPr="00D513B4">
        <w:rPr>
          <w:rFonts w:ascii="Times New Roman" w:hAnsi="Times New Roman" w:cs="Times New Roman"/>
          <w:szCs w:val="21"/>
        </w:rPr>
        <w:t xml:space="preserve">Computational approaches for predicting </w:t>
      </w:r>
      <w:r w:rsidRPr="00D513B4">
        <w:rPr>
          <w:rFonts w:ascii="Times New Roman" w:hAnsi="Times New Roman" w:cs="Times New Roman" w:hint="eastAsia"/>
          <w:szCs w:val="21"/>
        </w:rPr>
        <w:t>protein</w:t>
      </w:r>
      <w:r w:rsidRPr="00D513B4">
        <w:rPr>
          <w:rFonts w:ascii="Times New Roman" w:hAnsi="Times New Roman" w:cs="Times New Roman"/>
          <w:szCs w:val="21"/>
        </w:rPr>
        <w:t xml:space="preserve"> </w:t>
      </w:r>
      <w:r w:rsidRPr="00D513B4">
        <w:rPr>
          <w:rFonts w:ascii="Times New Roman" w:hAnsi="Times New Roman" w:cs="Times New Roman" w:hint="eastAsia"/>
          <w:szCs w:val="21"/>
        </w:rPr>
        <w:t>solubility</w:t>
      </w:r>
      <w:r w:rsidRPr="00D513B4">
        <w:rPr>
          <w:rFonts w:ascii="Times New Roman" w:hAnsi="Times New Roman" w:cs="Times New Roman"/>
          <w:szCs w:val="21"/>
        </w:rPr>
        <w:t xml:space="preserve"> (sorted by published year)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3260"/>
        <w:gridCol w:w="4253"/>
        <w:gridCol w:w="992"/>
      </w:tblGrid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b/>
                <w:sz w:val="15"/>
                <w:szCs w:val="15"/>
              </w:rPr>
              <w:t>Method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b/>
                <w:sz w:val="15"/>
                <w:szCs w:val="15"/>
              </w:rPr>
              <w:t>Feature information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b/>
                <w:sz w:val="15"/>
                <w:szCs w:val="15"/>
              </w:rPr>
              <w:t>Prediction algorithm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b/>
                <w:sz w:val="15"/>
                <w:szCs w:val="15"/>
              </w:rPr>
              <w:t>Website/source code</w:t>
            </w:r>
            <w:r w:rsidRPr="00D513B4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b/>
                <w:sz w:val="15"/>
                <w:szCs w:val="15"/>
              </w:rPr>
              <w:t>available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b/>
                <w:sz w:val="15"/>
                <w:szCs w:val="15"/>
              </w:rPr>
              <w:t>Database/sequence homology/independent test data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R</w:t>
            </w:r>
            <w:r w:rsidRPr="00D513B4">
              <w:rPr>
                <w:rFonts w:ascii="Times New Roman" w:hAnsi="Times New Roman" w:cs="Times New Roman"/>
                <w:b/>
                <w:sz w:val="15"/>
                <w:szCs w:val="15"/>
              </w:rPr>
              <w:t>eference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rWH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(1) turning forming residue fraction (Asn, Gly, Pro and Ser);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(2) approximate-charge average (relative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numbers of Asp plus Glu vs. Lys plus Arg)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Statistical analysis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A model updated in 2009 is available </w:t>
            </w:r>
            <w:r w:rsidRPr="00A308C2">
              <w:rPr>
                <w:rFonts w:ascii="Times New Roman" w:hAnsi="Times New Roman" w:cs="Times New Roman"/>
                <w:sz w:val="15"/>
                <w:szCs w:val="15"/>
              </w:rPr>
              <w:t>https://www.biotech.ou.edu/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, which is logistic regression of 32 possible parameters based on 212 proteins.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81 proteins analysis by Davis et al., 1999; Based on that, Wilkinson and Harrison, 1991 used five amino acid-based parameters to predict protein solubility.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Davis et al., 1999; Wilkinson and Harrison, 1991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ROSO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(1)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AC; (2) DPC; (3) TPC; (4) AA index including eight numeric scales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VM, NB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Web server provided but currently unavailable: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(http://webclu.bio.wzw.tum.de:8080/proso)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TargetDB database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Sequence redundancy was reduced by CD-HIT (50%)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10-fold stratified cross-validation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No independent test data were used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Smialowski et al., 2007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OLpro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(1-3) AAC, DPC and TPC (4-21) AAC, DPC and TP in six reduced alphabets;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22) Sequence length; (23) Turn-forming residues fraction; (24) Absolute charge per residue; (25) Molecular weight; (26) GRAVY index; (27) Aliphatic index; (28) Beta residues fraction; (29) Alpha residues fraction; (30) Number of domains; (31) Exposed residues fraction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VM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W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ebserver and source code available at: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http://scratch.proteomics.ics.uci.edu/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PDB soluble proteins +SwissProt enzymes + TargetDB databases + ITB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Sequence redundancy was reduced by BLASTCLUST (25%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similarity). Finally, 17 408 proteins (8704 soluble and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8704 insoluble) were used for model training.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10-fold cross-validation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No independent test data were used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Magnan et al., 2009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ROSO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instrText xml:space="preserve"> </w:instrTex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instrText>= 2 \* ROMAN</w:instrTex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instrText xml:space="preserve"> </w:instrTex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Pr="00D513B4">
              <w:rPr>
                <w:rFonts w:ascii="Times New Roman" w:hAnsi="Times New Roman" w:cs="Times New Roman"/>
                <w:noProof/>
                <w:sz w:val="15"/>
                <w:szCs w:val="15"/>
              </w:rPr>
              <w:t>II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(1) DPC; (2) sequence similarity calculated by Parzen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window model.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Logistic regression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Web server provided but currently unavailable: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08C2">
              <w:rPr>
                <w:rFonts w:ascii="Times New Roman" w:hAnsi="Times New Roman" w:cs="Times New Roman"/>
                <w:sz w:val="15"/>
                <w:szCs w:val="15"/>
              </w:rPr>
              <w:t>http://mips.helmholtz-muenchen.de/prosoII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pepcDB database including information Protein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Structure Initiative centers and TargetDB database. pepcDB database is the predecessor of TargetTrack database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Sequence redundancy was reduced by CD-HIT (90%)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 Finally,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2999 proteins were retained.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10-fold cross-validation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 holdout set including 1764 proteins was used for independent test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Smialowski et al., 2012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CSOL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(1)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α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-helix;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(2) β-sheet; (3) β-turn;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(4) disorder/coil;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5) hydrophobicity/ hydrophilicity; (6) AAC; (7) polarity; (8) buried residues; (9) mutability; (9)</w:t>
            </w:r>
            <w:r w:rsidRPr="00D513B4">
              <w:rPr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transmembrane tendency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VM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http://s.tartaglialab.com/page/ccsol_group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3043 proteins collected from literature Niwa et al. (2009).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Leave-one-out cross-validation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No independent test data were used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Agostini et al., 2012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cSOL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omics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(1)coil/disorder; (2)hydrophobicity; (3) hydrophilicity; (4)</w:t>
            </w:r>
            <w:r w:rsidRPr="00D513B4">
              <w:rPr>
                <w:rFonts w:ascii="Times New Roman" w:eastAsia="等线" w:hAnsi="Times New Roman" w:cs="Times New Roman"/>
                <w:sz w:val="15"/>
                <w:szCs w:val="15"/>
              </w:rPr>
              <w:t>β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-sheet; (5)α-helix;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Fourier’s coefficients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http://s.tartaglialab.com/page/ccsol_group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TargetTrack database 36990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with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 30%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redundancy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CD-HIT)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10-fold cross-validation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three independent datasets were used for model test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Agostini et al., 2014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SPRESSO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(1) chemical property group: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aliphatic, aromatic, hydroxyl, acidic…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2) sequence patterm group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hydrophobic; polar; small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 proline; tiny;  aliphatic;aromatic; positive; negative; charge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VM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Web server provided but currently unavailable: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http://mbs.cbrc.jp/ESPRESSO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Data is collected from literature Hirose et al., 2011.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Sequence redundancy was reduced by and CD-HIT and ALIGN0 (25%)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10-fold cross validation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Hirose and Noguchi,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2013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amSol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(1) hydrophobicity; (2) the charge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(at pH 7); (3) the α-helix propensity; (4) and the β-strand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propensity;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Linear and logistic regression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http://www-vendruscolo.ch.cam.ac.uk/camsolmethod.html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Data is collected from literature Wilkinson et al., 1991, Magnan et al., 2009, Smialowski et al., 2012, Agostini et al., 2012.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56 protein variants were used for test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Sormanni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et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al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., 2015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rotein-Sol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(1)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AC; (2) 7 specific amino acid composition; (3) sequence</w:t>
            </w:r>
            <w:r w:rsidRPr="00D513B4">
              <w:rPr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length; (4) pI; (5) hydropathy; (6) absolute charge at pH 7; (7) fold propensity; (8) disorder; (9) sequence entropy; (10) β-strand propensity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Linear model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http://protein-sol.man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chester.ac.uk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2395 proteins were used for model training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Three independent datasets were used for model test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Hebditch et al.,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2017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D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eep-Sol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(1) 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ne hot;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(2) sequence length; (3)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molecular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weight; (4) absolute charge; (5) aliphatic indices (AIs); (6) GRAVY; (7)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fraction of turn-forming residues; (8)  three-and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eight-state SS; (9) fraction of exposed residues; (10) multiplied the FER by the hydrophobicity indices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C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NN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Source code at: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https://doi.org/10.5281/zenodo.1162886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Dataset was collected from PROSO II, namely pepcDB database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 xml:space="preserve">Sequence redundancy was reduced by CD-HIT (90%). Finally, 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28972 soluble vs. 40 448 insoluble proteins were used for model train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Independent test set containing 1000 soluble and 1001 insoluble proteins was used for model test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 xml:space="preserve">Sameer et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al., 2017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S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KADE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Embedding feature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Neural Network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Source code at: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https://bitbucket.org/eddiewrc/skade/src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Dataset was collected from Deep-Sol, including 28972 soluble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and 40448 insoluble proteins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Independent test set: 1000 soluble vs. 1001 insoluble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Daniele et al., 2020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WI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(1)isoelectric point; (2) turn, (3) aromaticity; (4) helix; (5) molecular weight; (6) gravy; (7) flexibility; (8) instability index; (9) miscellaneous protein sequence properties 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Arithmetic mean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Source code at  https://github.com/Gardner-BinfLab/SoDoPE_paper_2020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Web server at: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https://tisigner. com/sodope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PSI: Biology data (8238 soluble vs. 3978 insoluble)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independent test set: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eSOL (1934 soluble vs. 1264 insoluble)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10-fold cross validation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Bikash et al., 2020</w:t>
            </w:r>
          </w:p>
        </w:tc>
      </w:tr>
      <w:tr w:rsidR="00A308C2" w:rsidRPr="00D513B4" w:rsidTr="00362176">
        <w:tc>
          <w:tcPr>
            <w:tcW w:w="988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SoluProt</w:t>
            </w:r>
          </w:p>
        </w:tc>
        <w:tc>
          <w:tcPr>
            <w:tcW w:w="269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(1) AAC, (2) ADC; (3) fraction of charged amino acids (R, K, D, E); (4) ratio of K and R content; (5) fraction of helix amino acids (V, I, Y, F, W, L); (6) fraction of sheet amino acids (E, M, A, L); (7) fraction of turn amino acids (N, P, G, S); (8) molecular weight; (9) Molecular weight; (10) fraction of aromatic amino acids (Y, W, F)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 (11) flexibility; (12) grand average of hydropathy; (13) isoelectric point; (14) instability index; (15) average flexibility; (16) secondary structure content; (17) average disorder;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(18) content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of amino acids in transmembrane helices; (19) maximum identity to the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i/>
                <w:sz w:val="15"/>
                <w:szCs w:val="15"/>
              </w:rPr>
              <w:t>E.coli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 xml:space="preserve"> PDB subset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BM</w:t>
            </w:r>
          </w:p>
        </w:tc>
        <w:tc>
          <w:tcPr>
            <w:tcW w:w="3260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https://loschmidt.chemi.muni.cz/soluprot/</w:t>
            </w:r>
          </w:p>
        </w:tc>
        <w:tc>
          <w:tcPr>
            <w:tcW w:w="4253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TargetTrack database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Sequence redundancy was reduced by MMseqs2 (25% identity).</w:t>
            </w:r>
            <w:r w:rsidRPr="00D513B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Finally, 5718 soluble and 5718 insoluble were used for model train</w:t>
            </w:r>
          </w:p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Independent test set:</w:t>
            </w:r>
            <w:r w:rsidRPr="00D513B4">
              <w:rPr>
                <w:sz w:val="15"/>
                <w:szCs w:val="15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NESG (1550 soluble vs. 1550 insoluble)</w:t>
            </w:r>
          </w:p>
        </w:tc>
        <w:tc>
          <w:tcPr>
            <w:tcW w:w="992" w:type="dxa"/>
          </w:tcPr>
          <w:p w:rsidR="00A308C2" w:rsidRPr="00D513B4" w:rsidRDefault="00A308C2" w:rsidP="0036217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13B4">
              <w:rPr>
                <w:rFonts w:ascii="Times New Roman" w:hAnsi="Times New Roman" w:cs="Times New Roman"/>
                <w:sz w:val="15"/>
                <w:szCs w:val="15"/>
              </w:rPr>
              <w:t>Jiri et al., 2021</w:t>
            </w:r>
          </w:p>
        </w:tc>
      </w:tr>
    </w:tbl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  <w:sectPr w:rsidR="00A308C2" w:rsidSect="00A308C2">
          <w:pgSz w:w="15826" w:h="12240" w:orient="landscape" w:code="1"/>
          <w:pgMar w:top="1094" w:right="1264" w:bottom="1383" w:left="1264" w:header="709" w:footer="833" w:gutter="0"/>
          <w:cols w:space="425"/>
          <w:titlePg/>
          <w:docGrid w:linePitch="360"/>
        </w:sectPr>
      </w:pPr>
    </w:p>
    <w:p w:rsidR="00A308C2" w:rsidRPr="00A308C2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  <w:r w:rsidRPr="00D513B4">
        <w:rPr>
          <w:rFonts w:ascii="Times New Roman" w:hAnsi="Times New Roman" w:cs="Times New Roman"/>
          <w:b/>
          <w:sz w:val="18"/>
          <w:szCs w:val="18"/>
        </w:rPr>
        <w:lastRenderedPageBreak/>
        <w:t>Table S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r w:rsidRPr="00D513B4">
        <w:rPr>
          <w:rFonts w:ascii="Times New Roman" w:hAnsi="Times New Roman" w:cs="Times New Roman"/>
          <w:sz w:val="18"/>
          <w:szCs w:val="18"/>
        </w:rPr>
        <w:t xml:space="preserve"> Descriptor parameter search range and the best values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7"/>
        <w:gridCol w:w="1437"/>
        <w:gridCol w:w="1798"/>
        <w:gridCol w:w="1754"/>
      </w:tblGrid>
      <w:tr w:rsidR="00A308C2" w:rsidRPr="00D513B4" w:rsidTr="00362176">
        <w:trPr>
          <w:trHeight w:val="273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b/>
                <w:sz w:val="18"/>
                <w:szCs w:val="18"/>
              </w:rPr>
              <w:t>Feature encodings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b/>
                <w:sz w:val="18"/>
                <w:szCs w:val="18"/>
              </w:rPr>
              <w:t>Parameters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b/>
                <w:sz w:val="18"/>
                <w:szCs w:val="18"/>
              </w:rPr>
              <w:t>Search range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b/>
                <w:sz w:val="18"/>
                <w:szCs w:val="18"/>
              </w:rPr>
              <w:t>Optimal value</w:t>
            </w:r>
          </w:p>
        </w:tc>
      </w:tr>
      <w:tr w:rsidR="00A308C2" w:rsidRPr="00D513B4" w:rsidTr="00362176">
        <w:tc>
          <w:tcPr>
            <w:tcW w:w="1957" w:type="dxa"/>
            <w:tcBorders>
              <w:top w:val="single" w:sz="4" w:space="0" w:color="auto"/>
            </w:tcBorders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QSorder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nlag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[1,2,3,…,10]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308C2" w:rsidRPr="00D513B4" w:rsidTr="00362176">
        <w:trPr>
          <w:trHeight w:val="168"/>
        </w:trPr>
        <w:tc>
          <w:tcPr>
            <w:tcW w:w="1957" w:type="dxa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APAAC</w:t>
            </w:r>
          </w:p>
        </w:tc>
        <w:tc>
          <w:tcPr>
            <w:tcW w:w="1437" w:type="dxa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等线" w:eastAsia="等线" w:hAnsi="等线" w:cs="Times New Roman" w:hint="eastAsia"/>
                <w:sz w:val="18"/>
                <w:szCs w:val="18"/>
              </w:rPr>
              <w:t>λ</w:t>
            </w:r>
          </w:p>
        </w:tc>
        <w:tc>
          <w:tcPr>
            <w:tcW w:w="1798" w:type="dxa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[1,2,3,…,10]</w:t>
            </w:r>
          </w:p>
        </w:tc>
        <w:tc>
          <w:tcPr>
            <w:tcW w:w="1754" w:type="dxa"/>
          </w:tcPr>
          <w:p w:rsidR="00A308C2" w:rsidRPr="00D513B4" w:rsidRDefault="00A308C2" w:rsidP="0036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A308C2" w:rsidRPr="00D513B4" w:rsidRDefault="00A308C2" w:rsidP="00A308C2">
      <w:pPr>
        <w:spacing w:line="360" w:lineRule="auto"/>
        <w:rPr>
          <w:rFonts w:ascii="Times New Roman" w:eastAsia="黑体" w:hAnsi="Times New Roman" w:cs="Times New Roman"/>
          <w:b/>
          <w:szCs w:val="21"/>
          <w:lang w:val="cs"/>
        </w:rPr>
      </w:pPr>
    </w:p>
    <w:p w:rsidR="00A308C2" w:rsidRPr="005561EF" w:rsidRDefault="00A308C2" w:rsidP="00A308C2">
      <w:pPr>
        <w:spacing w:line="360" w:lineRule="auto"/>
        <w:rPr>
          <w:rFonts w:ascii="Times New Roman" w:eastAsia="黑体" w:hAnsi="Times New Roman" w:cs="Times New Roman"/>
          <w:b/>
          <w:sz w:val="18"/>
          <w:szCs w:val="18"/>
          <w:lang w:val="cs"/>
        </w:rPr>
      </w:pPr>
      <w:r w:rsidRPr="005561EF">
        <w:rPr>
          <w:rFonts w:ascii="Times New Roman" w:eastAsia="黑体" w:hAnsi="Times New Roman" w:cs="Times New Roman"/>
          <w:b/>
          <w:sz w:val="18"/>
          <w:szCs w:val="18"/>
          <w:lang w:val="cs"/>
        </w:rPr>
        <w:t xml:space="preserve">Table S3 </w:t>
      </w:r>
      <w:r w:rsidRPr="005561EF">
        <w:rPr>
          <w:rFonts w:ascii="Times New Roman" w:hAnsi="Times New Roman" w:cs="Times New Roman"/>
          <w:sz w:val="18"/>
          <w:szCs w:val="18"/>
        </w:rPr>
        <w:t>Hyperparameters search range for the 11 traditional classifiers.</w:t>
      </w:r>
    </w:p>
    <w:tbl>
      <w:tblPr>
        <w:tblStyle w:val="a3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379"/>
      </w:tblGrid>
      <w:tr w:rsidR="00A308C2" w:rsidRPr="005561EF" w:rsidTr="00362176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308C2" w:rsidRPr="005561EF" w:rsidRDefault="00A308C2" w:rsidP="003621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Method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308C2" w:rsidRPr="005561EF" w:rsidRDefault="00A308C2" w:rsidP="003621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Parameter grid search ranges</w:t>
            </w:r>
          </w:p>
        </w:tc>
      </w:tr>
      <w:tr w:rsidR="00A308C2" w:rsidRPr="005561EF" w:rsidTr="00362176">
        <w:trPr>
          <w:trHeight w:val="606"/>
        </w:trPr>
        <w:tc>
          <w:tcPr>
            <w:tcW w:w="3114" w:type="dxa"/>
            <w:tcBorders>
              <w:top w:val="single" w:sz="4" w:space="0" w:color="auto"/>
            </w:tcBorders>
            <w:hideMark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Random Forest (RF)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hideMark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n_estimators: [10, 20, …, 200]</w:t>
            </w:r>
          </w:p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max_features: [1, 2, 3, …,10]</w:t>
            </w:r>
          </w:p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min_samples_split: [1, 2, 3, …,10]</w:t>
            </w:r>
          </w:p>
        </w:tc>
      </w:tr>
      <w:tr w:rsidR="00A308C2" w:rsidRPr="005561EF" w:rsidTr="00362176">
        <w:trPr>
          <w:trHeight w:val="210"/>
        </w:trPr>
        <w:tc>
          <w:tcPr>
            <w:tcW w:w="3114" w:type="dxa"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</w:rPr>
              <w:t>k-nearest neighbor (KNN)</w:t>
            </w:r>
          </w:p>
        </w:tc>
        <w:tc>
          <w:tcPr>
            <w:tcW w:w="6379" w:type="dxa"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</w:rPr>
              <w:t>n_neighbors: [1, 2, 3, …, 100]</w:t>
            </w:r>
          </w:p>
        </w:tc>
      </w:tr>
      <w:tr w:rsidR="00A308C2" w:rsidRPr="005561EF" w:rsidTr="00362176">
        <w:trPr>
          <w:trHeight w:val="629"/>
        </w:trPr>
        <w:tc>
          <w:tcPr>
            <w:tcW w:w="3114" w:type="dxa"/>
            <w:hideMark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Support Vector Machine (SVM)</w:t>
            </w:r>
          </w:p>
        </w:tc>
        <w:tc>
          <w:tcPr>
            <w:tcW w:w="6379" w:type="dxa"/>
            <w:hideMark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</w:rPr>
              <w:t>C: [0.01, 0.05, 0.1, 0.5, 1, 5, 10, …, 100]</w:t>
            </w:r>
          </w:p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</w:rPr>
              <w:t>gamma: [0.0001, 0.0002, 0.0004, …, 0.1, 0.2, 0.4, …, 8]</w:t>
            </w:r>
          </w:p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</w:rPr>
              <w:t>Kernel: [rbf]</w:t>
            </w:r>
          </w:p>
        </w:tc>
      </w:tr>
      <w:tr w:rsidR="00A308C2" w:rsidRPr="005561EF" w:rsidTr="00362176">
        <w:tc>
          <w:tcPr>
            <w:tcW w:w="3114" w:type="dxa"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</w:rPr>
              <w:t>naive Bayesian (NB)</w:t>
            </w:r>
          </w:p>
        </w:tc>
        <w:tc>
          <w:tcPr>
            <w:tcW w:w="6379" w:type="dxa"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561EF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</w:p>
        </w:tc>
      </w:tr>
      <w:tr w:rsidR="00A308C2" w:rsidRPr="005561EF" w:rsidTr="00362176">
        <w:tc>
          <w:tcPr>
            <w:tcW w:w="3114" w:type="dxa"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</w:rPr>
              <w:t>light gradient boosting machine (LGB)</w:t>
            </w:r>
          </w:p>
        </w:tc>
        <w:tc>
          <w:tcPr>
            <w:tcW w:w="6379" w:type="dxa"/>
          </w:tcPr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n_estimators: [10, 20, …, 200]</w:t>
            </w:r>
          </w:p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learning_rate: [0.01, 0.05, 0.1]</w:t>
            </w:r>
          </w:p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max_depth: [2, 4, 6, 8]</w:t>
            </w:r>
          </w:p>
          <w:p w:rsidR="00A308C2" w:rsidRPr="005561EF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561E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num_leaves: [10, 20, 30, …, 100]</w:t>
            </w:r>
          </w:p>
        </w:tc>
      </w:tr>
      <w:tr w:rsidR="00A308C2" w:rsidRPr="00D513B4" w:rsidTr="00362176">
        <w:tc>
          <w:tcPr>
            <w:tcW w:w="3114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AdaBoost classifier (ADAB)</w:t>
            </w:r>
          </w:p>
        </w:tc>
        <w:tc>
          <w:tcPr>
            <w:tcW w:w="6379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n_estimators: [10, 20, …, 200]</w:t>
            </w:r>
          </w:p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learning_rate: [0.05, 0.1, 0.15, 0.2, …, 0.95, 1.0]</w:t>
            </w:r>
          </w:p>
        </w:tc>
      </w:tr>
      <w:tr w:rsidR="00A308C2" w:rsidRPr="00D513B4" w:rsidTr="00362176">
        <w:tc>
          <w:tcPr>
            <w:tcW w:w="3114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Bagging (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AG)</w:t>
            </w:r>
          </w:p>
        </w:tc>
        <w:tc>
          <w:tcPr>
            <w:tcW w:w="6379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n_estimators: range: (10,210,10),</w:t>
            </w:r>
          </w:p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max_features: range(1,11,1)</w:t>
            </w:r>
          </w:p>
        </w:tc>
      </w:tr>
      <w:tr w:rsidR="00A308C2" w:rsidRPr="00D513B4" w:rsidTr="00362176">
        <w:tc>
          <w:tcPr>
            <w:tcW w:w="3114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Logistic regression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R)</w:t>
            </w:r>
          </w:p>
        </w:tc>
        <w:tc>
          <w:tcPr>
            <w:tcW w:w="6379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308C2" w:rsidRPr="00D513B4" w:rsidTr="00362176">
        <w:tc>
          <w:tcPr>
            <w:tcW w:w="3114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Decision tree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T)</w:t>
            </w:r>
          </w:p>
        </w:tc>
        <w:tc>
          <w:tcPr>
            <w:tcW w:w="6379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max_features: range (1,11,1),</w:t>
            </w:r>
          </w:p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min_samples_split: range(1,11)</w:t>
            </w:r>
          </w:p>
        </w:tc>
      </w:tr>
      <w:tr w:rsidR="00A308C2" w:rsidRPr="00D513B4" w:rsidTr="00362176">
        <w:tc>
          <w:tcPr>
            <w:tcW w:w="3114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Stochastic gradient descent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GD)</w:t>
            </w:r>
          </w:p>
        </w:tc>
        <w:tc>
          <w:tcPr>
            <w:tcW w:w="6379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loss: ['hinge', 'log', 'modified_huber', 'squared_hinge','perceptron'], </w:t>
            </w:r>
          </w:p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penalty: ['none', 'l2', 'l1','elasticnet']</w:t>
            </w:r>
          </w:p>
        </w:tc>
      </w:tr>
      <w:tr w:rsidR="00A308C2" w:rsidRPr="00D513B4" w:rsidTr="00362176">
        <w:tc>
          <w:tcPr>
            <w:tcW w:w="3114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Extreme gradient boosting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513B4">
              <w:rPr>
                <w:rFonts w:ascii="Times New Roman" w:hAnsi="Times New Roman" w:cs="Times New Roman" w:hint="eastAsia"/>
                <w:sz w:val="18"/>
                <w:szCs w:val="18"/>
              </w:rPr>
              <w:t>X</w:t>
            </w:r>
            <w:r w:rsidRPr="00D513B4">
              <w:rPr>
                <w:rFonts w:ascii="Times New Roman" w:hAnsi="Times New Roman" w:cs="Times New Roman"/>
                <w:sz w:val="18"/>
                <w:szCs w:val="18"/>
              </w:rPr>
              <w:t>GB)</w:t>
            </w:r>
          </w:p>
        </w:tc>
        <w:tc>
          <w:tcPr>
            <w:tcW w:w="6379" w:type="dxa"/>
          </w:tcPr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n_estimators: range (10,110,10),</w:t>
            </w:r>
          </w:p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learning_rate: [0.01,0.020,0.03,0.04,0.05,0.06,0.07,0.08,0.09,0.1],</w:t>
            </w:r>
          </w:p>
          <w:p w:rsidR="00A308C2" w:rsidRPr="00D513B4" w:rsidRDefault="00A308C2" w:rsidP="00362176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513B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max_depth: range(1,20,2)</w:t>
            </w:r>
          </w:p>
        </w:tc>
      </w:tr>
    </w:tbl>
    <w:p w:rsidR="009A026F" w:rsidRDefault="009A026F" w:rsidP="00A308C2"/>
    <w:p w:rsidR="00220436" w:rsidRPr="00A308C2" w:rsidRDefault="00220436" w:rsidP="00A308C2">
      <w:pPr>
        <w:rPr>
          <w:rFonts w:hint="eastAsia"/>
        </w:rPr>
      </w:pPr>
      <w:bookmarkStart w:id="0" w:name="_GoBack"/>
      <w:bookmarkEnd w:id="0"/>
    </w:p>
    <w:sectPr w:rsidR="00220436" w:rsidRPr="00A308C2" w:rsidSect="00A308C2">
      <w:pgSz w:w="12240" w:h="15826" w:code="1"/>
      <w:pgMar w:top="1264" w:right="1383" w:bottom="1264" w:left="1094" w:header="709" w:footer="83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84" w:rsidRDefault="00741884" w:rsidP="009A026F">
      <w:r>
        <w:separator/>
      </w:r>
    </w:p>
  </w:endnote>
  <w:endnote w:type="continuationSeparator" w:id="0">
    <w:p w:rsidR="00741884" w:rsidRDefault="00741884" w:rsidP="009A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84" w:rsidRDefault="00741884" w:rsidP="009A026F">
      <w:r>
        <w:separator/>
      </w:r>
    </w:p>
  </w:footnote>
  <w:footnote w:type="continuationSeparator" w:id="0">
    <w:p w:rsidR="00741884" w:rsidRDefault="00741884" w:rsidP="009A0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0"/>
  <w:evenAndOddHeaders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B9"/>
    <w:rsid w:val="00220436"/>
    <w:rsid w:val="004132B4"/>
    <w:rsid w:val="006C76B9"/>
    <w:rsid w:val="00741884"/>
    <w:rsid w:val="00762231"/>
    <w:rsid w:val="009A026F"/>
    <w:rsid w:val="00A308C2"/>
    <w:rsid w:val="00A55BF6"/>
    <w:rsid w:val="00BE442B"/>
    <w:rsid w:val="00DA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56F8C"/>
  <w15:chartTrackingRefBased/>
  <w15:docId w15:val="{4668622D-1D10-4D80-A30D-5C1E98DA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0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FAB30-0B8D-4A5F-99DB-54D90DCC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1194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wangchao</dc:creator>
  <cp:keywords/>
  <dc:description/>
  <cp:lastModifiedBy>wangchao</cp:lastModifiedBy>
  <cp:revision>7</cp:revision>
  <dcterms:created xsi:type="dcterms:W3CDTF">2022-12-09T14:35:00Z</dcterms:created>
  <dcterms:modified xsi:type="dcterms:W3CDTF">2022-12-09T15:10:00Z</dcterms:modified>
</cp:coreProperties>
</file>