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sz w:val="24"/>
          <w:highlight w:val="yellow"/>
        </w:rPr>
      </w:pPr>
    </w:p>
    <w:p>
      <w:pPr>
        <w:spacing w:line="360" w:lineRule="auto"/>
        <w:jc w:val="center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  <w:drawing>
          <wp:inline distT="0" distB="0" distL="114300" distR="114300">
            <wp:extent cx="4301490" cy="3044190"/>
            <wp:effectExtent l="0" t="0" r="381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1490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/>
          <w:sz w:val="24"/>
          <w:highlight w:val="none"/>
        </w:rPr>
      </w:pPr>
      <w:bookmarkStart w:id="2" w:name="_GoBack"/>
      <w:bookmarkStart w:id="0" w:name="OLE_LINK74"/>
      <w:bookmarkStart w:id="1" w:name="OLE_LINK1"/>
      <w:r>
        <w:rPr>
          <w:rFonts w:ascii="Times New Roman" w:hAnsi="Times New Roman"/>
          <w:sz w:val="24"/>
          <w:highlight w:val="none"/>
        </w:rPr>
        <w:t>Figure S1.</w:t>
      </w:r>
      <w:bookmarkEnd w:id="0"/>
      <w:r>
        <w:rPr>
          <w:rFonts w:ascii="Times New Roman" w:hAnsi="Times New Roman"/>
          <w:sz w:val="24"/>
          <w:highlight w:val="none"/>
        </w:rPr>
        <w:t xml:space="preserve"> The Pearson correlation analysis among </w:t>
      </w:r>
      <w:r>
        <w:rPr>
          <w:rFonts w:ascii="Times New Roman" w:hAnsi="Times New Roman"/>
          <w:i/>
          <w:iCs/>
          <w:sz w:val="24"/>
          <w:highlight w:val="none"/>
        </w:rPr>
        <w:t>Parabacteroides distasonis</w:t>
      </w:r>
      <w:r>
        <w:rPr>
          <w:rFonts w:ascii="Times New Roman" w:hAnsi="Times New Roman"/>
          <w:sz w:val="24"/>
          <w:highlight w:val="none"/>
        </w:rPr>
        <w:t xml:space="preserve"> and 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b</w:t>
      </w:r>
      <w:r>
        <w:rPr>
          <w:rFonts w:hint="eastAsia" w:ascii="Times New Roman" w:hAnsi="Times New Roman"/>
          <w:sz w:val="24"/>
          <w:highlight w:val="none"/>
        </w:rPr>
        <w:t>iochemical</w:t>
      </w:r>
      <w:r>
        <w:rPr>
          <w:rFonts w:ascii="Times New Roman" w:hAnsi="Times New Roman"/>
          <w:sz w:val="24"/>
          <w:highlight w:val="none"/>
        </w:rPr>
        <w:t xml:space="preserve"> indicators</w:t>
      </w:r>
      <w:bookmarkEnd w:id="2"/>
      <w:bookmarkEnd w:id="1"/>
      <w:r>
        <w:rPr>
          <w:rFonts w:ascii="Times New Roman" w:hAnsi="Times New Roman"/>
          <w:sz w:val="24"/>
          <w:highlight w:val="none"/>
        </w:rPr>
        <w:t xml:space="preserve"> (*p &lt; 0.05，**p &lt; 0.01，***p &lt; 0.001).</w:t>
      </w:r>
      <w:r>
        <w:rPr>
          <w:rFonts w:hint="eastAsia" w:ascii="Times New Roman" w:hAnsi="Times New Roman"/>
          <w:sz w:val="24"/>
          <w:highlight w:val="none"/>
        </w:rPr>
        <w:t xml:space="preserve"> Correlation heatmap analysis was applied to assess the association between gut microbiota and T2DM-related indexes. The data of intestinal flora were obtained by high-throughput 16s sequencing, and the data processing method was the same as in this article. The biochemical indexes were obtained by kit, automatic biochemical analyser and suspension chip method. Pearson</w:t>
      </w:r>
      <w:r>
        <w:rPr>
          <w:rFonts w:ascii="Times New Roman" w:hAnsi="Times New Roman"/>
          <w:sz w:val="24"/>
          <w:highlight w:val="none"/>
        </w:rPr>
        <w:t>’</w:t>
      </w:r>
      <w:r>
        <w:rPr>
          <w:rFonts w:hint="eastAsia" w:ascii="Times New Roman" w:hAnsi="Times New Roman"/>
          <w:sz w:val="24"/>
          <w:highlight w:val="none"/>
        </w:rPr>
        <w:t>s correlation coefficient was calculated by SPSS (Statistical Product and Service Solutions) statistics 19.0.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iNmMwZTdiNDAxODczYjE4YjI4YmJkMjA5N2YxYTcifQ=="/>
  </w:docVars>
  <w:rsids>
    <w:rsidRoot w:val="667E5090"/>
    <w:rsid w:val="667E5090"/>
    <w:rsid w:val="7445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530</Characters>
  <Lines>0</Lines>
  <Paragraphs>0</Paragraphs>
  <TotalTime>2</TotalTime>
  <ScaleCrop>false</ScaleCrop>
  <LinksUpToDate>false</LinksUpToDate>
  <CharactersWithSpaces>614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2023-03-12T12:11:00Z</dcterms:created>
  <dc:creator>moonldl</dc:creator>
  <cp:lastModifiedBy>moonldl</cp:lastModifiedBy>
  <dcterms:modified xsi:type="dcterms:W3CDTF">2023-03-13T14:49:45Z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3384E76E2692450281A85CF05FD549E0</vt:lpwstr>
  </property>
</Properties>
</file>