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E2460" w14:textId="69B8FB2A" w:rsidR="00686453" w:rsidRDefault="00763CE3">
      <w:pPr>
        <w:rPr>
          <w:b/>
          <w:szCs w:val="24"/>
        </w:rPr>
      </w:pPr>
      <w:r>
        <w:rPr>
          <w:b/>
          <w:szCs w:val="24"/>
        </w:rPr>
        <w:t>Additional File 1. Figures S1-S10.</w:t>
      </w:r>
    </w:p>
    <w:p w14:paraId="223E0ACB" w14:textId="77777777" w:rsidR="00686453" w:rsidRDefault="00000000">
      <w:pPr>
        <w:rPr>
          <w:b/>
          <w:szCs w:val="24"/>
        </w:rPr>
      </w:pPr>
      <w:r>
        <w:rPr>
          <w:b/>
          <w:noProof/>
          <w:szCs w:val="24"/>
          <w:lang w:eastAsia="zh-CN"/>
        </w:rPr>
        <w:drawing>
          <wp:inline distT="0" distB="0" distL="0" distR="0" wp14:anchorId="04394A9F" wp14:editId="24F05981">
            <wp:extent cx="5274310" cy="2798445"/>
            <wp:effectExtent l="0" t="0" r="254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798445"/>
                    </a:xfrm>
                    <a:prstGeom prst="rect">
                      <a:avLst/>
                    </a:prstGeom>
                  </pic:spPr>
                </pic:pic>
              </a:graphicData>
            </a:graphic>
          </wp:inline>
        </w:drawing>
      </w:r>
    </w:p>
    <w:p w14:paraId="4130C8B7" w14:textId="77777777" w:rsidR="00686453" w:rsidRDefault="00000000">
      <w:pPr>
        <w:rPr>
          <w:sz w:val="22"/>
        </w:rPr>
      </w:pPr>
      <w:r>
        <w:rPr>
          <w:b/>
          <w:bCs/>
          <w:sz w:val="22"/>
        </w:rPr>
        <w:t xml:space="preserve">Fig. S1 The karyotyping and </w:t>
      </w:r>
      <w:proofErr w:type="spellStart"/>
      <w:r>
        <w:rPr>
          <w:b/>
          <w:bCs/>
          <w:sz w:val="22"/>
        </w:rPr>
        <w:t>Kmer</w:t>
      </w:r>
      <w:proofErr w:type="spellEnd"/>
      <w:r>
        <w:rPr>
          <w:b/>
          <w:bCs/>
          <w:sz w:val="22"/>
        </w:rPr>
        <w:t xml:space="preserve">-based analyses of the </w:t>
      </w:r>
      <w:proofErr w:type="spellStart"/>
      <w:r>
        <w:rPr>
          <w:b/>
          <w:bCs/>
          <w:sz w:val="22"/>
        </w:rPr>
        <w:t>cjaND</w:t>
      </w:r>
      <w:proofErr w:type="spellEnd"/>
      <w:r>
        <w:rPr>
          <w:b/>
          <w:bCs/>
          <w:sz w:val="22"/>
        </w:rPr>
        <w:t xml:space="preserve"> genome. a</w:t>
      </w:r>
      <w:r>
        <w:rPr>
          <w:sz w:val="22"/>
        </w:rPr>
        <w:t xml:space="preserve">, A karyotype image by the chromosome squash of young root-tips of the </w:t>
      </w:r>
      <w:proofErr w:type="spellStart"/>
      <w:r>
        <w:rPr>
          <w:sz w:val="22"/>
        </w:rPr>
        <w:t>cjaND</w:t>
      </w:r>
      <w:proofErr w:type="spellEnd"/>
      <w:r>
        <w:rPr>
          <w:sz w:val="22"/>
        </w:rPr>
        <w:t xml:space="preserve"> plant that have been used for genome sequencing (upper panel). The lower panel presents the chromosomes. </w:t>
      </w:r>
      <w:r>
        <w:rPr>
          <w:b/>
          <w:bCs/>
          <w:sz w:val="22"/>
        </w:rPr>
        <w:t>b</w:t>
      </w:r>
      <w:r>
        <w:rPr>
          <w:sz w:val="22"/>
        </w:rPr>
        <w:t xml:space="preserve">, The distribution of 21-bp </w:t>
      </w:r>
      <w:proofErr w:type="spellStart"/>
      <w:r>
        <w:rPr>
          <w:sz w:val="22"/>
        </w:rPr>
        <w:t>Kmer</w:t>
      </w:r>
      <w:proofErr w:type="spellEnd"/>
      <w:r>
        <w:rPr>
          <w:sz w:val="22"/>
        </w:rPr>
        <w:t xml:space="preserve"> of the </w:t>
      </w:r>
      <w:proofErr w:type="spellStart"/>
      <w:r>
        <w:rPr>
          <w:sz w:val="22"/>
        </w:rPr>
        <w:t>cjaND</w:t>
      </w:r>
      <w:proofErr w:type="spellEnd"/>
      <w:r>
        <w:rPr>
          <w:sz w:val="22"/>
        </w:rPr>
        <w:t xml:space="preserve"> genome. The </w:t>
      </w:r>
      <w:proofErr w:type="spellStart"/>
      <w:r>
        <w:rPr>
          <w:sz w:val="22"/>
        </w:rPr>
        <w:t>Kmer</w:t>
      </w:r>
      <w:proofErr w:type="spellEnd"/>
      <w:r>
        <w:rPr>
          <w:sz w:val="22"/>
        </w:rPr>
        <w:t xml:space="preserve"> abundance is used to calculate the estimated genome size, repetitive </w:t>
      </w:r>
      <w:proofErr w:type="gramStart"/>
      <w:r>
        <w:rPr>
          <w:sz w:val="22"/>
        </w:rPr>
        <w:t>elements</w:t>
      </w:r>
      <w:proofErr w:type="gramEnd"/>
      <w:r>
        <w:rPr>
          <w:sz w:val="22"/>
        </w:rPr>
        <w:t xml:space="preserve"> and heterozygosity.</w:t>
      </w:r>
    </w:p>
    <w:p w14:paraId="0790EC73" w14:textId="77777777" w:rsidR="00686453" w:rsidRDefault="00686453">
      <w:pPr>
        <w:rPr>
          <w:b/>
          <w:szCs w:val="24"/>
        </w:rPr>
      </w:pPr>
    </w:p>
    <w:p w14:paraId="5DCBB4B1" w14:textId="77777777" w:rsidR="00686453" w:rsidRDefault="00686453">
      <w:pPr>
        <w:rPr>
          <w:b/>
          <w:szCs w:val="24"/>
        </w:rPr>
      </w:pPr>
    </w:p>
    <w:p w14:paraId="6ADFDDFD" w14:textId="77777777" w:rsidR="00686453" w:rsidRDefault="00000000">
      <w:pPr>
        <w:rPr>
          <w:b/>
          <w:szCs w:val="24"/>
        </w:rPr>
      </w:pPr>
      <w:r>
        <w:rPr>
          <w:b/>
          <w:szCs w:val="24"/>
        </w:rPr>
        <w:br w:type="page"/>
      </w:r>
    </w:p>
    <w:p w14:paraId="1B14D57F" w14:textId="77777777" w:rsidR="00686453" w:rsidRDefault="00000000">
      <w:pPr>
        <w:rPr>
          <w:b/>
          <w:szCs w:val="24"/>
        </w:rPr>
      </w:pPr>
      <w:r>
        <w:rPr>
          <w:b/>
          <w:noProof/>
          <w:szCs w:val="24"/>
          <w:lang w:eastAsia="zh-CN"/>
        </w:rPr>
        <w:lastRenderedPageBreak/>
        <w:drawing>
          <wp:inline distT="0" distB="0" distL="0" distR="0" wp14:anchorId="33A675FE" wp14:editId="140959BB">
            <wp:extent cx="5274310" cy="52743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274310"/>
                    </a:xfrm>
                    <a:prstGeom prst="rect">
                      <a:avLst/>
                    </a:prstGeom>
                  </pic:spPr>
                </pic:pic>
              </a:graphicData>
            </a:graphic>
          </wp:inline>
        </w:drawing>
      </w:r>
    </w:p>
    <w:p w14:paraId="094F2622" w14:textId="77777777" w:rsidR="00686453" w:rsidRDefault="00686453">
      <w:pPr>
        <w:rPr>
          <w:b/>
          <w:szCs w:val="24"/>
        </w:rPr>
      </w:pPr>
    </w:p>
    <w:p w14:paraId="3C769448" w14:textId="77777777" w:rsidR="00686453" w:rsidRDefault="00000000">
      <w:pPr>
        <w:rPr>
          <w:sz w:val="22"/>
        </w:rPr>
      </w:pPr>
      <w:r>
        <w:rPr>
          <w:b/>
          <w:bCs/>
          <w:sz w:val="22"/>
        </w:rPr>
        <w:t xml:space="preserve">Fig. S2 The Hi-C heatmap shows the interaction of the chromosome. </w:t>
      </w:r>
      <w:r>
        <w:rPr>
          <w:sz w:val="22"/>
        </w:rPr>
        <w:t>The horizontal and vertical coordinates represent the assembled chromosomes, and the color represents the interaction intensity between chromosomes, with the color from yellow to red representing the interaction intensity from small to large.</w:t>
      </w:r>
    </w:p>
    <w:p w14:paraId="2C237542" w14:textId="77777777" w:rsidR="00686453" w:rsidRDefault="00686453">
      <w:pPr>
        <w:rPr>
          <w:b/>
          <w:szCs w:val="24"/>
        </w:rPr>
      </w:pPr>
    </w:p>
    <w:p w14:paraId="67563C6A" w14:textId="77777777" w:rsidR="00686453" w:rsidRDefault="00686453">
      <w:pPr>
        <w:rPr>
          <w:b/>
          <w:szCs w:val="24"/>
        </w:rPr>
      </w:pPr>
    </w:p>
    <w:p w14:paraId="7258ADBC" w14:textId="77777777" w:rsidR="00686453" w:rsidRDefault="00000000">
      <w:pPr>
        <w:rPr>
          <w:b/>
          <w:szCs w:val="24"/>
        </w:rPr>
      </w:pPr>
      <w:r>
        <w:rPr>
          <w:b/>
          <w:szCs w:val="24"/>
        </w:rPr>
        <w:br w:type="page"/>
      </w:r>
    </w:p>
    <w:p w14:paraId="64A8B744" w14:textId="77777777" w:rsidR="00686453" w:rsidRDefault="00000000">
      <w:pPr>
        <w:jc w:val="center"/>
        <w:rPr>
          <w:b/>
          <w:szCs w:val="24"/>
        </w:rPr>
      </w:pPr>
      <w:r>
        <w:rPr>
          <w:b/>
          <w:noProof/>
          <w:szCs w:val="24"/>
          <w:lang w:eastAsia="zh-CN"/>
        </w:rPr>
        <w:lastRenderedPageBreak/>
        <w:drawing>
          <wp:inline distT="0" distB="0" distL="0" distR="0" wp14:anchorId="45C42736" wp14:editId="11211903">
            <wp:extent cx="5434330" cy="34867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47067" cy="3495136"/>
                    </a:xfrm>
                    <a:prstGeom prst="rect">
                      <a:avLst/>
                    </a:prstGeom>
                  </pic:spPr>
                </pic:pic>
              </a:graphicData>
            </a:graphic>
          </wp:inline>
        </w:drawing>
      </w:r>
    </w:p>
    <w:p w14:paraId="378BA264" w14:textId="77777777" w:rsidR="00686453" w:rsidRDefault="00000000">
      <w:pPr>
        <w:spacing w:line="276" w:lineRule="auto"/>
        <w:rPr>
          <w:sz w:val="22"/>
        </w:rPr>
      </w:pPr>
      <w:r>
        <w:rPr>
          <w:b/>
          <w:bCs/>
          <w:sz w:val="22"/>
        </w:rPr>
        <w:t xml:space="preserve">Fig. S3 The segregation patterns of the genetic makers. </w:t>
      </w:r>
      <w:r>
        <w:rPr>
          <w:sz w:val="22"/>
        </w:rPr>
        <w:t xml:space="preserve">A cross-population of two closely-related </w:t>
      </w:r>
      <w:r>
        <w:rPr>
          <w:i/>
          <w:iCs/>
          <w:sz w:val="22"/>
        </w:rPr>
        <w:t>Camellia</w:t>
      </w:r>
      <w:r>
        <w:rPr>
          <w:sz w:val="22"/>
        </w:rPr>
        <w:t xml:space="preserve"> species, </w:t>
      </w:r>
      <w:r>
        <w:rPr>
          <w:i/>
          <w:iCs/>
          <w:sz w:val="22"/>
        </w:rPr>
        <w:t xml:space="preserve">C. japonica </w:t>
      </w:r>
      <w:r>
        <w:rPr>
          <w:sz w:val="22"/>
        </w:rPr>
        <w:t xml:space="preserve">and </w:t>
      </w:r>
      <w:r>
        <w:rPr>
          <w:i/>
          <w:iCs/>
          <w:sz w:val="22"/>
        </w:rPr>
        <w:t xml:space="preserve">C. </w:t>
      </w:r>
      <w:proofErr w:type="spellStart"/>
      <w:r>
        <w:rPr>
          <w:i/>
          <w:iCs/>
          <w:sz w:val="22"/>
        </w:rPr>
        <w:t>chekiangoleosa</w:t>
      </w:r>
      <w:proofErr w:type="spellEnd"/>
      <w:r>
        <w:rPr>
          <w:sz w:val="22"/>
        </w:rPr>
        <w:t xml:space="preserve">, was used to construct a genetic linkage map. Distribution of each genetic segregation pattern. Segregating pattern indicates female parent genotype × male parent genotype in the SNP locus. Only the SNPs with the segregation patterns of ab × cc, ab × cd, cc × ab, </w:t>
      </w:r>
      <w:proofErr w:type="spellStart"/>
      <w:r>
        <w:rPr>
          <w:sz w:val="22"/>
        </w:rPr>
        <w:t>ef</w:t>
      </w:r>
      <w:proofErr w:type="spellEnd"/>
      <w:r>
        <w:rPr>
          <w:sz w:val="22"/>
        </w:rPr>
        <w:t xml:space="preserve"> × </w:t>
      </w:r>
      <w:proofErr w:type="spellStart"/>
      <w:r>
        <w:rPr>
          <w:sz w:val="22"/>
        </w:rPr>
        <w:t>eg</w:t>
      </w:r>
      <w:proofErr w:type="spellEnd"/>
      <w:r>
        <w:rPr>
          <w:sz w:val="22"/>
        </w:rPr>
        <w:t xml:space="preserve">, </w:t>
      </w:r>
      <w:proofErr w:type="spellStart"/>
      <w:r>
        <w:rPr>
          <w:sz w:val="22"/>
        </w:rPr>
        <w:t>hk</w:t>
      </w:r>
      <w:proofErr w:type="spellEnd"/>
      <w:r>
        <w:rPr>
          <w:sz w:val="22"/>
        </w:rPr>
        <w:t xml:space="preserve"> × </w:t>
      </w:r>
      <w:proofErr w:type="spellStart"/>
      <w:r>
        <w:rPr>
          <w:sz w:val="22"/>
        </w:rPr>
        <w:t>hk</w:t>
      </w:r>
      <w:proofErr w:type="spellEnd"/>
      <w:r>
        <w:rPr>
          <w:sz w:val="22"/>
        </w:rPr>
        <w:t xml:space="preserve">, </w:t>
      </w:r>
      <w:proofErr w:type="spellStart"/>
      <w:r>
        <w:rPr>
          <w:sz w:val="22"/>
        </w:rPr>
        <w:t>lm</w:t>
      </w:r>
      <w:proofErr w:type="spellEnd"/>
      <w:r>
        <w:rPr>
          <w:sz w:val="22"/>
        </w:rPr>
        <w:t xml:space="preserve"> × </w:t>
      </w:r>
      <w:proofErr w:type="spellStart"/>
      <w:r>
        <w:rPr>
          <w:sz w:val="22"/>
        </w:rPr>
        <w:t>ll</w:t>
      </w:r>
      <w:proofErr w:type="spellEnd"/>
      <w:r>
        <w:rPr>
          <w:sz w:val="22"/>
        </w:rPr>
        <w:t xml:space="preserve">, and </w:t>
      </w:r>
      <w:proofErr w:type="spellStart"/>
      <w:r>
        <w:rPr>
          <w:sz w:val="22"/>
        </w:rPr>
        <w:t>nn</w:t>
      </w:r>
      <w:proofErr w:type="spellEnd"/>
      <w:r>
        <w:rPr>
          <w:sz w:val="22"/>
        </w:rPr>
        <w:t xml:space="preserve"> × np were used for genetic linage construction. and the vertical axis indicates the number of SNPs of this segregation pattern.</w:t>
      </w:r>
    </w:p>
    <w:p w14:paraId="02E1A562" w14:textId="77777777" w:rsidR="00686453" w:rsidRDefault="00686453">
      <w:pPr>
        <w:rPr>
          <w:b/>
          <w:szCs w:val="24"/>
        </w:rPr>
      </w:pPr>
    </w:p>
    <w:p w14:paraId="259245EB" w14:textId="77777777" w:rsidR="00686453" w:rsidRDefault="00686453">
      <w:pPr>
        <w:rPr>
          <w:b/>
          <w:szCs w:val="24"/>
        </w:rPr>
      </w:pPr>
    </w:p>
    <w:p w14:paraId="77910D61" w14:textId="77777777" w:rsidR="00686453" w:rsidRDefault="00000000">
      <w:pPr>
        <w:rPr>
          <w:b/>
          <w:szCs w:val="24"/>
        </w:rPr>
      </w:pPr>
      <w:r>
        <w:rPr>
          <w:b/>
          <w:szCs w:val="24"/>
        </w:rPr>
        <w:br w:type="page"/>
      </w:r>
    </w:p>
    <w:p w14:paraId="344FC20A" w14:textId="77777777" w:rsidR="00686453" w:rsidRDefault="00000000">
      <w:pPr>
        <w:rPr>
          <w:b/>
          <w:szCs w:val="24"/>
        </w:rPr>
      </w:pPr>
      <w:r>
        <w:rPr>
          <w:b/>
          <w:noProof/>
          <w:szCs w:val="24"/>
          <w:lang w:eastAsia="zh-CN"/>
        </w:rPr>
        <w:lastRenderedPageBreak/>
        <w:drawing>
          <wp:inline distT="0" distB="0" distL="0" distR="0" wp14:anchorId="3DC94C20" wp14:editId="6E7A3EC4">
            <wp:extent cx="5943600" cy="3044825"/>
            <wp:effectExtent l="0" t="0" r="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943600" cy="3044825"/>
                    </a:xfrm>
                    <a:prstGeom prst="rect">
                      <a:avLst/>
                    </a:prstGeom>
                  </pic:spPr>
                </pic:pic>
              </a:graphicData>
            </a:graphic>
          </wp:inline>
        </w:drawing>
      </w:r>
    </w:p>
    <w:p w14:paraId="72D3DA96" w14:textId="77777777" w:rsidR="00686453" w:rsidRDefault="00686453">
      <w:pPr>
        <w:rPr>
          <w:b/>
          <w:szCs w:val="24"/>
        </w:rPr>
      </w:pPr>
    </w:p>
    <w:p w14:paraId="4475AE58" w14:textId="77777777" w:rsidR="00686453" w:rsidRDefault="00000000">
      <w:pPr>
        <w:rPr>
          <w:sz w:val="22"/>
        </w:rPr>
      </w:pPr>
      <w:r>
        <w:rPr>
          <w:b/>
          <w:bCs/>
          <w:sz w:val="22"/>
        </w:rPr>
        <w:t xml:space="preserve">Fig. S4 The evolution of </w:t>
      </w:r>
      <w:r>
        <w:rPr>
          <w:b/>
          <w:bCs/>
          <w:i/>
          <w:iCs/>
          <w:sz w:val="22"/>
        </w:rPr>
        <w:t xml:space="preserve">AGAMOUS </w:t>
      </w:r>
      <w:r>
        <w:rPr>
          <w:rFonts w:hint="eastAsia"/>
          <w:b/>
          <w:bCs/>
          <w:iCs/>
          <w:sz w:val="22"/>
          <w:lang w:eastAsia="zh-CN"/>
        </w:rPr>
        <w:t>loci</w:t>
      </w:r>
      <w:r>
        <w:rPr>
          <w:b/>
          <w:bCs/>
          <w:iCs/>
          <w:sz w:val="22"/>
        </w:rPr>
        <w:t xml:space="preserve"> in </w:t>
      </w:r>
      <w:r>
        <w:rPr>
          <w:b/>
          <w:bCs/>
          <w:i/>
          <w:iCs/>
          <w:sz w:val="22"/>
        </w:rPr>
        <w:t>Camellia</w:t>
      </w:r>
      <w:r>
        <w:rPr>
          <w:b/>
          <w:bCs/>
          <w:sz w:val="22"/>
        </w:rPr>
        <w:t xml:space="preserve">. a, </w:t>
      </w:r>
      <w:r>
        <w:rPr>
          <w:sz w:val="22"/>
        </w:rPr>
        <w:t>A phylogenetic tree of C functional genes of</w:t>
      </w:r>
      <w:r>
        <w:rPr>
          <w:i/>
          <w:iCs/>
          <w:sz w:val="22"/>
        </w:rPr>
        <w:t xml:space="preserve"> C. japonica </w:t>
      </w:r>
      <w:r>
        <w:rPr>
          <w:sz w:val="22"/>
        </w:rPr>
        <w:t xml:space="preserve">and closely-related species. The red dots represent the </w:t>
      </w:r>
      <w:r>
        <w:rPr>
          <w:i/>
          <w:iCs/>
          <w:sz w:val="22"/>
        </w:rPr>
        <w:t>AG</w:t>
      </w:r>
      <w:r>
        <w:rPr>
          <w:sz w:val="22"/>
        </w:rPr>
        <w:t xml:space="preserve"> copies of </w:t>
      </w:r>
      <w:r>
        <w:rPr>
          <w:i/>
          <w:iCs/>
          <w:sz w:val="22"/>
        </w:rPr>
        <w:t>C. japonica</w:t>
      </w:r>
      <w:r>
        <w:rPr>
          <w:sz w:val="22"/>
        </w:rPr>
        <w:t xml:space="preserve">. The blue and red lines show the </w:t>
      </w:r>
      <w:r>
        <w:rPr>
          <w:i/>
          <w:iCs/>
          <w:sz w:val="22"/>
        </w:rPr>
        <w:t>PLE</w:t>
      </w:r>
      <w:r>
        <w:rPr>
          <w:sz w:val="22"/>
        </w:rPr>
        <w:t xml:space="preserve"> lineage and </w:t>
      </w:r>
      <w:r>
        <w:rPr>
          <w:i/>
          <w:iCs/>
          <w:sz w:val="22"/>
        </w:rPr>
        <w:t>AG</w:t>
      </w:r>
      <w:r>
        <w:rPr>
          <w:sz w:val="22"/>
        </w:rPr>
        <w:t xml:space="preserve"> lineage of C-class genes, respectively. </w:t>
      </w:r>
      <w:r>
        <w:rPr>
          <w:b/>
          <w:bCs/>
          <w:sz w:val="22"/>
        </w:rPr>
        <w:t xml:space="preserve">b, </w:t>
      </w:r>
      <w:r>
        <w:rPr>
          <w:sz w:val="22"/>
        </w:rPr>
        <w:t xml:space="preserve">Multiple sequence alignment of amino acid sequence of </w:t>
      </w:r>
      <w:proofErr w:type="spellStart"/>
      <w:r>
        <w:rPr>
          <w:sz w:val="22"/>
        </w:rPr>
        <w:t>CjAGs</w:t>
      </w:r>
      <w:proofErr w:type="spellEnd"/>
      <w:r>
        <w:rPr>
          <w:sz w:val="22"/>
        </w:rPr>
        <w:t xml:space="preserve"> with other known AGs. The red boxes show the conserved AG motif.</w:t>
      </w:r>
      <w:r>
        <w:rPr>
          <w:b/>
          <w:bCs/>
          <w:sz w:val="22"/>
        </w:rPr>
        <w:t xml:space="preserve"> </w:t>
      </w:r>
    </w:p>
    <w:p w14:paraId="71AE3790" w14:textId="77777777" w:rsidR="00686453" w:rsidRDefault="00686453">
      <w:pPr>
        <w:rPr>
          <w:b/>
          <w:szCs w:val="24"/>
        </w:rPr>
      </w:pPr>
    </w:p>
    <w:p w14:paraId="43968819" w14:textId="77777777" w:rsidR="00686453" w:rsidRDefault="00686453">
      <w:pPr>
        <w:rPr>
          <w:b/>
          <w:szCs w:val="24"/>
        </w:rPr>
      </w:pPr>
    </w:p>
    <w:p w14:paraId="00EFF96F" w14:textId="77777777" w:rsidR="00686453" w:rsidRDefault="00000000">
      <w:pPr>
        <w:rPr>
          <w:b/>
          <w:szCs w:val="24"/>
        </w:rPr>
      </w:pPr>
      <w:r>
        <w:rPr>
          <w:b/>
          <w:szCs w:val="24"/>
        </w:rPr>
        <w:br w:type="page"/>
      </w:r>
    </w:p>
    <w:p w14:paraId="7B86251A" w14:textId="77777777" w:rsidR="00686453" w:rsidRDefault="00686453">
      <w:pPr>
        <w:jc w:val="center"/>
        <w:rPr>
          <w:b/>
          <w:szCs w:val="24"/>
        </w:rPr>
      </w:pPr>
    </w:p>
    <w:p w14:paraId="644A576F" w14:textId="77777777" w:rsidR="00686453" w:rsidRDefault="00000000">
      <w:pPr>
        <w:jc w:val="center"/>
        <w:rPr>
          <w:b/>
          <w:szCs w:val="24"/>
        </w:rPr>
      </w:pPr>
      <w:r>
        <w:rPr>
          <w:b/>
          <w:noProof/>
          <w:szCs w:val="24"/>
        </w:rPr>
        <w:drawing>
          <wp:inline distT="0" distB="0" distL="114300" distR="114300" wp14:anchorId="62C6C88E" wp14:editId="7F08EA64">
            <wp:extent cx="5931535" cy="3913505"/>
            <wp:effectExtent l="0" t="0" r="12065" b="10795"/>
            <wp:docPr id="5" name="图片 5" descr="fig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5"/>
                    <pic:cNvPicPr>
                      <a:picLocks noChangeAspect="1"/>
                    </pic:cNvPicPr>
                  </pic:nvPicPr>
                  <pic:blipFill>
                    <a:blip r:embed="rId14"/>
                    <a:stretch>
                      <a:fillRect/>
                    </a:stretch>
                  </pic:blipFill>
                  <pic:spPr>
                    <a:xfrm>
                      <a:off x="0" y="0"/>
                      <a:ext cx="5931535" cy="3913505"/>
                    </a:xfrm>
                    <a:prstGeom prst="rect">
                      <a:avLst/>
                    </a:prstGeom>
                  </pic:spPr>
                </pic:pic>
              </a:graphicData>
            </a:graphic>
          </wp:inline>
        </w:drawing>
      </w:r>
    </w:p>
    <w:p w14:paraId="13091EA9" w14:textId="77777777" w:rsidR="00686453" w:rsidRDefault="00000000">
      <w:pPr>
        <w:rPr>
          <w:bCs/>
          <w:szCs w:val="24"/>
        </w:rPr>
      </w:pPr>
      <w:r>
        <w:rPr>
          <w:b/>
          <w:szCs w:val="24"/>
        </w:rPr>
        <w:t xml:space="preserve">Fig. S5 Co-expression network analysis of </w:t>
      </w:r>
      <w:r>
        <w:rPr>
          <w:b/>
          <w:i/>
          <w:szCs w:val="24"/>
        </w:rPr>
        <w:t>CjAG1</w:t>
      </w:r>
      <w:r>
        <w:rPr>
          <w:b/>
          <w:szCs w:val="24"/>
        </w:rPr>
        <w:t xml:space="preserve"> and </w:t>
      </w:r>
      <w:r>
        <w:rPr>
          <w:b/>
          <w:i/>
          <w:szCs w:val="24"/>
        </w:rPr>
        <w:t>CjAG2</w:t>
      </w:r>
      <w:r>
        <w:rPr>
          <w:b/>
          <w:szCs w:val="24"/>
        </w:rPr>
        <w:t xml:space="preserve">. </w:t>
      </w:r>
      <w:r>
        <w:rPr>
          <w:bCs/>
          <w:szCs w:val="24"/>
        </w:rPr>
        <w:t xml:space="preserve">The floral organ transcriptome containing 11 tissue types was obtained from single and formal double and anemone double flowers in </w:t>
      </w:r>
      <w:r>
        <w:rPr>
          <w:bCs/>
          <w:i/>
          <w:iCs/>
          <w:szCs w:val="24"/>
        </w:rPr>
        <w:t>C. japonica</w:t>
      </w:r>
      <w:r>
        <w:rPr>
          <w:bCs/>
          <w:szCs w:val="24"/>
        </w:rPr>
        <w:t xml:space="preserve"> </w:t>
      </w:r>
      <w:r>
        <w:rPr>
          <w:rFonts w:hint="eastAsia"/>
          <w:bCs/>
          <w:szCs w:val="24"/>
          <w:lang w:eastAsia="zh-CN"/>
        </w:rPr>
        <w:t>[6]</w:t>
      </w:r>
      <w:r>
        <w:rPr>
          <w:bCs/>
          <w:szCs w:val="24"/>
        </w:rPr>
        <w:t xml:space="preserve">. The WGCNA network was obtained and filtered to include transcription factors for visualization and </w:t>
      </w:r>
      <w:r>
        <w:rPr>
          <w:rFonts w:hint="eastAsia"/>
          <w:bCs/>
          <w:szCs w:val="24"/>
          <w:lang w:eastAsia="zh-CN"/>
        </w:rPr>
        <w:t>interpretation</w:t>
      </w:r>
      <w:r>
        <w:rPr>
          <w:bCs/>
          <w:szCs w:val="24"/>
        </w:rPr>
        <w:t xml:space="preserve"> for </w:t>
      </w:r>
      <w:r>
        <w:rPr>
          <w:bCs/>
          <w:i/>
          <w:iCs/>
          <w:szCs w:val="24"/>
        </w:rPr>
        <w:t xml:space="preserve">CjAG1 </w:t>
      </w:r>
      <w:r>
        <w:rPr>
          <w:bCs/>
          <w:szCs w:val="24"/>
        </w:rPr>
        <w:t>(</w:t>
      </w:r>
      <w:r>
        <w:rPr>
          <w:b/>
          <w:szCs w:val="24"/>
        </w:rPr>
        <w:t>a</w:t>
      </w:r>
      <w:r>
        <w:rPr>
          <w:bCs/>
          <w:szCs w:val="24"/>
        </w:rPr>
        <w:t xml:space="preserve">, labelled as AG1 EVM0034730.2) and </w:t>
      </w:r>
      <w:r>
        <w:rPr>
          <w:bCs/>
          <w:i/>
          <w:iCs/>
          <w:szCs w:val="24"/>
        </w:rPr>
        <w:t xml:space="preserve">CjAG2 </w:t>
      </w:r>
      <w:r>
        <w:rPr>
          <w:bCs/>
          <w:szCs w:val="24"/>
        </w:rPr>
        <w:t>(</w:t>
      </w:r>
      <w:r>
        <w:rPr>
          <w:b/>
          <w:szCs w:val="24"/>
        </w:rPr>
        <w:t>b</w:t>
      </w:r>
      <w:r>
        <w:rPr>
          <w:bCs/>
          <w:szCs w:val="24"/>
        </w:rPr>
        <w:t xml:space="preserve">, labelled as AG2 </w:t>
      </w:r>
      <w:r>
        <w:rPr>
          <w:rFonts w:hint="eastAsia"/>
          <w:bCs/>
          <w:szCs w:val="24"/>
        </w:rPr>
        <w:t>EVM0003627.3</w:t>
      </w:r>
      <w:r>
        <w:rPr>
          <w:bCs/>
          <w:szCs w:val="24"/>
        </w:rPr>
        <w:t>).</w:t>
      </w:r>
      <w:r>
        <w:rPr>
          <w:rFonts w:hint="eastAsia"/>
          <w:bCs/>
          <w:szCs w:val="24"/>
          <w:lang w:eastAsia="zh-CN"/>
        </w:rPr>
        <w:t xml:space="preserve"> </w:t>
      </w:r>
      <w:r>
        <w:rPr>
          <w:rFonts w:hint="eastAsia"/>
          <w:bCs/>
          <w:szCs w:val="24"/>
        </w:rPr>
        <w:t xml:space="preserve">The type of transcription factors </w:t>
      </w:r>
      <w:proofErr w:type="gramStart"/>
      <w:r>
        <w:rPr>
          <w:rFonts w:hint="eastAsia"/>
          <w:bCs/>
          <w:szCs w:val="24"/>
        </w:rPr>
        <w:t>are</w:t>
      </w:r>
      <w:proofErr w:type="gramEnd"/>
      <w:r>
        <w:rPr>
          <w:rFonts w:hint="eastAsia"/>
          <w:bCs/>
          <w:szCs w:val="24"/>
        </w:rPr>
        <w:t xml:space="preserve"> indicated by different </w:t>
      </w:r>
      <w:proofErr w:type="spellStart"/>
      <w:r>
        <w:rPr>
          <w:rFonts w:hint="eastAsia"/>
          <w:bCs/>
          <w:szCs w:val="24"/>
        </w:rPr>
        <w:t>colours</w:t>
      </w:r>
      <w:proofErr w:type="spellEnd"/>
      <w:r>
        <w:rPr>
          <w:rFonts w:hint="eastAsia"/>
          <w:bCs/>
          <w:szCs w:val="24"/>
        </w:rPr>
        <w:t xml:space="preserve">. </w:t>
      </w:r>
    </w:p>
    <w:p w14:paraId="5FE9EAFF" w14:textId="77777777" w:rsidR="00686453" w:rsidRDefault="00000000">
      <w:pPr>
        <w:rPr>
          <w:b/>
          <w:szCs w:val="24"/>
        </w:rPr>
      </w:pPr>
      <w:r>
        <w:rPr>
          <w:b/>
          <w:szCs w:val="24"/>
        </w:rPr>
        <w:br w:type="page"/>
      </w:r>
    </w:p>
    <w:p w14:paraId="28E0D3B3" w14:textId="77777777" w:rsidR="00686453" w:rsidRDefault="00000000">
      <w:pPr>
        <w:rPr>
          <w:b/>
          <w:szCs w:val="24"/>
        </w:rPr>
      </w:pPr>
      <w:r>
        <w:rPr>
          <w:b/>
          <w:noProof/>
          <w:szCs w:val="24"/>
          <w:lang w:eastAsia="zh-CN"/>
        </w:rPr>
        <w:lastRenderedPageBreak/>
        <w:drawing>
          <wp:inline distT="0" distB="0" distL="0" distR="0" wp14:anchorId="1414F35E" wp14:editId="02C92C80">
            <wp:extent cx="5274310" cy="348805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488055"/>
                    </a:xfrm>
                    <a:prstGeom prst="rect">
                      <a:avLst/>
                    </a:prstGeom>
                  </pic:spPr>
                </pic:pic>
              </a:graphicData>
            </a:graphic>
          </wp:inline>
        </w:drawing>
      </w:r>
    </w:p>
    <w:p w14:paraId="54263EE3" w14:textId="77777777" w:rsidR="00686453" w:rsidRDefault="00686453">
      <w:pPr>
        <w:rPr>
          <w:b/>
          <w:szCs w:val="24"/>
        </w:rPr>
      </w:pPr>
    </w:p>
    <w:p w14:paraId="5A476188" w14:textId="77777777" w:rsidR="00686453" w:rsidRDefault="00000000">
      <w:pPr>
        <w:rPr>
          <w:sz w:val="22"/>
        </w:rPr>
      </w:pPr>
      <w:r>
        <w:rPr>
          <w:b/>
          <w:bCs/>
          <w:sz w:val="22"/>
        </w:rPr>
        <w:t>Fig. S</w:t>
      </w:r>
      <w:r>
        <w:rPr>
          <w:rFonts w:hint="eastAsia"/>
          <w:b/>
          <w:bCs/>
          <w:sz w:val="22"/>
          <w:lang w:eastAsia="zh-CN"/>
        </w:rPr>
        <w:t>6</w:t>
      </w:r>
      <w:r>
        <w:rPr>
          <w:b/>
          <w:bCs/>
          <w:sz w:val="22"/>
        </w:rPr>
        <w:t xml:space="preserve"> Identification of annual rhythmic genes in </w:t>
      </w:r>
      <w:r>
        <w:rPr>
          <w:b/>
          <w:bCs/>
          <w:i/>
          <w:iCs/>
          <w:sz w:val="22"/>
        </w:rPr>
        <w:t>C. japonica</w:t>
      </w:r>
      <w:r>
        <w:rPr>
          <w:i/>
          <w:iCs/>
          <w:sz w:val="22"/>
        </w:rPr>
        <w:t xml:space="preserve">. </w:t>
      </w:r>
      <w:r>
        <w:rPr>
          <w:b/>
          <w:bCs/>
          <w:sz w:val="22"/>
        </w:rPr>
        <w:t>a</w:t>
      </w:r>
      <w:r>
        <w:rPr>
          <w:sz w:val="22"/>
        </w:rPr>
        <w:t xml:space="preserve">, </w:t>
      </w:r>
      <w:proofErr w:type="gramStart"/>
      <w:r>
        <w:rPr>
          <w:sz w:val="22"/>
        </w:rPr>
        <w:t>The</w:t>
      </w:r>
      <w:proofErr w:type="gramEnd"/>
      <w:r>
        <w:rPr>
          <w:sz w:val="22"/>
        </w:rPr>
        <w:t xml:space="preserve"> four modes including </w:t>
      </w:r>
      <w:proofErr w:type="spellStart"/>
      <w:r>
        <w:rPr>
          <w:sz w:val="22"/>
        </w:rPr>
        <w:t>cosinor</w:t>
      </w:r>
      <w:proofErr w:type="spellEnd"/>
      <w:r>
        <w:rPr>
          <w:sz w:val="22"/>
        </w:rPr>
        <w:t>, JTK cycle, Lomb-</w:t>
      </w:r>
      <w:proofErr w:type="spellStart"/>
      <w:r>
        <w:rPr>
          <w:sz w:val="22"/>
        </w:rPr>
        <w:t>Scargel</w:t>
      </w:r>
      <w:proofErr w:type="spellEnd"/>
      <w:r>
        <w:rPr>
          <w:sz w:val="22"/>
        </w:rPr>
        <w:t xml:space="preserve"> and ARSER that are implemented in the R packaged </w:t>
      </w:r>
      <w:proofErr w:type="spellStart"/>
      <w:r>
        <w:rPr>
          <w:sz w:val="22"/>
        </w:rPr>
        <w:t>DiscoRhythm</w:t>
      </w:r>
      <w:proofErr w:type="spellEnd"/>
      <w:r>
        <w:rPr>
          <w:sz w:val="22"/>
        </w:rPr>
        <w:t xml:space="preserve"> are used to identify the annual rhythmic genes, and the </w:t>
      </w:r>
      <w:proofErr w:type="spellStart"/>
      <w:r>
        <w:rPr>
          <w:sz w:val="22"/>
        </w:rPr>
        <w:t>acrophase</w:t>
      </w:r>
      <w:proofErr w:type="spellEnd"/>
      <w:r>
        <w:rPr>
          <w:sz w:val="22"/>
        </w:rPr>
        <w:t xml:space="preserve"> of the prediction of genes in each model is revealed respectively (from left to right).  </w:t>
      </w:r>
      <w:r>
        <w:rPr>
          <w:b/>
          <w:bCs/>
          <w:sz w:val="22"/>
        </w:rPr>
        <w:t>b</w:t>
      </w:r>
      <w:r>
        <w:rPr>
          <w:sz w:val="22"/>
        </w:rPr>
        <w:t xml:space="preserve">, </w:t>
      </w:r>
      <w:proofErr w:type="gramStart"/>
      <w:r>
        <w:rPr>
          <w:sz w:val="22"/>
        </w:rPr>
        <w:t>The</w:t>
      </w:r>
      <w:proofErr w:type="gramEnd"/>
      <w:r>
        <w:rPr>
          <w:sz w:val="22"/>
        </w:rPr>
        <w:t xml:space="preserve"> genes with significant correlation (p-value &lt; 0.05) to the prediction models are identified as the candidate of rhythmic genes for the following analyses. The vertical orange line indicates the p-value cutoff of 0.05. </w:t>
      </w:r>
    </w:p>
    <w:p w14:paraId="7F757ACA" w14:textId="77777777" w:rsidR="00686453" w:rsidRDefault="00686453">
      <w:pPr>
        <w:rPr>
          <w:b/>
          <w:szCs w:val="24"/>
        </w:rPr>
      </w:pPr>
    </w:p>
    <w:p w14:paraId="58F49629" w14:textId="77777777" w:rsidR="00686453" w:rsidRDefault="00686453">
      <w:pPr>
        <w:rPr>
          <w:b/>
          <w:szCs w:val="24"/>
        </w:rPr>
      </w:pPr>
    </w:p>
    <w:p w14:paraId="3A31899F" w14:textId="77777777" w:rsidR="00686453" w:rsidRDefault="00000000">
      <w:pPr>
        <w:rPr>
          <w:b/>
          <w:szCs w:val="24"/>
        </w:rPr>
      </w:pPr>
      <w:r>
        <w:rPr>
          <w:b/>
          <w:szCs w:val="24"/>
        </w:rPr>
        <w:br w:type="page"/>
      </w:r>
    </w:p>
    <w:p w14:paraId="63596DAD" w14:textId="77777777" w:rsidR="00686453" w:rsidRDefault="00000000">
      <w:pPr>
        <w:rPr>
          <w:b/>
          <w:szCs w:val="24"/>
        </w:rPr>
      </w:pPr>
      <w:r>
        <w:rPr>
          <w:b/>
          <w:noProof/>
          <w:szCs w:val="24"/>
          <w:lang w:eastAsia="zh-CN"/>
        </w:rPr>
        <w:lastRenderedPageBreak/>
        <w:drawing>
          <wp:inline distT="0" distB="0" distL="0" distR="0" wp14:anchorId="7ABCEBAF" wp14:editId="3CAA99D4">
            <wp:extent cx="5274310" cy="348805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488055"/>
                    </a:xfrm>
                    <a:prstGeom prst="rect">
                      <a:avLst/>
                    </a:prstGeom>
                  </pic:spPr>
                </pic:pic>
              </a:graphicData>
            </a:graphic>
          </wp:inline>
        </w:drawing>
      </w:r>
    </w:p>
    <w:p w14:paraId="78D16E25" w14:textId="77777777" w:rsidR="00686453" w:rsidRDefault="00686453">
      <w:pPr>
        <w:rPr>
          <w:b/>
          <w:szCs w:val="24"/>
        </w:rPr>
      </w:pPr>
    </w:p>
    <w:p w14:paraId="157B7BA7" w14:textId="77777777" w:rsidR="00686453" w:rsidRDefault="00000000">
      <w:pPr>
        <w:rPr>
          <w:sz w:val="22"/>
        </w:rPr>
      </w:pPr>
      <w:r>
        <w:rPr>
          <w:b/>
          <w:bCs/>
          <w:sz w:val="22"/>
        </w:rPr>
        <w:t>Fig. S</w:t>
      </w:r>
      <w:r>
        <w:rPr>
          <w:rFonts w:hint="eastAsia"/>
          <w:b/>
          <w:bCs/>
          <w:sz w:val="22"/>
          <w:lang w:eastAsia="zh-CN"/>
        </w:rPr>
        <w:t xml:space="preserve">7 </w:t>
      </w:r>
      <w:r>
        <w:rPr>
          <w:b/>
          <w:bCs/>
          <w:sz w:val="22"/>
        </w:rPr>
        <w:t xml:space="preserve">Identification of annual rhythmic genes in </w:t>
      </w:r>
      <w:r>
        <w:rPr>
          <w:b/>
          <w:bCs/>
          <w:i/>
          <w:iCs/>
          <w:sz w:val="22"/>
        </w:rPr>
        <w:t>C. azalea</w:t>
      </w:r>
      <w:r>
        <w:rPr>
          <w:i/>
          <w:iCs/>
          <w:sz w:val="22"/>
        </w:rPr>
        <w:t xml:space="preserve">. </w:t>
      </w:r>
      <w:r>
        <w:rPr>
          <w:b/>
          <w:bCs/>
          <w:sz w:val="22"/>
        </w:rPr>
        <w:t>a</w:t>
      </w:r>
      <w:r>
        <w:rPr>
          <w:sz w:val="22"/>
        </w:rPr>
        <w:t xml:space="preserve">, </w:t>
      </w:r>
      <w:r>
        <w:rPr>
          <w:b/>
          <w:bCs/>
          <w:sz w:val="22"/>
        </w:rPr>
        <w:t>b</w:t>
      </w:r>
      <w:r>
        <w:rPr>
          <w:sz w:val="22"/>
        </w:rPr>
        <w:t xml:space="preserve"> </w:t>
      </w:r>
      <w:proofErr w:type="gramStart"/>
      <w:r>
        <w:rPr>
          <w:sz w:val="22"/>
        </w:rPr>
        <w:t>The</w:t>
      </w:r>
      <w:proofErr w:type="gramEnd"/>
      <w:r>
        <w:rPr>
          <w:sz w:val="22"/>
        </w:rPr>
        <w:t xml:space="preserve"> identification and </w:t>
      </w:r>
      <w:proofErr w:type="spellStart"/>
      <w:r>
        <w:rPr>
          <w:sz w:val="22"/>
        </w:rPr>
        <w:t>acrophase</w:t>
      </w:r>
      <w:proofErr w:type="spellEnd"/>
      <w:r>
        <w:rPr>
          <w:sz w:val="22"/>
        </w:rPr>
        <w:t xml:space="preserve"> of the annual rhythmic genes as described in Fig. S</w:t>
      </w:r>
      <w:r>
        <w:rPr>
          <w:rFonts w:hint="eastAsia"/>
          <w:sz w:val="22"/>
          <w:lang w:eastAsia="zh-CN"/>
        </w:rPr>
        <w:t>6</w:t>
      </w:r>
      <w:r>
        <w:rPr>
          <w:sz w:val="22"/>
        </w:rPr>
        <w:t xml:space="preserve">. The </w:t>
      </w:r>
      <w:proofErr w:type="spellStart"/>
      <w:r>
        <w:rPr>
          <w:sz w:val="22"/>
        </w:rPr>
        <w:t>cjaND</w:t>
      </w:r>
      <w:proofErr w:type="spellEnd"/>
      <w:r>
        <w:rPr>
          <w:sz w:val="22"/>
        </w:rPr>
        <w:t xml:space="preserve"> genome reference is used to obtain gene expression levels in </w:t>
      </w:r>
      <w:r>
        <w:rPr>
          <w:i/>
          <w:iCs/>
          <w:sz w:val="22"/>
        </w:rPr>
        <w:t>C. azalea</w:t>
      </w:r>
      <w:r>
        <w:rPr>
          <w:sz w:val="22"/>
        </w:rPr>
        <w:t xml:space="preserve">.  </w:t>
      </w:r>
    </w:p>
    <w:p w14:paraId="3D437309" w14:textId="77777777" w:rsidR="00686453" w:rsidRDefault="00686453">
      <w:pPr>
        <w:rPr>
          <w:b/>
          <w:szCs w:val="24"/>
        </w:rPr>
      </w:pPr>
    </w:p>
    <w:p w14:paraId="5FA0F10A" w14:textId="77777777" w:rsidR="00686453" w:rsidRDefault="00686453">
      <w:pPr>
        <w:rPr>
          <w:b/>
          <w:szCs w:val="24"/>
        </w:rPr>
      </w:pPr>
    </w:p>
    <w:p w14:paraId="3C4C057E" w14:textId="77777777" w:rsidR="00686453" w:rsidRDefault="00000000">
      <w:pPr>
        <w:rPr>
          <w:b/>
          <w:szCs w:val="24"/>
        </w:rPr>
      </w:pPr>
      <w:r>
        <w:rPr>
          <w:b/>
          <w:szCs w:val="24"/>
        </w:rPr>
        <w:br w:type="page"/>
      </w:r>
    </w:p>
    <w:p w14:paraId="5DBA159C" w14:textId="77777777" w:rsidR="00686453" w:rsidRDefault="00000000">
      <w:pPr>
        <w:rPr>
          <w:b/>
          <w:szCs w:val="24"/>
        </w:rPr>
      </w:pPr>
      <w:r>
        <w:rPr>
          <w:b/>
          <w:noProof/>
          <w:szCs w:val="24"/>
          <w:lang w:eastAsia="zh-CN"/>
        </w:rPr>
        <w:lastRenderedPageBreak/>
        <w:drawing>
          <wp:inline distT="0" distB="0" distL="0" distR="0" wp14:anchorId="77DC3127" wp14:editId="5556AEE3">
            <wp:extent cx="5274310" cy="2379980"/>
            <wp:effectExtent l="0" t="0" r="2540"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2379980"/>
                    </a:xfrm>
                    <a:prstGeom prst="rect">
                      <a:avLst/>
                    </a:prstGeom>
                  </pic:spPr>
                </pic:pic>
              </a:graphicData>
            </a:graphic>
          </wp:inline>
        </w:drawing>
      </w:r>
    </w:p>
    <w:p w14:paraId="46DBF7E9" w14:textId="77777777" w:rsidR="00686453" w:rsidRDefault="00686453">
      <w:pPr>
        <w:rPr>
          <w:b/>
          <w:szCs w:val="24"/>
        </w:rPr>
      </w:pPr>
    </w:p>
    <w:p w14:paraId="7FC2713E" w14:textId="77777777" w:rsidR="00686453" w:rsidRDefault="00000000">
      <w:pPr>
        <w:rPr>
          <w:sz w:val="22"/>
        </w:rPr>
      </w:pPr>
      <w:r>
        <w:rPr>
          <w:b/>
          <w:bCs/>
          <w:sz w:val="22"/>
        </w:rPr>
        <w:t>Fig. S</w:t>
      </w:r>
      <w:r>
        <w:rPr>
          <w:rFonts w:hint="eastAsia"/>
          <w:b/>
          <w:bCs/>
          <w:sz w:val="22"/>
          <w:lang w:eastAsia="zh-CN"/>
        </w:rPr>
        <w:t>8</w:t>
      </w:r>
      <w:r>
        <w:rPr>
          <w:b/>
          <w:bCs/>
          <w:sz w:val="22"/>
        </w:rPr>
        <w:t xml:space="preserve"> The relationship of co-expression module of common rhythmic genes. a, </w:t>
      </w:r>
      <w:r>
        <w:rPr>
          <w:sz w:val="22"/>
        </w:rPr>
        <w:t xml:space="preserve">The Venn diagram of rhythmic genes in </w:t>
      </w:r>
      <w:r>
        <w:rPr>
          <w:i/>
          <w:iCs/>
          <w:sz w:val="22"/>
        </w:rPr>
        <w:t xml:space="preserve">C. japonica </w:t>
      </w:r>
      <w:r>
        <w:rPr>
          <w:sz w:val="22"/>
        </w:rPr>
        <w:t xml:space="preserve">and </w:t>
      </w:r>
      <w:r>
        <w:rPr>
          <w:i/>
          <w:iCs/>
          <w:sz w:val="22"/>
        </w:rPr>
        <w:t xml:space="preserve">C. azalea. </w:t>
      </w:r>
      <w:r>
        <w:rPr>
          <w:sz w:val="22"/>
        </w:rPr>
        <w:t xml:space="preserve">The number in the blue circle represents the rhythmic genes of </w:t>
      </w:r>
      <w:r>
        <w:rPr>
          <w:i/>
          <w:iCs/>
          <w:sz w:val="22"/>
        </w:rPr>
        <w:t xml:space="preserve">C. japonica </w:t>
      </w:r>
      <w:r>
        <w:rPr>
          <w:sz w:val="22"/>
        </w:rPr>
        <w:t xml:space="preserve">and the red represents the rhythmic genes of </w:t>
      </w:r>
      <w:r>
        <w:rPr>
          <w:i/>
          <w:iCs/>
          <w:sz w:val="22"/>
        </w:rPr>
        <w:t>C. azalea</w:t>
      </w:r>
      <w:r>
        <w:rPr>
          <w:sz w:val="22"/>
        </w:rPr>
        <w:t xml:space="preserve">. </w:t>
      </w:r>
      <w:r>
        <w:rPr>
          <w:b/>
          <w:bCs/>
          <w:sz w:val="22"/>
        </w:rPr>
        <w:t xml:space="preserve">b, </w:t>
      </w:r>
      <w:r>
        <w:rPr>
          <w:sz w:val="22"/>
        </w:rPr>
        <w:t xml:space="preserve">Distribution of </w:t>
      </w:r>
      <w:proofErr w:type="spellStart"/>
      <w:r>
        <w:rPr>
          <w:sz w:val="22"/>
        </w:rPr>
        <w:t>acrophase</w:t>
      </w:r>
      <w:proofErr w:type="spellEnd"/>
      <w:r>
        <w:rPr>
          <w:sz w:val="22"/>
        </w:rPr>
        <w:t xml:space="preserve"> of the common rhythmic genes in each month. We used the 6656 rhythmic genes conducted the co-expression module. The relationship between module and sample was shown on right (</w:t>
      </w:r>
      <w:r>
        <w:rPr>
          <w:b/>
          <w:bCs/>
          <w:sz w:val="22"/>
        </w:rPr>
        <w:t>c</w:t>
      </w:r>
      <w:r>
        <w:rPr>
          <w:sz w:val="22"/>
        </w:rPr>
        <w:t>). In each box, the top number and color represent the correlation between module and sample, in which red represents a positive correlation, purple represents a negative correlation. The bottom number in each box represents the p-value of the Pearson’s correlation.</w:t>
      </w:r>
    </w:p>
    <w:p w14:paraId="617F624A" w14:textId="77777777" w:rsidR="00686453" w:rsidRDefault="00686453">
      <w:pPr>
        <w:rPr>
          <w:b/>
          <w:szCs w:val="24"/>
        </w:rPr>
      </w:pPr>
    </w:p>
    <w:p w14:paraId="6EEA9A01" w14:textId="77777777" w:rsidR="00686453" w:rsidRDefault="00686453">
      <w:pPr>
        <w:rPr>
          <w:b/>
          <w:szCs w:val="24"/>
        </w:rPr>
      </w:pPr>
    </w:p>
    <w:p w14:paraId="3923127F" w14:textId="77777777" w:rsidR="00686453" w:rsidRDefault="00000000">
      <w:pPr>
        <w:rPr>
          <w:b/>
          <w:szCs w:val="24"/>
        </w:rPr>
      </w:pPr>
      <w:r>
        <w:rPr>
          <w:b/>
          <w:szCs w:val="24"/>
        </w:rPr>
        <w:br w:type="page"/>
      </w:r>
    </w:p>
    <w:p w14:paraId="60732251" w14:textId="77777777" w:rsidR="00686453" w:rsidRDefault="00000000">
      <w:pPr>
        <w:rPr>
          <w:b/>
          <w:szCs w:val="24"/>
        </w:rPr>
      </w:pPr>
      <w:r>
        <w:rPr>
          <w:b/>
          <w:noProof/>
          <w:szCs w:val="24"/>
          <w:lang w:eastAsia="zh-CN"/>
        </w:rPr>
        <w:lastRenderedPageBreak/>
        <w:drawing>
          <wp:inline distT="0" distB="0" distL="0" distR="0" wp14:anchorId="79800EE8" wp14:editId="40C8CF52">
            <wp:extent cx="5274310" cy="526351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5263515"/>
                    </a:xfrm>
                    <a:prstGeom prst="rect">
                      <a:avLst/>
                    </a:prstGeom>
                  </pic:spPr>
                </pic:pic>
              </a:graphicData>
            </a:graphic>
          </wp:inline>
        </w:drawing>
      </w:r>
    </w:p>
    <w:p w14:paraId="3BF871CA" w14:textId="77777777" w:rsidR="00686453" w:rsidRDefault="00000000">
      <w:pPr>
        <w:rPr>
          <w:sz w:val="22"/>
        </w:rPr>
      </w:pPr>
      <w:r>
        <w:rPr>
          <w:b/>
          <w:bCs/>
          <w:sz w:val="22"/>
        </w:rPr>
        <w:t>Fig. S</w:t>
      </w:r>
      <w:r>
        <w:rPr>
          <w:rFonts w:hint="eastAsia"/>
          <w:b/>
          <w:bCs/>
          <w:sz w:val="22"/>
          <w:lang w:eastAsia="zh-CN"/>
        </w:rPr>
        <w:t>9</w:t>
      </w:r>
      <w:r>
        <w:rPr>
          <w:b/>
          <w:bCs/>
          <w:sz w:val="22"/>
        </w:rPr>
        <w:t xml:space="preserve"> The seasonal expression genes participating in different pathways in </w:t>
      </w:r>
      <w:r>
        <w:rPr>
          <w:b/>
          <w:bCs/>
          <w:i/>
          <w:iCs/>
          <w:sz w:val="22"/>
          <w:lang w:val="es-ES"/>
        </w:rPr>
        <w:t xml:space="preserve">C. japonica </w:t>
      </w:r>
      <w:r>
        <w:rPr>
          <w:b/>
          <w:bCs/>
          <w:sz w:val="22"/>
          <w:lang w:val="es-ES"/>
        </w:rPr>
        <w:t xml:space="preserve">and </w:t>
      </w:r>
      <w:r>
        <w:rPr>
          <w:b/>
          <w:bCs/>
          <w:i/>
          <w:iCs/>
          <w:sz w:val="22"/>
          <w:lang w:val="es-ES"/>
        </w:rPr>
        <w:t>C. azalea</w:t>
      </w:r>
      <w:r>
        <w:rPr>
          <w:b/>
          <w:bCs/>
          <w:sz w:val="22"/>
        </w:rPr>
        <w:t xml:space="preserve">. a-e, </w:t>
      </w:r>
      <w:proofErr w:type="gramStart"/>
      <w:r>
        <w:rPr>
          <w:sz w:val="22"/>
        </w:rPr>
        <w:t>The</w:t>
      </w:r>
      <w:proofErr w:type="gramEnd"/>
      <w:r>
        <w:rPr>
          <w:sz w:val="22"/>
        </w:rPr>
        <w:t xml:space="preserve"> seasonally expressed genes involved in the control of cell cycle. </w:t>
      </w:r>
      <w:r>
        <w:rPr>
          <w:b/>
          <w:bCs/>
          <w:sz w:val="22"/>
        </w:rPr>
        <w:t xml:space="preserve">f-g, </w:t>
      </w:r>
      <w:proofErr w:type="gramStart"/>
      <w:r>
        <w:rPr>
          <w:sz w:val="22"/>
        </w:rPr>
        <w:t>The</w:t>
      </w:r>
      <w:proofErr w:type="gramEnd"/>
      <w:r>
        <w:rPr>
          <w:sz w:val="22"/>
        </w:rPr>
        <w:t xml:space="preserve"> seasonally expressed genes involved in the histone modification. The details of gene annotation are listed in </w:t>
      </w:r>
      <w:r>
        <w:rPr>
          <w:color w:val="00B0F0"/>
          <w:sz w:val="22"/>
        </w:rPr>
        <w:t>Table S14</w:t>
      </w:r>
      <w:r>
        <w:rPr>
          <w:sz w:val="22"/>
        </w:rPr>
        <w:t>. In each panel, the expression levels (TPM) of each candidate genes are scattered as grey dots, and orange (</w:t>
      </w:r>
      <w:r>
        <w:rPr>
          <w:i/>
          <w:iCs/>
          <w:sz w:val="22"/>
        </w:rPr>
        <w:t>C. japonica</w:t>
      </w:r>
      <w:r>
        <w:rPr>
          <w:sz w:val="22"/>
        </w:rPr>
        <w:t>) and blue (</w:t>
      </w:r>
      <w:r>
        <w:rPr>
          <w:i/>
          <w:iCs/>
          <w:sz w:val="22"/>
        </w:rPr>
        <w:t>C. azalea</w:t>
      </w:r>
      <w:r>
        <w:rPr>
          <w:sz w:val="22"/>
        </w:rPr>
        <w:t xml:space="preserve">) lines indicated the fitted rhythmic models. </w:t>
      </w:r>
    </w:p>
    <w:p w14:paraId="45322F98" w14:textId="77777777" w:rsidR="00686453" w:rsidRDefault="00686453">
      <w:pPr>
        <w:rPr>
          <w:b/>
          <w:szCs w:val="24"/>
        </w:rPr>
      </w:pPr>
    </w:p>
    <w:p w14:paraId="3158B28F" w14:textId="77777777" w:rsidR="00686453" w:rsidRDefault="00686453">
      <w:pPr>
        <w:rPr>
          <w:b/>
          <w:szCs w:val="24"/>
        </w:rPr>
      </w:pPr>
    </w:p>
    <w:p w14:paraId="32C6F7B5" w14:textId="77777777" w:rsidR="00686453" w:rsidRDefault="00000000">
      <w:pPr>
        <w:rPr>
          <w:b/>
          <w:szCs w:val="24"/>
        </w:rPr>
      </w:pPr>
      <w:r>
        <w:rPr>
          <w:b/>
          <w:szCs w:val="24"/>
        </w:rPr>
        <w:br w:type="page"/>
      </w:r>
    </w:p>
    <w:p w14:paraId="73FB33D6" w14:textId="77777777" w:rsidR="00686453" w:rsidRDefault="00000000">
      <w:pPr>
        <w:rPr>
          <w:b/>
          <w:szCs w:val="24"/>
        </w:rPr>
      </w:pPr>
      <w:r>
        <w:rPr>
          <w:b/>
          <w:noProof/>
          <w:szCs w:val="24"/>
          <w:lang w:eastAsia="zh-CN"/>
        </w:rPr>
        <w:lastRenderedPageBreak/>
        <w:drawing>
          <wp:inline distT="0" distB="0" distL="0" distR="0" wp14:anchorId="72C64C23" wp14:editId="3C63C244">
            <wp:extent cx="5274310" cy="2148205"/>
            <wp:effectExtent l="0" t="0" r="254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2148205"/>
                    </a:xfrm>
                    <a:prstGeom prst="rect">
                      <a:avLst/>
                    </a:prstGeom>
                  </pic:spPr>
                </pic:pic>
              </a:graphicData>
            </a:graphic>
          </wp:inline>
        </w:drawing>
      </w:r>
    </w:p>
    <w:p w14:paraId="07008491" w14:textId="77777777" w:rsidR="00686453" w:rsidRDefault="00000000">
      <w:pPr>
        <w:rPr>
          <w:sz w:val="22"/>
        </w:rPr>
      </w:pPr>
      <w:r>
        <w:rPr>
          <w:b/>
          <w:bCs/>
          <w:sz w:val="22"/>
        </w:rPr>
        <w:t>Fig. S</w:t>
      </w:r>
      <w:r>
        <w:rPr>
          <w:rFonts w:hint="eastAsia"/>
          <w:b/>
          <w:bCs/>
          <w:sz w:val="22"/>
          <w:lang w:eastAsia="zh-CN"/>
        </w:rPr>
        <w:t>10</w:t>
      </w:r>
      <w:r>
        <w:rPr>
          <w:b/>
          <w:bCs/>
          <w:sz w:val="22"/>
        </w:rPr>
        <w:t xml:space="preserve"> Identification of </w:t>
      </w:r>
      <w:r>
        <w:rPr>
          <w:b/>
          <w:bCs/>
          <w:i/>
          <w:iCs/>
          <w:sz w:val="22"/>
        </w:rPr>
        <w:t>FT</w:t>
      </w:r>
      <w:r>
        <w:rPr>
          <w:b/>
          <w:bCs/>
          <w:sz w:val="22"/>
        </w:rPr>
        <w:t xml:space="preserve"> genes from </w:t>
      </w:r>
      <w:r>
        <w:rPr>
          <w:b/>
          <w:bCs/>
          <w:i/>
          <w:iCs/>
          <w:sz w:val="22"/>
        </w:rPr>
        <w:t xml:space="preserve">C. japonica </w:t>
      </w:r>
      <w:r>
        <w:rPr>
          <w:b/>
          <w:bCs/>
          <w:sz w:val="22"/>
        </w:rPr>
        <w:t xml:space="preserve">and </w:t>
      </w:r>
      <w:r>
        <w:rPr>
          <w:b/>
          <w:bCs/>
          <w:i/>
          <w:iCs/>
          <w:sz w:val="22"/>
        </w:rPr>
        <w:t>C. azalea</w:t>
      </w:r>
      <w:r>
        <w:rPr>
          <w:b/>
          <w:bCs/>
          <w:sz w:val="22"/>
        </w:rPr>
        <w:t xml:space="preserve">. a, </w:t>
      </w:r>
      <w:r>
        <w:rPr>
          <w:sz w:val="22"/>
        </w:rPr>
        <w:t xml:space="preserve">Alignment of protein sequences of </w:t>
      </w:r>
      <w:proofErr w:type="spellStart"/>
      <w:r>
        <w:rPr>
          <w:sz w:val="22"/>
        </w:rPr>
        <w:t>CjFT</w:t>
      </w:r>
      <w:proofErr w:type="spellEnd"/>
      <w:r>
        <w:rPr>
          <w:sz w:val="22"/>
        </w:rPr>
        <w:t xml:space="preserve"> and CaFT. Two locations of changes of amino acids are indicated by red arrows. </w:t>
      </w:r>
      <w:r>
        <w:rPr>
          <w:b/>
          <w:bCs/>
          <w:sz w:val="22"/>
        </w:rPr>
        <w:t xml:space="preserve">b, </w:t>
      </w:r>
      <w:r>
        <w:rPr>
          <w:sz w:val="22"/>
        </w:rPr>
        <w:t xml:space="preserve">Phylogenetic analysis of FT family genes from </w:t>
      </w:r>
      <w:r>
        <w:rPr>
          <w:i/>
          <w:iCs/>
          <w:sz w:val="22"/>
        </w:rPr>
        <w:t>C. japonica</w:t>
      </w:r>
      <w:r>
        <w:rPr>
          <w:sz w:val="22"/>
        </w:rPr>
        <w:t xml:space="preserve">, </w:t>
      </w:r>
      <w:r>
        <w:rPr>
          <w:i/>
          <w:iCs/>
          <w:sz w:val="22"/>
        </w:rPr>
        <w:t xml:space="preserve">C. azalea </w:t>
      </w:r>
      <w:r>
        <w:rPr>
          <w:sz w:val="22"/>
        </w:rPr>
        <w:t xml:space="preserve">and </w:t>
      </w:r>
      <w:r>
        <w:rPr>
          <w:i/>
          <w:iCs/>
          <w:sz w:val="22"/>
        </w:rPr>
        <w:t>Arabidopsis thaliana</w:t>
      </w:r>
      <w:r>
        <w:rPr>
          <w:sz w:val="22"/>
        </w:rPr>
        <w:t>. FT, AT1G65480; TFL1, AT5G03840; CEN, AT2G27550; MFT, AT1G18100; TSF, AT4G20370</w:t>
      </w:r>
    </w:p>
    <w:p w14:paraId="39EA70D7" w14:textId="77777777" w:rsidR="00686453" w:rsidRDefault="00686453">
      <w:pPr>
        <w:rPr>
          <w:b/>
          <w:szCs w:val="24"/>
        </w:rPr>
      </w:pPr>
    </w:p>
    <w:p w14:paraId="45547B11" w14:textId="52F46748" w:rsidR="00686453" w:rsidRDefault="00686453">
      <w:pPr>
        <w:rPr>
          <w:b/>
          <w:szCs w:val="24"/>
        </w:rPr>
      </w:pPr>
    </w:p>
    <w:sectPr w:rsidR="00686453">
      <w:headerReference w:type="default" r:id="rId20"/>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B0260" w14:textId="77777777" w:rsidR="00CD5652" w:rsidRDefault="00CD5652">
      <w:r>
        <w:separator/>
      </w:r>
    </w:p>
  </w:endnote>
  <w:endnote w:type="continuationSeparator" w:id="0">
    <w:p w14:paraId="2B4F621A" w14:textId="77777777" w:rsidR="00CD5652" w:rsidRDefault="00CD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1171" w14:textId="50E4EC27" w:rsidR="00686453" w:rsidRDefault="00000000" w:rsidP="00763CE3">
    <w:pPr>
      <w:pStyle w:val="aff6"/>
      <w:jc w:val="center"/>
    </w:pPr>
    <w:r>
      <w:fldChar w:fldCharType="begin"/>
    </w:r>
    <w:r>
      <w:instrText xml:space="preserve"> PAGE   \* MERGEFORMAT </w:instrText>
    </w:r>
    <w:r>
      <w:fldChar w:fldCharType="separate"/>
    </w:r>
    <w:r>
      <w:t>22</w:t>
    </w:r>
    <w:r>
      <w:fldChar w:fldCharType="end"/>
    </w:r>
  </w:p>
  <w:p w14:paraId="3D1D14FC" w14:textId="77777777" w:rsidR="00686453" w:rsidRDefault="00686453">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F87A8" w14:textId="77777777" w:rsidR="00CD5652" w:rsidRDefault="00CD5652">
      <w:r>
        <w:separator/>
      </w:r>
    </w:p>
  </w:footnote>
  <w:footnote w:type="continuationSeparator" w:id="0">
    <w:p w14:paraId="5332C4D7" w14:textId="77777777" w:rsidR="00CD5652" w:rsidRDefault="00CD5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83386" w14:textId="77777777" w:rsidR="00686453" w:rsidRDefault="00686453">
    <w:pPr>
      <w:jc w:val="right"/>
      <w:rPr>
        <w:sz w:val="20"/>
      </w:rPr>
    </w:pPr>
  </w:p>
  <w:p w14:paraId="7CED6BED" w14:textId="77777777" w:rsidR="00686453" w:rsidRDefault="006864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040935746">
    <w:abstractNumId w:val="3"/>
  </w:num>
  <w:num w:numId="2" w16cid:durableId="658197059">
    <w:abstractNumId w:val="5"/>
  </w:num>
  <w:num w:numId="3" w16cid:durableId="1901673021">
    <w:abstractNumId w:val="8"/>
  </w:num>
  <w:num w:numId="4" w16cid:durableId="695349328">
    <w:abstractNumId w:val="9"/>
  </w:num>
  <w:num w:numId="5" w16cid:durableId="23942246">
    <w:abstractNumId w:val="6"/>
  </w:num>
  <w:num w:numId="6" w16cid:durableId="263340354">
    <w:abstractNumId w:val="2"/>
  </w:num>
  <w:num w:numId="7" w16cid:durableId="752624342">
    <w:abstractNumId w:val="7"/>
  </w:num>
  <w:num w:numId="8" w16cid:durableId="372194280">
    <w:abstractNumId w:val="4"/>
  </w:num>
  <w:num w:numId="9" w16cid:durableId="1963880343">
    <w:abstractNumId w:val="1"/>
  </w:num>
  <w:num w:numId="10" w16cid:durableId="164947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3NDYyN7AwNbQwMTJW0lEKTi0uzszPAykwrAUA2gNqGiwAAAA="/>
    <w:docVar w:name="commondata" w:val="eyJoZGlkIjoiMDQ2MTU4MzAxNjRjMTBiNjEyYjZlNjE3NmVhYzUwYTUifQ=="/>
  </w:docVars>
  <w:rsids>
    <w:rsidRoot w:val="002C030F"/>
    <w:rsid w:val="00015F74"/>
    <w:rsid w:val="00065EBD"/>
    <w:rsid w:val="00066D0C"/>
    <w:rsid w:val="00083B44"/>
    <w:rsid w:val="000850DC"/>
    <w:rsid w:val="000C07BF"/>
    <w:rsid w:val="000C2771"/>
    <w:rsid w:val="000D46F4"/>
    <w:rsid w:val="000F0DCE"/>
    <w:rsid w:val="000F6BE3"/>
    <w:rsid w:val="00112C5B"/>
    <w:rsid w:val="00114193"/>
    <w:rsid w:val="00115A38"/>
    <w:rsid w:val="0011687B"/>
    <w:rsid w:val="00124F82"/>
    <w:rsid w:val="0016337A"/>
    <w:rsid w:val="00164269"/>
    <w:rsid w:val="001A1BDE"/>
    <w:rsid w:val="001B13CE"/>
    <w:rsid w:val="001F0876"/>
    <w:rsid w:val="001F167C"/>
    <w:rsid w:val="001F5E91"/>
    <w:rsid w:val="00205FAC"/>
    <w:rsid w:val="002077B9"/>
    <w:rsid w:val="00262D72"/>
    <w:rsid w:val="002667C9"/>
    <w:rsid w:val="00294FBB"/>
    <w:rsid w:val="002C030F"/>
    <w:rsid w:val="002D709D"/>
    <w:rsid w:val="002F0FB6"/>
    <w:rsid w:val="00302F53"/>
    <w:rsid w:val="0031671A"/>
    <w:rsid w:val="00331D75"/>
    <w:rsid w:val="00355362"/>
    <w:rsid w:val="0036044A"/>
    <w:rsid w:val="00363E44"/>
    <w:rsid w:val="003659A8"/>
    <w:rsid w:val="003669F9"/>
    <w:rsid w:val="00392402"/>
    <w:rsid w:val="00393BAB"/>
    <w:rsid w:val="00395E86"/>
    <w:rsid w:val="003A2FD8"/>
    <w:rsid w:val="003B40E6"/>
    <w:rsid w:val="003C6A81"/>
    <w:rsid w:val="003E74FB"/>
    <w:rsid w:val="003F5904"/>
    <w:rsid w:val="003F6E14"/>
    <w:rsid w:val="00405336"/>
    <w:rsid w:val="00415561"/>
    <w:rsid w:val="00435ABE"/>
    <w:rsid w:val="004571D5"/>
    <w:rsid w:val="00461D81"/>
    <w:rsid w:val="0046356B"/>
    <w:rsid w:val="00477182"/>
    <w:rsid w:val="004779CB"/>
    <w:rsid w:val="004A6F57"/>
    <w:rsid w:val="004C18CC"/>
    <w:rsid w:val="004D0135"/>
    <w:rsid w:val="004D2398"/>
    <w:rsid w:val="004E42D8"/>
    <w:rsid w:val="004E7BA2"/>
    <w:rsid w:val="004F7EDF"/>
    <w:rsid w:val="005001AC"/>
    <w:rsid w:val="00527D71"/>
    <w:rsid w:val="00533910"/>
    <w:rsid w:val="005520A8"/>
    <w:rsid w:val="005607DD"/>
    <w:rsid w:val="005A558C"/>
    <w:rsid w:val="005D712F"/>
    <w:rsid w:val="005E28F8"/>
    <w:rsid w:val="005E6513"/>
    <w:rsid w:val="00607E8E"/>
    <w:rsid w:val="00632CA3"/>
    <w:rsid w:val="00651114"/>
    <w:rsid w:val="00664560"/>
    <w:rsid w:val="00670299"/>
    <w:rsid w:val="00686453"/>
    <w:rsid w:val="00691985"/>
    <w:rsid w:val="006943C3"/>
    <w:rsid w:val="00697611"/>
    <w:rsid w:val="006A1B64"/>
    <w:rsid w:val="006C3306"/>
    <w:rsid w:val="006D6A0A"/>
    <w:rsid w:val="007108F5"/>
    <w:rsid w:val="00713E5B"/>
    <w:rsid w:val="007402FC"/>
    <w:rsid w:val="007411A1"/>
    <w:rsid w:val="00763CE3"/>
    <w:rsid w:val="00793072"/>
    <w:rsid w:val="007C45B3"/>
    <w:rsid w:val="007E2786"/>
    <w:rsid w:val="00807D35"/>
    <w:rsid w:val="008218C4"/>
    <w:rsid w:val="00867A98"/>
    <w:rsid w:val="00870867"/>
    <w:rsid w:val="0087105F"/>
    <w:rsid w:val="008769BC"/>
    <w:rsid w:val="00885C9B"/>
    <w:rsid w:val="008D1298"/>
    <w:rsid w:val="008D5D2A"/>
    <w:rsid w:val="008F679D"/>
    <w:rsid w:val="00914B63"/>
    <w:rsid w:val="0092036E"/>
    <w:rsid w:val="009354F3"/>
    <w:rsid w:val="009447DC"/>
    <w:rsid w:val="00945471"/>
    <w:rsid w:val="00950234"/>
    <w:rsid w:val="00961BA5"/>
    <w:rsid w:val="009743A9"/>
    <w:rsid w:val="009A5287"/>
    <w:rsid w:val="009A7C5F"/>
    <w:rsid w:val="009B2AC5"/>
    <w:rsid w:val="009B7984"/>
    <w:rsid w:val="009F4BED"/>
    <w:rsid w:val="009F7D93"/>
    <w:rsid w:val="00A02E0C"/>
    <w:rsid w:val="00A3403B"/>
    <w:rsid w:val="00A51A12"/>
    <w:rsid w:val="00A53A78"/>
    <w:rsid w:val="00A627D4"/>
    <w:rsid w:val="00A74DA2"/>
    <w:rsid w:val="00A77632"/>
    <w:rsid w:val="00AA6CF8"/>
    <w:rsid w:val="00AB399E"/>
    <w:rsid w:val="00AC59D0"/>
    <w:rsid w:val="00AD16B1"/>
    <w:rsid w:val="00AD499C"/>
    <w:rsid w:val="00B16A22"/>
    <w:rsid w:val="00B36869"/>
    <w:rsid w:val="00B43B31"/>
    <w:rsid w:val="00B47CFA"/>
    <w:rsid w:val="00B574A3"/>
    <w:rsid w:val="00B57F00"/>
    <w:rsid w:val="00B63245"/>
    <w:rsid w:val="00B73C69"/>
    <w:rsid w:val="00B77B2A"/>
    <w:rsid w:val="00B81579"/>
    <w:rsid w:val="00B82C22"/>
    <w:rsid w:val="00B93DBA"/>
    <w:rsid w:val="00B9440A"/>
    <w:rsid w:val="00BB2D2A"/>
    <w:rsid w:val="00BC290E"/>
    <w:rsid w:val="00BC3E04"/>
    <w:rsid w:val="00BD58CF"/>
    <w:rsid w:val="00BF0C92"/>
    <w:rsid w:val="00C04CC1"/>
    <w:rsid w:val="00C4096C"/>
    <w:rsid w:val="00C50C6D"/>
    <w:rsid w:val="00C600D9"/>
    <w:rsid w:val="00C81BA3"/>
    <w:rsid w:val="00C92B22"/>
    <w:rsid w:val="00CC1384"/>
    <w:rsid w:val="00CD3720"/>
    <w:rsid w:val="00CD5652"/>
    <w:rsid w:val="00CF1848"/>
    <w:rsid w:val="00CF5C2F"/>
    <w:rsid w:val="00D04BCF"/>
    <w:rsid w:val="00D11A56"/>
    <w:rsid w:val="00D143D9"/>
    <w:rsid w:val="00D30C95"/>
    <w:rsid w:val="00D35B68"/>
    <w:rsid w:val="00D36206"/>
    <w:rsid w:val="00D51C15"/>
    <w:rsid w:val="00D5511B"/>
    <w:rsid w:val="00D766F1"/>
    <w:rsid w:val="00DD2E17"/>
    <w:rsid w:val="00DF7D88"/>
    <w:rsid w:val="00E257C8"/>
    <w:rsid w:val="00E40A10"/>
    <w:rsid w:val="00E41512"/>
    <w:rsid w:val="00E4519A"/>
    <w:rsid w:val="00E6487F"/>
    <w:rsid w:val="00E853D5"/>
    <w:rsid w:val="00E9773B"/>
    <w:rsid w:val="00EA6F42"/>
    <w:rsid w:val="00EC13A3"/>
    <w:rsid w:val="00EC7C85"/>
    <w:rsid w:val="00ED2CBE"/>
    <w:rsid w:val="00F125EE"/>
    <w:rsid w:val="00F12E98"/>
    <w:rsid w:val="00F22029"/>
    <w:rsid w:val="00F515FB"/>
    <w:rsid w:val="00F630EA"/>
    <w:rsid w:val="00F7007E"/>
    <w:rsid w:val="00F73193"/>
    <w:rsid w:val="00F74F95"/>
    <w:rsid w:val="00F80705"/>
    <w:rsid w:val="00FA1481"/>
    <w:rsid w:val="00FF04E3"/>
    <w:rsid w:val="06314567"/>
    <w:rsid w:val="0B0860CB"/>
    <w:rsid w:val="20654889"/>
    <w:rsid w:val="20F870C7"/>
    <w:rsid w:val="38F82B4E"/>
    <w:rsid w:val="44352E99"/>
    <w:rsid w:val="47F17F98"/>
    <w:rsid w:val="49592D5B"/>
    <w:rsid w:val="4A476617"/>
    <w:rsid w:val="51FF6894"/>
    <w:rsid w:val="5DED613B"/>
    <w:rsid w:val="67D20170"/>
    <w:rsid w:val="78D83818"/>
    <w:rsid w:val="7C955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4EBF8"/>
  <w15:docId w15:val="{0EC071F0-667C-413A-BBBD-4E64F003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semiHidden="1" w:qFormat="1"/>
    <w:lsdException w:name="heading 2" w:uiPriority="9"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semiHidden="1" w:qFormat="1"/>
    <w:lsdException w:name="footnote text" w:semiHidden="1" w:qFormat="1"/>
    <w:lsdException w:name="annotation text" w:semiHidden="1" w:qFormat="1"/>
    <w:lsdException w:name="header" w:uiPriority="99" w:qFormat="1"/>
    <w:lsdException w:name="footer" w:uiPriority="99" w:qFormat="1"/>
    <w:lsdException w:name="index heading" w:semiHidden="1" w:qFormat="1"/>
    <w:lsdException w:name="caption" w:semiHidden="1" w:qFormat="1"/>
    <w:lsdException w:name="table of figures" w:semiHidden="1" w:qFormat="1"/>
    <w:lsdException w:name="envelope address" w:semiHidden="1" w:qFormat="1"/>
    <w:lsdException w:name="envelope return" w:semiHidden="1" w:qFormat="1"/>
    <w:lsdException w:name="footnote reference" w:semiHidden="1" w:unhideWhenUsed="1"/>
    <w:lsdException w:name="annotation reference" w:semiHidden="1" w:unhideWhenUsed="1" w:qFormat="1"/>
    <w:lsdException w:name="line number" w:semiHidden="1" w:unhideWhenUsed="1"/>
    <w:lsdException w:name="page number" w:semiHidden="1" w:qFormat="1"/>
    <w:lsdException w:name="endnote reference" w:semiHidden="1" w:unhideWhenUsed="1"/>
    <w:lsdException w:name="endnote text" w:semiHidden="1" w:qFormat="1"/>
    <w:lsdException w:name="table of authorities" w:semiHidden="1" w:qFormat="1"/>
    <w:lsdException w:name="macro" w:semiHidden="1" w:qFormat="1"/>
    <w:lsdException w:name="toa heading" w:semiHidden="1" w:qFormat="1"/>
    <w:lsdException w:name="List" w:semiHidden="1" w:qFormat="1"/>
    <w:lsdException w:name="List Bullet" w:semiHidden="1" w:qFormat="1"/>
    <w:lsdException w:name="List Number" w:semiHidden="1" w:qFormat="1"/>
    <w:lsdException w:name="List 2" w:semiHidden="1" w:qFormat="1"/>
    <w:lsdException w:name="List 3" w:semiHidden="1" w:qFormat="1"/>
    <w:lsdException w:name="List 4" w:semiHidden="1" w:qFormat="1"/>
    <w:lsdException w:name="List 5" w:semiHidden="1" w:qFormat="1"/>
    <w:lsdException w:name="List Bullet 2" w:semiHidden="1" w:qFormat="1"/>
    <w:lsdException w:name="List Bullet 3" w:semiHidden="1" w:qFormat="1"/>
    <w:lsdException w:name="List Bullet 4" w:semiHidden="1" w:qFormat="1"/>
    <w:lsdException w:name="List Bullet 5" w:semiHidden="1" w:qFormat="1"/>
    <w:lsdException w:name="List Number 2" w:semiHidden="1" w:qFormat="1"/>
    <w:lsdException w:name="List Number 3" w:semiHidden="1" w:qFormat="1"/>
    <w:lsdException w:name="List Number 4" w:semiHidden="1" w:qFormat="1"/>
    <w:lsdException w:name="List Number 5" w:semiHidden="1" w:qFormat="1"/>
    <w:lsdException w:name="Title" w:semiHidden="1" w:qFormat="1"/>
    <w:lsdException w:name="Closing" w:semiHidden="1" w:qFormat="1"/>
    <w:lsdException w:name="Signature" w:semiHidden="1" w:qFormat="1"/>
    <w:lsdException w:name="Default Paragraph Font" w:uiPriority="1" w:unhideWhenUsed="1" w:qFormat="1"/>
    <w:lsdException w:name="Body Text" w:semiHidden="1" w:qFormat="1"/>
    <w:lsdException w:name="Body Text Indent" w:semiHidden="1" w:qFormat="1"/>
    <w:lsdException w:name="List Continue" w:semiHidden="1" w:qFormat="1"/>
    <w:lsdException w:name="List Continue 2" w:semiHidden="1" w:qFormat="1"/>
    <w:lsdException w:name="List Continue 3" w:semiHidden="1" w:qFormat="1"/>
    <w:lsdException w:name="List Continue 4" w:semiHidden="1" w:qFormat="1"/>
    <w:lsdException w:name="List Continue 5" w:semiHidden="1" w:qFormat="1"/>
    <w:lsdException w:name="Message Header" w:semiHidden="1" w:qFormat="1"/>
    <w:lsdException w:name="Subtitle" w:semiHidden="1" w:qFormat="1"/>
    <w:lsdException w:name="Salutation" w:semiHidden="1" w:qFormat="1"/>
    <w:lsdException w:name="Date" w:semiHidden="1" w:qFormat="1"/>
    <w:lsdException w:name="Body Text First Indent" w:semiHidden="1" w:qFormat="1"/>
    <w:lsdException w:name="Body Text First Indent 2" w:semiHidden="1" w:qFormat="1"/>
    <w:lsdException w:name="Note Heading" w:semiHidden="1" w:qFormat="1"/>
    <w:lsdException w:name="Body Text 2" w:semiHidden="1" w:qFormat="1"/>
    <w:lsdException w:name="Body Text 3" w:semiHidden="1" w:qFormat="1"/>
    <w:lsdException w:name="Body Text Indent 2" w:semiHidden="1" w:qFormat="1"/>
    <w:lsdException w:name="Body Text Indent 3" w:semiHidden="1" w:qFormat="1"/>
    <w:lsdException w:name="Block Text" w:semiHidden="1" w:qFormat="1"/>
    <w:lsdException w:name="Hyperlink" w:semiHidden="1" w:qFormat="1"/>
    <w:lsdException w:name="FollowedHyperlink" w:semiHidden="1" w:unhideWhenUsed="1" w:qFormat="1"/>
    <w:lsdException w:name="Strong" w:qFormat="1"/>
    <w:lsdException w:name="Emphasis" w:qFormat="1"/>
    <w:lsdException w:name="Document Map" w:semiHidden="1" w:qFormat="1"/>
    <w:lsdException w:name="Plain Text" w:semiHidden="1" w:qFormat="1"/>
    <w:lsdException w:name="E-mail Signature" w:semiHidden="1" w:qFormat="1"/>
    <w:lsdException w:name="HTML Top of Form" w:semiHidden="1" w:uiPriority="99" w:unhideWhenUsed="1"/>
    <w:lsdException w:name="HTML Bottom of Form" w:semiHidden="1" w:uiPriority="99" w:unhideWhenUsed="1"/>
    <w:lsdException w:name="Normal (Web)" w:semiHidden="1" w:qFormat="1"/>
    <w:lsdException w:name="HTML Acronym" w:semiHidden="1" w:unhideWhenUsed="1"/>
    <w:lsdException w:name="HTML Address" w:semiHidden="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qFormat="1"/>
    <w:lsdException w:name="Table Theme" w:semiHidden="1" w:unhideWhenUsed="1"/>
    <w:lsdException w:name="Placeholder Text" w:semiHidden="1" w:uiPriority="99"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sz w:val="24"/>
      <w:lang w:eastAsia="en-US"/>
    </w:rPr>
  </w:style>
  <w:style w:type="paragraph" w:styleId="1">
    <w:name w:val="heading 1"/>
    <w:basedOn w:val="a1"/>
    <w:next w:val="a1"/>
    <w:link w:val="10"/>
    <w:semiHidden/>
    <w:qFormat/>
    <w:pPr>
      <w:keepNext/>
      <w:spacing w:before="240" w:after="60"/>
      <w:outlineLvl w:val="0"/>
    </w:pPr>
    <w:rPr>
      <w:b/>
      <w:bCs/>
      <w:kern w:val="32"/>
      <w:szCs w:val="24"/>
    </w:rPr>
  </w:style>
  <w:style w:type="paragraph" w:styleId="21">
    <w:name w:val="heading 2"/>
    <w:basedOn w:val="a1"/>
    <w:next w:val="a1"/>
    <w:link w:val="22"/>
    <w:uiPriority w:val="9"/>
    <w:qFormat/>
    <w:pPr>
      <w:keepNext/>
      <w:spacing w:before="240" w:after="60"/>
      <w:outlineLvl w:val="1"/>
    </w:pPr>
    <w:rPr>
      <w:rFonts w:ascii="Cambria" w:hAnsi="Cambria"/>
      <w:b/>
      <w:bCs/>
      <w:i/>
      <w:iCs/>
      <w:sz w:val="28"/>
      <w:szCs w:val="28"/>
    </w:rPr>
  </w:style>
  <w:style w:type="paragraph" w:styleId="31">
    <w:name w:val="heading 3"/>
    <w:basedOn w:val="a1"/>
    <w:next w:val="a1"/>
    <w:semiHidden/>
    <w:qFormat/>
    <w:pPr>
      <w:keepNext/>
      <w:spacing w:line="480" w:lineRule="auto"/>
      <w:outlineLvl w:val="2"/>
    </w:pPr>
    <w:rPr>
      <w:rFonts w:ascii="Times" w:eastAsia="Times" w:hAnsi="Times"/>
      <w:b/>
    </w:rPr>
  </w:style>
  <w:style w:type="paragraph" w:styleId="41">
    <w:name w:val="heading 4"/>
    <w:basedOn w:val="a1"/>
    <w:next w:val="a1"/>
    <w:semiHidden/>
    <w:qFormat/>
    <w:pPr>
      <w:keepNext/>
      <w:spacing w:line="480" w:lineRule="auto"/>
      <w:outlineLvl w:val="3"/>
    </w:pPr>
    <w:rPr>
      <w:rFonts w:ascii="Times" w:hAnsi="Times"/>
      <w:b/>
      <w:color w:val="0000FF"/>
      <w:sz w:val="44"/>
    </w:rPr>
  </w:style>
  <w:style w:type="paragraph" w:styleId="51">
    <w:name w:val="heading 5"/>
    <w:basedOn w:val="a1"/>
    <w:next w:val="a1"/>
    <w:link w:val="52"/>
    <w:semiHidden/>
    <w:qFormat/>
    <w:pPr>
      <w:spacing w:before="240" w:after="60"/>
      <w:outlineLvl w:val="4"/>
    </w:pPr>
    <w:rPr>
      <w:rFonts w:ascii="Calibri" w:hAnsi="Calibri"/>
      <w:b/>
      <w:bCs/>
      <w:i/>
      <w:iCs/>
      <w:sz w:val="26"/>
      <w:szCs w:val="26"/>
    </w:rPr>
  </w:style>
  <w:style w:type="paragraph" w:styleId="6">
    <w:name w:val="heading 6"/>
    <w:basedOn w:val="a1"/>
    <w:next w:val="a1"/>
    <w:link w:val="60"/>
    <w:semiHidden/>
    <w:qFormat/>
    <w:pPr>
      <w:spacing w:before="240" w:after="60"/>
      <w:outlineLvl w:val="5"/>
    </w:pPr>
    <w:rPr>
      <w:rFonts w:ascii="Calibri" w:hAnsi="Calibri"/>
      <w:b/>
      <w:bCs/>
      <w:sz w:val="22"/>
      <w:szCs w:val="22"/>
    </w:rPr>
  </w:style>
  <w:style w:type="paragraph" w:styleId="7">
    <w:name w:val="heading 7"/>
    <w:basedOn w:val="a1"/>
    <w:next w:val="a1"/>
    <w:link w:val="70"/>
    <w:semiHidden/>
    <w:qFormat/>
    <w:pPr>
      <w:spacing w:before="240" w:after="60"/>
      <w:outlineLvl w:val="6"/>
    </w:pPr>
    <w:rPr>
      <w:rFonts w:ascii="Calibri" w:hAnsi="Calibri"/>
      <w:szCs w:val="24"/>
    </w:rPr>
  </w:style>
  <w:style w:type="paragraph" w:styleId="8">
    <w:name w:val="heading 8"/>
    <w:basedOn w:val="a1"/>
    <w:next w:val="a1"/>
    <w:link w:val="80"/>
    <w:semiHidden/>
    <w:qFormat/>
    <w:pPr>
      <w:spacing w:before="240" w:after="60"/>
      <w:outlineLvl w:val="7"/>
    </w:pPr>
    <w:rPr>
      <w:rFonts w:ascii="Calibri" w:hAnsi="Calibri"/>
      <w:i/>
      <w:iCs/>
      <w:szCs w:val="24"/>
    </w:rPr>
  </w:style>
  <w:style w:type="paragraph" w:styleId="9">
    <w:name w:val="heading 9"/>
    <w:basedOn w:val="a1"/>
    <w:next w:val="a1"/>
    <w:link w:val="90"/>
    <w:semiHidden/>
    <w:qFormat/>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semiHidden/>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32">
    <w:name w:val="List 3"/>
    <w:basedOn w:val="a1"/>
    <w:semiHidden/>
    <w:qFormat/>
    <w:pPr>
      <w:ind w:left="1080" w:hanging="360"/>
      <w:contextualSpacing/>
    </w:pPr>
  </w:style>
  <w:style w:type="paragraph" w:styleId="TOC7">
    <w:name w:val="toc 7"/>
    <w:basedOn w:val="a1"/>
    <w:next w:val="a1"/>
    <w:semiHidden/>
    <w:qFormat/>
    <w:pPr>
      <w:ind w:left="1440"/>
    </w:pPr>
  </w:style>
  <w:style w:type="paragraph" w:styleId="2">
    <w:name w:val="List Number 2"/>
    <w:basedOn w:val="a1"/>
    <w:semiHidden/>
    <w:qFormat/>
    <w:pPr>
      <w:numPr>
        <w:numId w:val="1"/>
      </w:numPr>
      <w:contextualSpacing/>
    </w:pPr>
  </w:style>
  <w:style w:type="paragraph" w:styleId="a7">
    <w:name w:val="table of authorities"/>
    <w:basedOn w:val="a1"/>
    <w:next w:val="a1"/>
    <w:semiHidden/>
    <w:qFormat/>
    <w:pPr>
      <w:ind w:left="240" w:hanging="240"/>
    </w:pPr>
  </w:style>
  <w:style w:type="paragraph" w:styleId="a8">
    <w:name w:val="Note Heading"/>
    <w:basedOn w:val="a1"/>
    <w:next w:val="a1"/>
    <w:link w:val="a9"/>
    <w:semiHidden/>
    <w:qFormat/>
  </w:style>
  <w:style w:type="paragraph" w:styleId="40">
    <w:name w:val="List Bullet 4"/>
    <w:basedOn w:val="a1"/>
    <w:semiHidden/>
    <w:qFormat/>
    <w:pPr>
      <w:numPr>
        <w:numId w:val="2"/>
      </w:numPr>
      <w:contextualSpacing/>
    </w:pPr>
  </w:style>
  <w:style w:type="paragraph" w:styleId="81">
    <w:name w:val="index 8"/>
    <w:basedOn w:val="a1"/>
    <w:next w:val="a1"/>
    <w:semiHidden/>
    <w:qFormat/>
    <w:pPr>
      <w:ind w:left="1920" w:hanging="240"/>
    </w:pPr>
  </w:style>
  <w:style w:type="paragraph" w:styleId="aa">
    <w:name w:val="E-mail Signature"/>
    <w:basedOn w:val="a1"/>
    <w:link w:val="ab"/>
    <w:semiHidden/>
    <w:qFormat/>
  </w:style>
  <w:style w:type="paragraph" w:styleId="a">
    <w:name w:val="List Number"/>
    <w:basedOn w:val="a1"/>
    <w:semiHidden/>
    <w:qFormat/>
    <w:pPr>
      <w:numPr>
        <w:numId w:val="3"/>
      </w:numPr>
      <w:contextualSpacing/>
    </w:pPr>
  </w:style>
  <w:style w:type="paragraph" w:styleId="ac">
    <w:name w:val="Normal Indent"/>
    <w:basedOn w:val="a1"/>
    <w:semiHidden/>
    <w:qFormat/>
    <w:pPr>
      <w:ind w:left="720"/>
    </w:pPr>
  </w:style>
  <w:style w:type="paragraph" w:styleId="ad">
    <w:name w:val="caption"/>
    <w:basedOn w:val="a1"/>
    <w:next w:val="a1"/>
    <w:semiHidden/>
    <w:qFormat/>
    <w:rPr>
      <w:b/>
      <w:bCs/>
      <w:sz w:val="20"/>
    </w:rPr>
  </w:style>
  <w:style w:type="paragraph" w:styleId="53">
    <w:name w:val="index 5"/>
    <w:basedOn w:val="a1"/>
    <w:next w:val="a1"/>
    <w:semiHidden/>
    <w:qFormat/>
    <w:pPr>
      <w:ind w:left="1200" w:hanging="240"/>
    </w:pPr>
  </w:style>
  <w:style w:type="paragraph" w:styleId="a0">
    <w:name w:val="List Bullet"/>
    <w:basedOn w:val="a1"/>
    <w:semiHidden/>
    <w:qFormat/>
    <w:pPr>
      <w:numPr>
        <w:numId w:val="4"/>
      </w:numPr>
      <w:contextualSpacing/>
    </w:pPr>
  </w:style>
  <w:style w:type="paragraph" w:styleId="ae">
    <w:name w:val="envelope address"/>
    <w:basedOn w:val="a1"/>
    <w:semiHidden/>
    <w:qFormat/>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qFormat/>
    <w:rPr>
      <w:rFonts w:ascii="Tahoma" w:hAnsi="Tahoma" w:cs="Tahoma"/>
      <w:sz w:val="16"/>
      <w:szCs w:val="16"/>
    </w:rPr>
  </w:style>
  <w:style w:type="paragraph" w:styleId="af1">
    <w:name w:val="toa heading"/>
    <w:basedOn w:val="a1"/>
    <w:next w:val="a1"/>
    <w:semiHidden/>
    <w:qFormat/>
    <w:pPr>
      <w:spacing w:before="120"/>
    </w:pPr>
    <w:rPr>
      <w:rFonts w:ascii="Cambria" w:hAnsi="Cambria"/>
      <w:b/>
      <w:bCs/>
      <w:szCs w:val="24"/>
    </w:rPr>
  </w:style>
  <w:style w:type="paragraph" w:styleId="af2">
    <w:name w:val="annotation text"/>
    <w:basedOn w:val="a1"/>
    <w:link w:val="af3"/>
    <w:semiHidden/>
    <w:qFormat/>
    <w:rPr>
      <w:sz w:val="20"/>
    </w:rPr>
  </w:style>
  <w:style w:type="paragraph" w:styleId="61">
    <w:name w:val="index 6"/>
    <w:basedOn w:val="a1"/>
    <w:next w:val="a1"/>
    <w:semiHidden/>
    <w:qFormat/>
    <w:pPr>
      <w:ind w:left="1440" w:hanging="240"/>
    </w:pPr>
  </w:style>
  <w:style w:type="paragraph" w:styleId="af4">
    <w:name w:val="Salutation"/>
    <w:basedOn w:val="a1"/>
    <w:next w:val="a1"/>
    <w:link w:val="af5"/>
    <w:semiHidden/>
    <w:qFormat/>
  </w:style>
  <w:style w:type="paragraph" w:styleId="33">
    <w:name w:val="Body Text 3"/>
    <w:basedOn w:val="a1"/>
    <w:link w:val="34"/>
    <w:semiHidden/>
    <w:qFormat/>
    <w:pPr>
      <w:spacing w:after="120"/>
    </w:pPr>
    <w:rPr>
      <w:sz w:val="16"/>
      <w:szCs w:val="16"/>
    </w:rPr>
  </w:style>
  <w:style w:type="paragraph" w:styleId="af6">
    <w:name w:val="Closing"/>
    <w:basedOn w:val="a1"/>
    <w:link w:val="af7"/>
    <w:semiHidden/>
    <w:qFormat/>
    <w:pPr>
      <w:ind w:left="4320"/>
    </w:pPr>
  </w:style>
  <w:style w:type="paragraph" w:styleId="30">
    <w:name w:val="List Bullet 3"/>
    <w:basedOn w:val="a1"/>
    <w:semiHidden/>
    <w:qFormat/>
    <w:pPr>
      <w:numPr>
        <w:numId w:val="5"/>
      </w:numPr>
      <w:contextualSpacing/>
    </w:pPr>
  </w:style>
  <w:style w:type="paragraph" w:styleId="af8">
    <w:name w:val="Body Text"/>
    <w:basedOn w:val="a1"/>
    <w:link w:val="af9"/>
    <w:semiHidden/>
    <w:qFormat/>
    <w:pPr>
      <w:spacing w:after="120"/>
    </w:pPr>
  </w:style>
  <w:style w:type="paragraph" w:styleId="afa">
    <w:name w:val="Body Text Indent"/>
    <w:basedOn w:val="a1"/>
    <w:link w:val="afb"/>
    <w:semiHidden/>
    <w:qFormat/>
    <w:pPr>
      <w:spacing w:after="120"/>
      <w:ind w:left="360"/>
    </w:pPr>
  </w:style>
  <w:style w:type="paragraph" w:styleId="3">
    <w:name w:val="List Number 3"/>
    <w:basedOn w:val="a1"/>
    <w:semiHidden/>
    <w:qFormat/>
    <w:pPr>
      <w:numPr>
        <w:numId w:val="6"/>
      </w:numPr>
      <w:contextualSpacing/>
    </w:pPr>
  </w:style>
  <w:style w:type="paragraph" w:styleId="23">
    <w:name w:val="List 2"/>
    <w:basedOn w:val="a1"/>
    <w:semiHidden/>
    <w:qFormat/>
    <w:pPr>
      <w:ind w:left="720" w:hanging="360"/>
      <w:contextualSpacing/>
    </w:pPr>
  </w:style>
  <w:style w:type="paragraph" w:styleId="afc">
    <w:name w:val="List Continue"/>
    <w:basedOn w:val="a1"/>
    <w:semiHidden/>
    <w:qFormat/>
    <w:pPr>
      <w:spacing w:after="120"/>
      <w:ind w:left="360"/>
      <w:contextualSpacing/>
    </w:pPr>
  </w:style>
  <w:style w:type="paragraph" w:styleId="afd">
    <w:name w:val="Block Text"/>
    <w:basedOn w:val="a1"/>
    <w:semiHidden/>
    <w:qFormat/>
    <w:pPr>
      <w:spacing w:after="120"/>
      <w:ind w:left="1440" w:right="1440"/>
    </w:pPr>
  </w:style>
  <w:style w:type="paragraph" w:styleId="20">
    <w:name w:val="List Bullet 2"/>
    <w:basedOn w:val="a1"/>
    <w:semiHidden/>
    <w:qFormat/>
    <w:pPr>
      <w:numPr>
        <w:numId w:val="7"/>
      </w:numPr>
      <w:contextualSpacing/>
    </w:pPr>
  </w:style>
  <w:style w:type="paragraph" w:styleId="HTML">
    <w:name w:val="HTML Address"/>
    <w:basedOn w:val="a1"/>
    <w:link w:val="HTML0"/>
    <w:semiHidden/>
    <w:qFormat/>
    <w:rPr>
      <w:i/>
      <w:iCs/>
    </w:rPr>
  </w:style>
  <w:style w:type="paragraph" w:styleId="42">
    <w:name w:val="index 4"/>
    <w:basedOn w:val="a1"/>
    <w:next w:val="a1"/>
    <w:semiHidden/>
    <w:qFormat/>
    <w:pPr>
      <w:ind w:left="960" w:hanging="240"/>
    </w:pPr>
  </w:style>
  <w:style w:type="paragraph" w:styleId="TOC5">
    <w:name w:val="toc 5"/>
    <w:basedOn w:val="a1"/>
    <w:next w:val="a1"/>
    <w:semiHidden/>
    <w:qFormat/>
    <w:pPr>
      <w:ind w:left="960"/>
    </w:pPr>
  </w:style>
  <w:style w:type="paragraph" w:styleId="TOC3">
    <w:name w:val="toc 3"/>
    <w:basedOn w:val="a1"/>
    <w:next w:val="a1"/>
    <w:semiHidden/>
    <w:qFormat/>
    <w:pPr>
      <w:ind w:left="480"/>
    </w:pPr>
  </w:style>
  <w:style w:type="paragraph" w:styleId="afe">
    <w:name w:val="Plain Text"/>
    <w:basedOn w:val="a1"/>
    <w:link w:val="aff"/>
    <w:semiHidden/>
    <w:qFormat/>
    <w:rPr>
      <w:rFonts w:ascii="Courier New" w:hAnsi="Courier New" w:cs="Courier New"/>
      <w:sz w:val="20"/>
    </w:rPr>
  </w:style>
  <w:style w:type="paragraph" w:styleId="50">
    <w:name w:val="List Bullet 5"/>
    <w:basedOn w:val="a1"/>
    <w:semiHidden/>
    <w:qFormat/>
    <w:pPr>
      <w:numPr>
        <w:numId w:val="8"/>
      </w:numPr>
      <w:contextualSpacing/>
    </w:pPr>
  </w:style>
  <w:style w:type="paragraph" w:styleId="4">
    <w:name w:val="List Number 4"/>
    <w:basedOn w:val="a1"/>
    <w:semiHidden/>
    <w:qFormat/>
    <w:pPr>
      <w:numPr>
        <w:numId w:val="9"/>
      </w:numPr>
      <w:contextualSpacing/>
    </w:pPr>
  </w:style>
  <w:style w:type="paragraph" w:styleId="TOC8">
    <w:name w:val="toc 8"/>
    <w:basedOn w:val="a1"/>
    <w:next w:val="a1"/>
    <w:semiHidden/>
    <w:qFormat/>
    <w:pPr>
      <w:ind w:left="1680"/>
    </w:pPr>
  </w:style>
  <w:style w:type="paragraph" w:styleId="35">
    <w:name w:val="index 3"/>
    <w:basedOn w:val="a1"/>
    <w:next w:val="a1"/>
    <w:semiHidden/>
    <w:qFormat/>
    <w:pPr>
      <w:ind w:left="720" w:hanging="240"/>
    </w:pPr>
  </w:style>
  <w:style w:type="paragraph" w:styleId="aff0">
    <w:name w:val="Date"/>
    <w:basedOn w:val="a1"/>
    <w:next w:val="a1"/>
    <w:link w:val="aff1"/>
    <w:semiHidden/>
    <w:qFormat/>
  </w:style>
  <w:style w:type="paragraph" w:styleId="24">
    <w:name w:val="Body Text Indent 2"/>
    <w:basedOn w:val="a1"/>
    <w:link w:val="25"/>
    <w:semiHidden/>
    <w:qFormat/>
    <w:pPr>
      <w:spacing w:after="120" w:line="480" w:lineRule="auto"/>
      <w:ind w:left="360"/>
    </w:pPr>
  </w:style>
  <w:style w:type="paragraph" w:styleId="aff2">
    <w:name w:val="endnote text"/>
    <w:basedOn w:val="a1"/>
    <w:link w:val="aff3"/>
    <w:semiHidden/>
    <w:qFormat/>
    <w:rPr>
      <w:sz w:val="20"/>
    </w:rPr>
  </w:style>
  <w:style w:type="paragraph" w:styleId="54">
    <w:name w:val="List Continue 5"/>
    <w:basedOn w:val="a1"/>
    <w:semiHidden/>
    <w:qFormat/>
    <w:pPr>
      <w:spacing w:after="120"/>
      <w:ind w:left="1800"/>
      <w:contextualSpacing/>
    </w:pPr>
  </w:style>
  <w:style w:type="paragraph" w:styleId="aff4">
    <w:name w:val="Balloon Text"/>
    <w:basedOn w:val="a1"/>
    <w:link w:val="aff5"/>
    <w:semiHidden/>
    <w:qFormat/>
    <w:rPr>
      <w:rFonts w:ascii="Tahoma" w:hAnsi="Tahoma" w:cs="Tahoma"/>
      <w:sz w:val="16"/>
      <w:szCs w:val="16"/>
    </w:rPr>
  </w:style>
  <w:style w:type="paragraph" w:styleId="aff6">
    <w:name w:val="footer"/>
    <w:basedOn w:val="a1"/>
    <w:link w:val="aff7"/>
    <w:uiPriority w:val="99"/>
    <w:qFormat/>
    <w:pPr>
      <w:tabs>
        <w:tab w:val="center" w:pos="4680"/>
        <w:tab w:val="right" w:pos="9360"/>
      </w:tabs>
    </w:pPr>
  </w:style>
  <w:style w:type="paragraph" w:styleId="aff8">
    <w:name w:val="envelope return"/>
    <w:basedOn w:val="a1"/>
    <w:semiHidden/>
    <w:qFormat/>
    <w:rPr>
      <w:rFonts w:ascii="Cambria" w:hAnsi="Cambria"/>
      <w:sz w:val="20"/>
    </w:rPr>
  </w:style>
  <w:style w:type="paragraph" w:styleId="aff9">
    <w:name w:val="header"/>
    <w:basedOn w:val="a1"/>
    <w:link w:val="affa"/>
    <w:uiPriority w:val="99"/>
    <w:qFormat/>
    <w:pPr>
      <w:tabs>
        <w:tab w:val="center" w:pos="4680"/>
        <w:tab w:val="right" w:pos="9360"/>
      </w:tabs>
    </w:pPr>
  </w:style>
  <w:style w:type="paragraph" w:styleId="affb">
    <w:name w:val="Signature"/>
    <w:basedOn w:val="a1"/>
    <w:link w:val="affc"/>
    <w:semiHidden/>
    <w:qFormat/>
    <w:pPr>
      <w:ind w:left="4320"/>
    </w:pPr>
  </w:style>
  <w:style w:type="paragraph" w:styleId="TOC1">
    <w:name w:val="toc 1"/>
    <w:basedOn w:val="a1"/>
    <w:next w:val="a1"/>
    <w:semiHidden/>
    <w:qFormat/>
  </w:style>
  <w:style w:type="paragraph" w:styleId="43">
    <w:name w:val="List Continue 4"/>
    <w:basedOn w:val="a1"/>
    <w:semiHidden/>
    <w:qFormat/>
    <w:pPr>
      <w:spacing w:after="120"/>
      <w:ind w:left="1440"/>
      <w:contextualSpacing/>
    </w:pPr>
  </w:style>
  <w:style w:type="paragraph" w:styleId="TOC4">
    <w:name w:val="toc 4"/>
    <w:basedOn w:val="a1"/>
    <w:next w:val="a1"/>
    <w:semiHidden/>
    <w:qFormat/>
    <w:pPr>
      <w:ind w:left="720"/>
    </w:pPr>
  </w:style>
  <w:style w:type="paragraph" w:styleId="affd">
    <w:name w:val="index heading"/>
    <w:basedOn w:val="a1"/>
    <w:next w:val="11"/>
    <w:semiHidden/>
    <w:qFormat/>
    <w:rPr>
      <w:rFonts w:ascii="Cambria" w:hAnsi="Cambria"/>
      <w:b/>
      <w:bCs/>
    </w:rPr>
  </w:style>
  <w:style w:type="paragraph" w:styleId="11">
    <w:name w:val="index 1"/>
    <w:basedOn w:val="a1"/>
    <w:next w:val="a1"/>
    <w:semiHidden/>
    <w:qFormat/>
    <w:pPr>
      <w:ind w:left="240" w:hanging="240"/>
    </w:pPr>
  </w:style>
  <w:style w:type="paragraph" w:styleId="affe">
    <w:name w:val="Subtitle"/>
    <w:basedOn w:val="a1"/>
    <w:next w:val="a1"/>
    <w:link w:val="afff"/>
    <w:semiHidden/>
    <w:qFormat/>
    <w:pPr>
      <w:spacing w:after="60"/>
      <w:jc w:val="center"/>
      <w:outlineLvl w:val="1"/>
    </w:pPr>
    <w:rPr>
      <w:rFonts w:ascii="Cambria" w:hAnsi="Cambria"/>
      <w:szCs w:val="24"/>
    </w:rPr>
  </w:style>
  <w:style w:type="paragraph" w:styleId="5">
    <w:name w:val="List Number 5"/>
    <w:basedOn w:val="a1"/>
    <w:semiHidden/>
    <w:qFormat/>
    <w:pPr>
      <w:numPr>
        <w:numId w:val="10"/>
      </w:numPr>
      <w:contextualSpacing/>
    </w:pPr>
  </w:style>
  <w:style w:type="paragraph" w:styleId="afff0">
    <w:name w:val="List"/>
    <w:basedOn w:val="a1"/>
    <w:semiHidden/>
    <w:qFormat/>
    <w:pPr>
      <w:ind w:left="360" w:hanging="360"/>
      <w:contextualSpacing/>
    </w:pPr>
  </w:style>
  <w:style w:type="paragraph" w:styleId="afff1">
    <w:name w:val="footnote text"/>
    <w:basedOn w:val="a1"/>
    <w:link w:val="afff2"/>
    <w:semiHidden/>
    <w:qFormat/>
    <w:rPr>
      <w:sz w:val="20"/>
    </w:rPr>
  </w:style>
  <w:style w:type="paragraph" w:styleId="TOC6">
    <w:name w:val="toc 6"/>
    <w:basedOn w:val="a1"/>
    <w:next w:val="a1"/>
    <w:semiHidden/>
    <w:qFormat/>
    <w:pPr>
      <w:ind w:left="1200"/>
    </w:pPr>
  </w:style>
  <w:style w:type="paragraph" w:styleId="55">
    <w:name w:val="List 5"/>
    <w:basedOn w:val="a1"/>
    <w:semiHidden/>
    <w:qFormat/>
    <w:pPr>
      <w:ind w:left="1800" w:hanging="360"/>
      <w:contextualSpacing/>
    </w:pPr>
  </w:style>
  <w:style w:type="paragraph" w:styleId="36">
    <w:name w:val="Body Text Indent 3"/>
    <w:basedOn w:val="a1"/>
    <w:link w:val="37"/>
    <w:semiHidden/>
    <w:qFormat/>
    <w:pPr>
      <w:spacing w:after="120"/>
      <w:ind w:left="360"/>
    </w:pPr>
    <w:rPr>
      <w:sz w:val="16"/>
      <w:szCs w:val="16"/>
    </w:rPr>
  </w:style>
  <w:style w:type="paragraph" w:styleId="71">
    <w:name w:val="index 7"/>
    <w:basedOn w:val="a1"/>
    <w:next w:val="a1"/>
    <w:semiHidden/>
    <w:qFormat/>
    <w:pPr>
      <w:ind w:left="1680" w:hanging="240"/>
    </w:pPr>
  </w:style>
  <w:style w:type="paragraph" w:styleId="91">
    <w:name w:val="index 9"/>
    <w:basedOn w:val="a1"/>
    <w:next w:val="a1"/>
    <w:semiHidden/>
    <w:qFormat/>
    <w:pPr>
      <w:ind w:left="2160" w:hanging="240"/>
    </w:pPr>
  </w:style>
  <w:style w:type="paragraph" w:styleId="afff3">
    <w:name w:val="table of figures"/>
    <w:basedOn w:val="a1"/>
    <w:next w:val="a1"/>
    <w:semiHidden/>
    <w:qFormat/>
  </w:style>
  <w:style w:type="paragraph" w:styleId="TOC2">
    <w:name w:val="toc 2"/>
    <w:basedOn w:val="a1"/>
    <w:next w:val="a1"/>
    <w:semiHidden/>
    <w:qFormat/>
    <w:pPr>
      <w:ind w:left="240"/>
    </w:pPr>
  </w:style>
  <w:style w:type="paragraph" w:styleId="TOC9">
    <w:name w:val="toc 9"/>
    <w:basedOn w:val="a1"/>
    <w:next w:val="a1"/>
    <w:semiHidden/>
    <w:qFormat/>
    <w:pPr>
      <w:ind w:left="1920"/>
    </w:pPr>
  </w:style>
  <w:style w:type="paragraph" w:styleId="26">
    <w:name w:val="Body Text 2"/>
    <w:basedOn w:val="a1"/>
    <w:link w:val="27"/>
    <w:semiHidden/>
    <w:qFormat/>
    <w:pPr>
      <w:spacing w:after="120" w:line="480" w:lineRule="auto"/>
    </w:pPr>
  </w:style>
  <w:style w:type="paragraph" w:styleId="44">
    <w:name w:val="List 4"/>
    <w:basedOn w:val="a1"/>
    <w:semiHidden/>
    <w:qFormat/>
    <w:pPr>
      <w:ind w:left="1440" w:hanging="360"/>
      <w:contextualSpacing/>
    </w:pPr>
  </w:style>
  <w:style w:type="paragraph" w:styleId="28">
    <w:name w:val="List Continue 2"/>
    <w:basedOn w:val="a1"/>
    <w:semiHidden/>
    <w:qFormat/>
    <w:pPr>
      <w:spacing w:after="120"/>
      <w:ind w:left="720"/>
      <w:contextualSpacing/>
    </w:pPr>
  </w:style>
  <w:style w:type="paragraph" w:styleId="afff4">
    <w:name w:val="Message Header"/>
    <w:basedOn w:val="a1"/>
    <w:link w:val="afff5"/>
    <w:semiHidden/>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paragraph" w:styleId="HTML1">
    <w:name w:val="HTML Preformatted"/>
    <w:basedOn w:val="a1"/>
    <w:link w:val="HTML2"/>
    <w:semiHidden/>
    <w:qFormat/>
    <w:rPr>
      <w:rFonts w:ascii="Courier New" w:hAnsi="Courier New" w:cs="Courier New"/>
      <w:sz w:val="20"/>
    </w:rPr>
  </w:style>
  <w:style w:type="paragraph" w:styleId="afff6">
    <w:name w:val="Normal (Web)"/>
    <w:basedOn w:val="a1"/>
    <w:semiHidden/>
    <w:qFormat/>
    <w:rPr>
      <w:szCs w:val="24"/>
    </w:rPr>
  </w:style>
  <w:style w:type="paragraph" w:styleId="38">
    <w:name w:val="List Continue 3"/>
    <w:basedOn w:val="a1"/>
    <w:semiHidden/>
    <w:qFormat/>
    <w:pPr>
      <w:spacing w:after="120"/>
      <w:ind w:left="1080"/>
      <w:contextualSpacing/>
    </w:pPr>
  </w:style>
  <w:style w:type="paragraph" w:styleId="29">
    <w:name w:val="index 2"/>
    <w:basedOn w:val="a1"/>
    <w:next w:val="a1"/>
    <w:semiHidden/>
    <w:qFormat/>
    <w:pPr>
      <w:ind w:left="480" w:hanging="240"/>
    </w:pPr>
  </w:style>
  <w:style w:type="paragraph" w:styleId="afff7">
    <w:name w:val="Title"/>
    <w:basedOn w:val="a1"/>
    <w:next w:val="a1"/>
    <w:link w:val="afff8"/>
    <w:semiHidden/>
    <w:qFormat/>
    <w:pPr>
      <w:spacing w:before="240" w:after="60"/>
      <w:jc w:val="center"/>
      <w:outlineLvl w:val="0"/>
    </w:pPr>
    <w:rPr>
      <w:rFonts w:ascii="Cambria" w:hAnsi="Cambria"/>
      <w:b/>
      <w:bCs/>
      <w:kern w:val="28"/>
      <w:sz w:val="32"/>
      <w:szCs w:val="32"/>
    </w:rPr>
  </w:style>
  <w:style w:type="paragraph" w:styleId="afff9">
    <w:name w:val="annotation subject"/>
    <w:basedOn w:val="af2"/>
    <w:next w:val="af2"/>
    <w:link w:val="afffa"/>
    <w:semiHidden/>
    <w:qFormat/>
    <w:rPr>
      <w:b/>
      <w:bCs/>
    </w:rPr>
  </w:style>
  <w:style w:type="paragraph" w:styleId="afffb">
    <w:name w:val="Body Text First Indent"/>
    <w:basedOn w:val="af8"/>
    <w:link w:val="afffc"/>
    <w:semiHidden/>
    <w:qFormat/>
    <w:pPr>
      <w:ind w:firstLine="210"/>
    </w:pPr>
  </w:style>
  <w:style w:type="paragraph" w:styleId="2a">
    <w:name w:val="Body Text First Indent 2"/>
    <w:basedOn w:val="afa"/>
    <w:link w:val="2b"/>
    <w:semiHidden/>
    <w:qFormat/>
    <w:pPr>
      <w:ind w:firstLine="210"/>
    </w:pPr>
  </w:style>
  <w:style w:type="table" w:styleId="afffd">
    <w:name w:val="Table Grid"/>
    <w:basedOn w:val="a3"/>
    <w:uiPriority w:val="39"/>
    <w:qFormat/>
    <w:rPr>
      <w:rFonts w:asciiTheme="minorHAnsi"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semiHidden/>
    <w:qFormat/>
  </w:style>
  <w:style w:type="character" w:styleId="affff">
    <w:name w:val="FollowedHyperlink"/>
    <w:semiHidden/>
    <w:unhideWhenUsed/>
    <w:qFormat/>
    <w:rPr>
      <w:color w:val="800080"/>
      <w:u w:val="single"/>
    </w:rPr>
  </w:style>
  <w:style w:type="character" w:styleId="affff0">
    <w:name w:val="Hyperlink"/>
    <w:semiHidden/>
    <w:qFormat/>
    <w:rPr>
      <w:color w:val="0000FF"/>
      <w:u w:val="single"/>
    </w:rPr>
  </w:style>
  <w:style w:type="character" w:styleId="affff1">
    <w:name w:val="annotation reference"/>
    <w:semiHidden/>
    <w:unhideWhenUsed/>
    <w:qFormat/>
    <w:rPr>
      <w:sz w:val="16"/>
      <w:szCs w:val="16"/>
    </w:rPr>
  </w:style>
  <w:style w:type="character" w:customStyle="1" w:styleId="10">
    <w:name w:val="标题 1 字符"/>
    <w:link w:val="1"/>
    <w:semiHidden/>
    <w:qFormat/>
    <w:rPr>
      <w:b/>
      <w:bCs/>
      <w:kern w:val="32"/>
      <w:sz w:val="24"/>
      <w:szCs w:val="24"/>
    </w:rPr>
  </w:style>
  <w:style w:type="character" w:customStyle="1" w:styleId="22">
    <w:name w:val="标题 2 字符"/>
    <w:link w:val="21"/>
    <w:uiPriority w:val="9"/>
    <w:qFormat/>
    <w:rPr>
      <w:rFonts w:ascii="Cambria" w:hAnsi="Cambria"/>
      <w:b/>
      <w:bCs/>
      <w:i/>
      <w:iCs/>
      <w:sz w:val="28"/>
      <w:szCs w:val="28"/>
    </w:rPr>
  </w:style>
  <w:style w:type="character" w:customStyle="1" w:styleId="52">
    <w:name w:val="标题 5 字符"/>
    <w:link w:val="51"/>
    <w:semiHidden/>
    <w:qFormat/>
    <w:rPr>
      <w:rFonts w:ascii="Calibri" w:hAnsi="Calibri"/>
      <w:b/>
      <w:bCs/>
      <w:i/>
      <w:iCs/>
      <w:sz w:val="26"/>
      <w:szCs w:val="26"/>
    </w:rPr>
  </w:style>
  <w:style w:type="character" w:customStyle="1" w:styleId="60">
    <w:name w:val="标题 6 字符"/>
    <w:link w:val="6"/>
    <w:semiHidden/>
    <w:qFormat/>
    <w:rPr>
      <w:rFonts w:ascii="Calibri" w:hAnsi="Calibri"/>
      <w:b/>
      <w:bCs/>
      <w:sz w:val="22"/>
      <w:szCs w:val="22"/>
    </w:rPr>
  </w:style>
  <w:style w:type="character" w:customStyle="1" w:styleId="70">
    <w:name w:val="标题 7 字符"/>
    <w:link w:val="7"/>
    <w:semiHidden/>
    <w:qFormat/>
    <w:rPr>
      <w:rFonts w:ascii="Calibri" w:hAnsi="Calibri"/>
      <w:sz w:val="24"/>
      <w:szCs w:val="24"/>
    </w:rPr>
  </w:style>
  <w:style w:type="character" w:customStyle="1" w:styleId="80">
    <w:name w:val="标题 8 字符"/>
    <w:link w:val="8"/>
    <w:semiHidden/>
    <w:qFormat/>
    <w:rPr>
      <w:rFonts w:ascii="Calibri" w:hAnsi="Calibri"/>
      <w:i/>
      <w:iCs/>
      <w:sz w:val="24"/>
      <w:szCs w:val="24"/>
    </w:rPr>
  </w:style>
  <w:style w:type="character" w:customStyle="1" w:styleId="90">
    <w:name w:val="标题 9 字符"/>
    <w:link w:val="9"/>
    <w:semiHidden/>
    <w:qFormat/>
    <w:rPr>
      <w:rFonts w:ascii="Cambria" w:hAnsi="Cambria"/>
      <w:sz w:val="22"/>
      <w:szCs w:val="22"/>
    </w:rPr>
  </w:style>
  <w:style w:type="paragraph" w:customStyle="1" w:styleId="SMHeading">
    <w:name w:val="SM Heading"/>
    <w:basedOn w:val="1"/>
    <w:qFormat/>
  </w:style>
  <w:style w:type="paragraph" w:customStyle="1" w:styleId="SMSubheading">
    <w:name w:val="SM Subheading"/>
    <w:basedOn w:val="a1"/>
    <w:qFormat/>
    <w:rPr>
      <w:u w:val="words"/>
    </w:rPr>
  </w:style>
  <w:style w:type="paragraph" w:customStyle="1" w:styleId="SMText">
    <w:name w:val="SM Text"/>
    <w:basedOn w:val="a1"/>
    <w:qFormat/>
    <w:pPr>
      <w:ind w:firstLine="480"/>
    </w:pPr>
  </w:style>
  <w:style w:type="paragraph" w:customStyle="1" w:styleId="SMcaption">
    <w:name w:val="SM caption"/>
    <w:basedOn w:val="SMText"/>
    <w:qFormat/>
    <w:pPr>
      <w:ind w:firstLine="0"/>
    </w:pPr>
  </w:style>
  <w:style w:type="character" w:customStyle="1" w:styleId="aff5">
    <w:name w:val="批注框文本 字符"/>
    <w:link w:val="aff4"/>
    <w:semiHidden/>
    <w:qFormat/>
    <w:rPr>
      <w:rFonts w:ascii="Tahoma" w:hAnsi="Tahoma" w:cs="Tahoma"/>
      <w:sz w:val="16"/>
      <w:szCs w:val="16"/>
    </w:rPr>
  </w:style>
  <w:style w:type="paragraph" w:customStyle="1" w:styleId="12">
    <w:name w:val="书目1"/>
    <w:basedOn w:val="a1"/>
    <w:next w:val="a1"/>
    <w:uiPriority w:val="37"/>
    <w:semiHidden/>
    <w:qFormat/>
  </w:style>
  <w:style w:type="character" w:customStyle="1" w:styleId="af9">
    <w:name w:val="正文文本 字符"/>
    <w:link w:val="af8"/>
    <w:semiHidden/>
    <w:qFormat/>
    <w:rPr>
      <w:sz w:val="24"/>
    </w:rPr>
  </w:style>
  <w:style w:type="character" w:customStyle="1" w:styleId="27">
    <w:name w:val="正文文本 2 字符"/>
    <w:link w:val="26"/>
    <w:semiHidden/>
    <w:qFormat/>
    <w:rPr>
      <w:sz w:val="24"/>
    </w:rPr>
  </w:style>
  <w:style w:type="character" w:customStyle="1" w:styleId="34">
    <w:name w:val="正文文本 3 字符"/>
    <w:link w:val="33"/>
    <w:semiHidden/>
    <w:qFormat/>
    <w:rPr>
      <w:sz w:val="16"/>
      <w:szCs w:val="16"/>
    </w:rPr>
  </w:style>
  <w:style w:type="character" w:customStyle="1" w:styleId="afffc">
    <w:name w:val="正文文本首行缩进 字符"/>
    <w:link w:val="afffb"/>
    <w:semiHidden/>
    <w:qFormat/>
    <w:rPr>
      <w:sz w:val="24"/>
    </w:rPr>
  </w:style>
  <w:style w:type="character" w:customStyle="1" w:styleId="afb">
    <w:name w:val="正文文本缩进 字符"/>
    <w:link w:val="afa"/>
    <w:semiHidden/>
    <w:qFormat/>
    <w:rPr>
      <w:sz w:val="24"/>
    </w:rPr>
  </w:style>
  <w:style w:type="character" w:customStyle="1" w:styleId="2b">
    <w:name w:val="正文文本首行缩进 2 字符"/>
    <w:link w:val="2a"/>
    <w:semiHidden/>
    <w:qFormat/>
    <w:rPr>
      <w:sz w:val="24"/>
    </w:rPr>
  </w:style>
  <w:style w:type="character" w:customStyle="1" w:styleId="25">
    <w:name w:val="正文文本缩进 2 字符"/>
    <w:link w:val="24"/>
    <w:semiHidden/>
    <w:qFormat/>
    <w:rPr>
      <w:sz w:val="24"/>
    </w:rPr>
  </w:style>
  <w:style w:type="character" w:customStyle="1" w:styleId="37">
    <w:name w:val="正文文本缩进 3 字符"/>
    <w:link w:val="36"/>
    <w:semiHidden/>
    <w:qFormat/>
    <w:rPr>
      <w:sz w:val="16"/>
      <w:szCs w:val="16"/>
    </w:rPr>
  </w:style>
  <w:style w:type="character" w:customStyle="1" w:styleId="af7">
    <w:name w:val="结束语 字符"/>
    <w:link w:val="af6"/>
    <w:semiHidden/>
    <w:qFormat/>
    <w:rPr>
      <w:sz w:val="24"/>
    </w:rPr>
  </w:style>
  <w:style w:type="character" w:customStyle="1" w:styleId="af3">
    <w:name w:val="批注文字 字符"/>
    <w:basedOn w:val="a2"/>
    <w:link w:val="af2"/>
    <w:semiHidden/>
    <w:qFormat/>
  </w:style>
  <w:style w:type="character" w:customStyle="1" w:styleId="afffa">
    <w:name w:val="批注主题 字符"/>
    <w:link w:val="afff9"/>
    <w:semiHidden/>
    <w:qFormat/>
    <w:rPr>
      <w:b/>
      <w:bCs/>
    </w:rPr>
  </w:style>
  <w:style w:type="character" w:customStyle="1" w:styleId="aff1">
    <w:name w:val="日期 字符"/>
    <w:link w:val="aff0"/>
    <w:semiHidden/>
    <w:qFormat/>
    <w:rPr>
      <w:sz w:val="24"/>
    </w:rPr>
  </w:style>
  <w:style w:type="character" w:customStyle="1" w:styleId="af0">
    <w:name w:val="文档结构图 字符"/>
    <w:link w:val="af"/>
    <w:semiHidden/>
    <w:qFormat/>
    <w:rPr>
      <w:rFonts w:ascii="Tahoma" w:hAnsi="Tahoma" w:cs="Tahoma"/>
      <w:sz w:val="16"/>
      <w:szCs w:val="16"/>
    </w:rPr>
  </w:style>
  <w:style w:type="character" w:customStyle="1" w:styleId="ab">
    <w:name w:val="电子邮件签名 字符"/>
    <w:link w:val="aa"/>
    <w:semiHidden/>
    <w:qFormat/>
    <w:rPr>
      <w:sz w:val="24"/>
    </w:rPr>
  </w:style>
  <w:style w:type="character" w:customStyle="1" w:styleId="aff3">
    <w:name w:val="尾注文本 字符"/>
    <w:basedOn w:val="a2"/>
    <w:link w:val="aff2"/>
    <w:semiHidden/>
    <w:qFormat/>
  </w:style>
  <w:style w:type="character" w:customStyle="1" w:styleId="aff7">
    <w:name w:val="页脚 字符"/>
    <w:link w:val="aff6"/>
    <w:uiPriority w:val="99"/>
    <w:qFormat/>
    <w:rPr>
      <w:sz w:val="24"/>
    </w:rPr>
  </w:style>
  <w:style w:type="character" w:customStyle="1" w:styleId="afff2">
    <w:name w:val="脚注文本 字符"/>
    <w:basedOn w:val="a2"/>
    <w:link w:val="afff1"/>
    <w:semiHidden/>
    <w:qFormat/>
  </w:style>
  <w:style w:type="character" w:customStyle="1" w:styleId="affa">
    <w:name w:val="页眉 字符"/>
    <w:link w:val="aff9"/>
    <w:uiPriority w:val="99"/>
    <w:qFormat/>
    <w:rPr>
      <w:sz w:val="24"/>
    </w:rPr>
  </w:style>
  <w:style w:type="character" w:customStyle="1" w:styleId="HTML0">
    <w:name w:val="HTML 地址 字符"/>
    <w:link w:val="HTML"/>
    <w:semiHidden/>
    <w:qFormat/>
    <w:rPr>
      <w:i/>
      <w:iCs/>
      <w:sz w:val="24"/>
    </w:rPr>
  </w:style>
  <w:style w:type="character" w:customStyle="1" w:styleId="HTML2">
    <w:name w:val="HTML 预设格式 字符"/>
    <w:link w:val="HTML1"/>
    <w:semiHidden/>
    <w:qFormat/>
    <w:rPr>
      <w:rFonts w:ascii="Courier New" w:hAnsi="Courier New" w:cs="Courier New"/>
    </w:rPr>
  </w:style>
  <w:style w:type="paragraph" w:styleId="affff2">
    <w:name w:val="Intense Quote"/>
    <w:basedOn w:val="a1"/>
    <w:next w:val="a1"/>
    <w:link w:val="affff3"/>
    <w:uiPriority w:val="30"/>
    <w:semiHidden/>
    <w:qFormat/>
    <w:pPr>
      <w:pBdr>
        <w:bottom w:val="single" w:sz="4" w:space="4" w:color="4F81BD"/>
      </w:pBdr>
      <w:spacing w:before="200" w:after="280"/>
      <w:ind w:left="936" w:right="936"/>
    </w:pPr>
    <w:rPr>
      <w:b/>
      <w:bCs/>
      <w:i/>
      <w:iCs/>
      <w:color w:val="4F81BD"/>
    </w:rPr>
  </w:style>
  <w:style w:type="character" w:customStyle="1" w:styleId="affff3">
    <w:name w:val="明显引用 字符"/>
    <w:link w:val="affff2"/>
    <w:uiPriority w:val="30"/>
    <w:semiHidden/>
    <w:rPr>
      <w:b/>
      <w:bCs/>
      <w:i/>
      <w:iCs/>
      <w:color w:val="4F81BD"/>
      <w:sz w:val="24"/>
    </w:rPr>
  </w:style>
  <w:style w:type="paragraph" w:styleId="affff4">
    <w:name w:val="List Paragraph"/>
    <w:basedOn w:val="a1"/>
    <w:uiPriority w:val="34"/>
    <w:semiHidden/>
    <w:qFormat/>
    <w:pPr>
      <w:ind w:left="720"/>
    </w:pPr>
  </w:style>
  <w:style w:type="character" w:customStyle="1" w:styleId="a6">
    <w:name w:val="宏文本 字符"/>
    <w:link w:val="a5"/>
    <w:semiHidden/>
    <w:rPr>
      <w:rFonts w:ascii="Courier New" w:hAnsi="Courier New" w:cs="Courier New"/>
      <w:lang w:val="en-US" w:eastAsia="en-US" w:bidi="ar-SA"/>
    </w:rPr>
  </w:style>
  <w:style w:type="character" w:customStyle="1" w:styleId="afff5">
    <w:name w:val="信息标题 字符"/>
    <w:link w:val="afff4"/>
    <w:semiHidden/>
    <w:rPr>
      <w:rFonts w:ascii="Cambria" w:hAnsi="Cambria"/>
      <w:sz w:val="24"/>
      <w:szCs w:val="24"/>
      <w:shd w:val="pct20" w:color="auto" w:fill="auto"/>
    </w:rPr>
  </w:style>
  <w:style w:type="paragraph" w:styleId="affff5">
    <w:name w:val="No Spacing"/>
    <w:uiPriority w:val="1"/>
    <w:semiHidden/>
    <w:qFormat/>
    <w:rPr>
      <w:sz w:val="24"/>
      <w:lang w:eastAsia="en-US"/>
    </w:rPr>
  </w:style>
  <w:style w:type="character" w:customStyle="1" w:styleId="a9">
    <w:name w:val="注释标题 字符"/>
    <w:link w:val="a8"/>
    <w:semiHidden/>
    <w:qFormat/>
    <w:rPr>
      <w:sz w:val="24"/>
    </w:rPr>
  </w:style>
  <w:style w:type="character" w:customStyle="1" w:styleId="aff">
    <w:name w:val="纯文本 字符"/>
    <w:link w:val="afe"/>
    <w:semiHidden/>
    <w:rPr>
      <w:rFonts w:ascii="Courier New" w:hAnsi="Courier New" w:cs="Courier New"/>
    </w:rPr>
  </w:style>
  <w:style w:type="paragraph" w:styleId="affff6">
    <w:name w:val="Quote"/>
    <w:basedOn w:val="a1"/>
    <w:next w:val="a1"/>
    <w:link w:val="affff7"/>
    <w:uiPriority w:val="29"/>
    <w:semiHidden/>
    <w:qFormat/>
    <w:rPr>
      <w:i/>
      <w:iCs/>
      <w:color w:val="000000"/>
    </w:rPr>
  </w:style>
  <w:style w:type="character" w:customStyle="1" w:styleId="affff7">
    <w:name w:val="引用 字符"/>
    <w:link w:val="affff6"/>
    <w:uiPriority w:val="29"/>
    <w:semiHidden/>
    <w:rPr>
      <w:i/>
      <w:iCs/>
      <w:color w:val="000000"/>
      <w:sz w:val="24"/>
    </w:rPr>
  </w:style>
  <w:style w:type="character" w:customStyle="1" w:styleId="af5">
    <w:name w:val="称呼 字符"/>
    <w:link w:val="af4"/>
    <w:semiHidden/>
    <w:qFormat/>
    <w:rPr>
      <w:sz w:val="24"/>
    </w:rPr>
  </w:style>
  <w:style w:type="character" w:customStyle="1" w:styleId="affc">
    <w:name w:val="签名 字符"/>
    <w:link w:val="affb"/>
    <w:semiHidden/>
    <w:qFormat/>
    <w:rPr>
      <w:sz w:val="24"/>
    </w:rPr>
  </w:style>
  <w:style w:type="character" w:customStyle="1" w:styleId="afff">
    <w:name w:val="副标题 字符"/>
    <w:link w:val="affe"/>
    <w:semiHidden/>
    <w:qFormat/>
    <w:rPr>
      <w:rFonts w:ascii="Cambria" w:hAnsi="Cambria"/>
      <w:sz w:val="24"/>
      <w:szCs w:val="24"/>
    </w:rPr>
  </w:style>
  <w:style w:type="character" w:customStyle="1" w:styleId="afff8">
    <w:name w:val="标题 字符"/>
    <w:link w:val="afff7"/>
    <w:semiHidden/>
    <w:qFormat/>
    <w:rPr>
      <w:rFonts w:ascii="Cambria" w:hAnsi="Cambria"/>
      <w:b/>
      <w:bCs/>
      <w:kern w:val="28"/>
      <w:sz w:val="32"/>
      <w:szCs w:val="32"/>
    </w:rPr>
  </w:style>
  <w:style w:type="paragraph" w:customStyle="1" w:styleId="TOC10">
    <w:name w:val="TOC 标题1"/>
    <w:basedOn w:val="1"/>
    <w:next w:val="a1"/>
    <w:uiPriority w:val="39"/>
    <w:semiHidden/>
    <w:unhideWhenUsed/>
    <w:qFormat/>
    <w:pPr>
      <w:outlineLvl w:val="9"/>
    </w:pPr>
    <w:rPr>
      <w:rFonts w:ascii="Cambria" w:hAnsi="Cambria"/>
      <w:sz w:val="32"/>
      <w:szCs w:val="32"/>
    </w:rPr>
  </w:style>
  <w:style w:type="character" w:customStyle="1" w:styleId="13">
    <w:name w:val="未处理的提及1"/>
    <w:basedOn w:val="a2"/>
    <w:uiPriority w:val="99"/>
    <w:semiHidden/>
    <w:unhideWhenUsed/>
    <w:qFormat/>
    <w:rPr>
      <w:color w:val="808080"/>
      <w:shd w:val="clear" w:color="auto" w:fill="E6E6E6"/>
    </w:rPr>
  </w:style>
  <w:style w:type="paragraph" w:customStyle="1" w:styleId="PubInfo">
    <w:name w:val="PubInfo"/>
    <w:basedOn w:val="a1"/>
    <w:qFormat/>
    <w:pPr>
      <w:suppressAutoHyphens/>
      <w:jc w:val="center"/>
    </w:pPr>
    <w:rPr>
      <w:sz w:val="20"/>
      <w:lang w:eastAsia="ar-SA"/>
    </w:rPr>
  </w:style>
  <w:style w:type="paragraph" w:customStyle="1" w:styleId="DoiInfo">
    <w:name w:val="DoiInfo"/>
    <w:basedOn w:val="a1"/>
    <w:qFormat/>
    <w:pPr>
      <w:suppressAutoHyphens/>
      <w:jc w:val="center"/>
    </w:pPr>
    <w:rPr>
      <w:sz w:val="20"/>
      <w:lang w:eastAsia="ar-SA"/>
    </w:rPr>
  </w:style>
  <w:style w:type="table" w:customStyle="1" w:styleId="210">
    <w:name w:val="无格式表格 21"/>
    <w:basedOn w:val="a3"/>
    <w:uiPriority w:val="42"/>
    <w:rPr>
      <w:rFonts w:asciiTheme="minorHAnsi" w:hAnsiTheme="minorHAnsi" w:cstheme="minorBidi"/>
      <w:kern w:val="2"/>
      <w:sz w:val="21"/>
      <w:szCs w:val="22"/>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11">
    <w:name w:val="清单表 21"/>
    <w:basedOn w:val="a3"/>
    <w:uiPriority w:val="47"/>
    <w:rPr>
      <w:rFonts w:asciiTheme="minorHAnsi" w:hAnsiTheme="minorHAnsi" w:cstheme="minorBidi"/>
      <w:kern w:val="2"/>
      <w:sz w:val="21"/>
      <w:szCs w:val="22"/>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1583</Words>
  <Characters>3119</Characters>
  <Application>Microsoft Office Word</Application>
  <DocSecurity>0</DocSecurity>
  <Lines>148</Lines>
  <Paragraphs>117</Paragraphs>
  <ScaleCrop>false</ScaleCrop>
  <Company>AAAS</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志康 胡</cp:lastModifiedBy>
  <cp:revision>2</cp:revision>
  <cp:lastPrinted>2018-01-11T19:53:00Z</cp:lastPrinted>
  <dcterms:created xsi:type="dcterms:W3CDTF">2024-02-18T15:19:00Z</dcterms:created>
  <dcterms:modified xsi:type="dcterms:W3CDTF">2024-02-18T15:19:00Z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KSOProductBuildVer">
    <vt:lpwstr>2052-12.1.0.15990</vt:lpwstr>
  </property>
  <property fmtid="{D5CDD505-2E9C-101B-9397-08002B2CF9AE}" pid="4" name="ICV">
    <vt:lpwstr>A305C348614F4168897AB79A89D4055F</vt:lpwstr>
  </property>
</Properties>
</file>