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b/>
          <w:bCs/>
          <w:sz w:val="28"/>
          <w:szCs w:val="28"/>
        </w:rPr>
        <w:t>Supplementary Results</w:t>
      </w:r>
    </w:p>
    <w:p>
      <w:pPr>
        <w:pStyle w:val="Normal"/>
        <w:rPr>
          <w:b/>
          <w:bCs/>
        </w:rPr>
      </w:pPr>
      <w:r>
        <w:rPr>
          <w:b/>
          <w:bCs/>
        </w:rPr>
      </w:r>
    </w:p>
    <w:p>
      <w:pPr>
        <w:pStyle w:val="Normal"/>
        <w:rPr>
          <w:b/>
          <w:bCs/>
        </w:rPr>
      </w:pPr>
      <w:r>
        <w:rPr>
          <w:b/>
          <w:bCs/>
        </w:rPr>
      </w:r>
    </w:p>
    <w:p>
      <w:pPr>
        <w:pStyle w:val="Normal"/>
        <w:rPr>
          <w:b/>
          <w:bCs/>
        </w:rPr>
      </w:pPr>
      <w:r>
        <w:rPr>
          <w:b/>
          <w:bCs/>
        </w:rPr>
      </w:r>
    </w:p>
    <w:p>
      <w:pPr>
        <w:pStyle w:val="Normal"/>
        <w:rPr/>
      </w:pPr>
      <w:r>
        <w:rPr>
          <w:b/>
          <w:bCs/>
        </w:rPr>
        <w:t>Structural and regulatory non-coding elements:</w:t>
      </w:r>
      <w:r>
        <w:rPr/>
        <w:t xml:space="preserve"> Extensive analysis to identify and annotate putative structural and regulatory non-coding elements in the </w:t>
      </w:r>
      <w:r>
        <w:rPr>
          <w:i/>
          <w:iCs/>
        </w:rPr>
        <w:t>I. ricinus</w:t>
      </w:r>
      <w:r>
        <w:rPr/>
        <w:t xml:space="preserve"> genome revealed a total of 21,792 non-coding RNAs (ncRNAs) and cis-regulatory elements, including small nuclear RNAs, small nucleolar RNAs, ribosomal RNAs, long non-coding RNAs (lncRNAs), transfer RNAs, microRNAs, ribozymes or riboswitches, among others (</w:t>
      </w:r>
      <w:r>
        <w:rPr>
          <w:color w:val="000000"/>
        </w:rPr>
        <w:t xml:space="preserve">Additional </w:t>
      </w:r>
      <w:r>
        <w:rPr>
          <w:color w:val="000000"/>
        </w:rPr>
        <w:t>F</w:t>
      </w:r>
      <w:r>
        <w:rPr>
          <w:color w:val="000000"/>
        </w:rPr>
        <w:t xml:space="preserve">ile </w:t>
      </w:r>
      <w:r>
        <w:rPr>
          <w:color w:val="000000"/>
        </w:rPr>
        <w:t>1</w:t>
      </w:r>
      <w:r>
        <w:rPr>
          <w:color w:val="000000"/>
        </w:rPr>
        <w:t>:</w:t>
      </w:r>
      <w:r>
        <w:rPr/>
        <w:t xml:space="preserve"> Table S24). Annotating the lncRNAs was difficult due to the paucity of information on lncRNAs in the species studied here and the lack of previous complete annotation of lncRNAs in </w:t>
      </w:r>
      <w:r>
        <w:rPr>
          <w:i/>
          <w:iCs/>
        </w:rPr>
        <w:t>I. ricinus</w:t>
      </w:r>
      <w:r>
        <w:rPr/>
        <w:t xml:space="preserve">. To accurately annotate the lncRNAs, we used a published lncRNA dataset that included both putative and consensus lncRNAs for I. ricinus (Medina, Abbas, et al. 2022) (Medina et al. 2022). Consensus lncRNAs from this dataset were considered as high-confidence annotations. Before aligning the putative lncRNAs to our </w:t>
      </w:r>
      <w:r>
        <w:rPr>
          <w:i/>
          <w:iCs/>
        </w:rPr>
        <w:t>I. ricinus</w:t>
      </w:r>
      <w:r>
        <w:rPr/>
        <w:t xml:space="preserve"> genome, we confirmed their non-coding properties. We identified 13,287 lncRNAs with alignment scores above 90, indicating significant matches with the genome. To ensure the reliability of our results, we deleted 2,591 lncRNAs that showed overlap with coding RNAs. As a result, we annotated a total of 10,696 lncRNAs in the </w:t>
      </w:r>
      <w:r>
        <w:rPr>
          <w:i/>
          <w:iCs/>
        </w:rPr>
        <w:t xml:space="preserve">I. ricinus </w:t>
      </w:r>
      <w:r>
        <w:rPr/>
        <w:t xml:space="preserve">genome, of which 2,433 were classified as high confidence lncRNAs. Our annotation and characterization of ncRNAs and cis-regulatory elements in the </w:t>
      </w:r>
      <w:r>
        <w:rPr>
          <w:i/>
          <w:iCs/>
        </w:rPr>
        <w:t xml:space="preserve">I. ricinus </w:t>
      </w:r>
      <w:r>
        <w:rPr/>
        <w:t>genome therefore contributes to a comprehensive view of the structural and regulatory non-coding elements of this species.</w:t>
      </w:r>
    </w:p>
    <w:p>
      <w:pPr>
        <w:pStyle w:val="Normal"/>
        <w:rPr>
          <w:highlight w:val="yellow"/>
        </w:rPr>
      </w:pPr>
      <w:r>
        <w:rPr>
          <w:highlight w:val="yellow"/>
        </w:rPr>
      </w:r>
    </w:p>
    <w:p>
      <w:pPr>
        <w:pStyle w:val="Normal"/>
        <w:rPr/>
      </w:pPr>
      <w:r>
        <w:rPr/>
      </w:r>
    </w:p>
    <w:p>
      <w:pPr>
        <w:pStyle w:val="Normal"/>
        <w:rPr/>
      </w:pPr>
      <w:r>
        <w:rPr/>
      </w:r>
    </w:p>
    <w:p>
      <w:pPr>
        <w:pStyle w:val="Normal"/>
        <w:rPr/>
      </w:pPr>
      <w:r>
        <w:rPr>
          <w:b/>
          <w:bCs/>
        </w:rPr>
        <w:t xml:space="preserve">Neuropeptides in the I. ricinus genome: </w:t>
      </w:r>
      <w:r>
        <w:rPr/>
        <w:t xml:space="preserve">A total of 41 different orthologs of invertebrate neuropeptide genes were found in the </w:t>
      </w:r>
      <w:r>
        <w:rPr>
          <w:i/>
          <w:iCs/>
        </w:rPr>
        <w:t>I. ricinus</w:t>
      </w:r>
      <w:r>
        <w:rPr/>
        <w:t xml:space="preserve"> genome (</w:t>
      </w:r>
      <w:r>
        <w:rPr>
          <w:color w:val="000000"/>
        </w:rPr>
        <w:t xml:space="preserve">Additional </w:t>
      </w:r>
      <w:r>
        <w:rPr>
          <w:color w:val="000000"/>
        </w:rPr>
        <w:t>F</w:t>
      </w:r>
      <w:r>
        <w:rPr>
          <w:color w:val="000000"/>
        </w:rPr>
        <w:t xml:space="preserve">ile </w:t>
      </w:r>
      <w:r>
        <w:rPr>
          <w:color w:val="000000"/>
        </w:rPr>
        <w:t>1</w:t>
      </w:r>
      <w:r>
        <w:rPr>
          <w:color w:val="000000"/>
        </w:rPr>
        <w:t>:</w:t>
      </w:r>
      <w:r>
        <w:rPr/>
        <w:t xml:space="preserve"> Table S25). Including protein isoforms, 45 neuropeptide precursors contain more than 100 active peptide forms (</w:t>
      </w:r>
      <w:r>
        <w:rPr>
          <w:color w:val="000000"/>
        </w:rPr>
        <w:t xml:space="preserve">Additional </w:t>
      </w:r>
      <w:r>
        <w:rPr>
          <w:color w:val="000000"/>
        </w:rPr>
        <w:t>F</w:t>
      </w:r>
      <w:r>
        <w:rPr>
          <w:color w:val="000000"/>
        </w:rPr>
        <w:t xml:space="preserve">ile </w:t>
      </w:r>
      <w:r>
        <w:rPr>
          <w:color w:val="000000"/>
        </w:rPr>
        <w:t>2</w:t>
      </w:r>
      <w:r>
        <w:rPr>
          <w:color w:val="000000"/>
        </w:rPr>
        <w:t>:</w:t>
      </w:r>
      <w:r>
        <w:rPr/>
        <w:t xml:space="preserve"> Fig. S12). Most of the neuropeptides identified in </w:t>
      </w:r>
      <w:r>
        <w:rPr>
          <w:i/>
          <w:iCs/>
        </w:rPr>
        <w:t xml:space="preserve">I. ricinus </w:t>
      </w:r>
      <w:r>
        <w:rPr/>
        <w:t xml:space="preserve">have clear counterparts in other hard tick species (Donohue et al. 2010; Waldman et al. 2022), whereas agotoxin-like peptide and IDLSRF-like peptide were identified for the first time in ticks in the current study. Interestingly, the precursors of ecdysis triggering hormone, which occurs in the tick </w:t>
      </w:r>
      <w:r>
        <w:rPr>
          <w:i/>
          <w:iCs/>
        </w:rPr>
        <w:t xml:space="preserve">Rhipicephalus microplus </w:t>
      </w:r>
      <w:r>
        <w:rPr/>
        <w:t xml:space="preserve">(Waldman et al. 2022) and neuropeptide F found in some hard ticks were not detected in the genome of </w:t>
      </w:r>
      <w:r>
        <w:rPr>
          <w:i/>
          <w:iCs/>
        </w:rPr>
        <w:t>I. ricinus</w:t>
      </w:r>
      <w:r>
        <w:rPr/>
        <w:t>. Similarly, the pigment dispersing factor (PDF), which is common in insects and some Chelicerata, was not identified.</w:t>
      </w:r>
    </w:p>
    <w:p>
      <w:pPr>
        <w:pStyle w:val="Normal"/>
        <w:rPr/>
      </w:pPr>
      <w:r>
        <w:rPr/>
      </w:r>
    </w:p>
    <w:p>
      <w:pPr>
        <w:pStyle w:val="Heading3"/>
        <w:ind w:hanging="0" w:left="0"/>
        <w:rPr/>
      </w:pPr>
      <w:r>
        <w:rPr>
          <w:rFonts w:ascii="Liberation Serif" w:hAnsi="Liberation Serif"/>
          <w:sz w:val="24"/>
          <w:szCs w:val="24"/>
        </w:rPr>
        <w:t xml:space="preserve">Metallopeptidases: </w:t>
      </w:r>
      <w:r>
        <w:rPr>
          <w:rFonts w:ascii="Liberation Serif" w:hAnsi="Liberation Serif"/>
          <w:b w:val="false"/>
          <w:bCs w:val="false"/>
          <w:color w:val="000000"/>
          <w:sz w:val="24"/>
          <w:szCs w:val="24"/>
        </w:rPr>
        <w:t xml:space="preserve">The M13 metalloproteases are ubiquitous in bacteria and animals, indicating their evolutionary significance. Mammalian M13 metalloproteases, exemplified by neprilysin, consist of a short N-terminal cytoplasmic domain, a single transmembrane helix, and a larger C-terminal extracellular domain containing the active site. Invertebrate M13 metalloproteases include transmembrane proteins, and secreted soluble proteins (Meyer et al. 2021). Some invertebrate genomes have expanded gene copies for M13 metalloproteases, but most of them are secreted and catalytically inactive (Meyer et al. 2021; Bland et al. 2008). The M13 gene family (FAM000666 according to clustering with SiLix) was identified as significantly expanded in both the common ancestor of </w:t>
      </w:r>
      <w:r>
        <w:rPr>
          <w:rFonts w:eastAsia="Arial" w:cs="Calibri" w:ascii="Liberation Serif" w:hAnsi="Liberation Serif"/>
          <w:b w:val="false"/>
          <w:bCs w:val="false"/>
          <w:color w:val="000000"/>
          <w:kern w:val="0"/>
          <w:sz w:val="24"/>
          <w:szCs w:val="24"/>
          <w:lang w:val="en-GB" w:eastAsia="en-GB" w:bidi="ar-SA"/>
        </w:rPr>
        <w:t>hard</w:t>
      </w:r>
      <w:r>
        <w:rPr>
          <w:rFonts w:ascii="Liberation Serif" w:hAnsi="Liberation Serif"/>
          <w:b w:val="false"/>
          <w:bCs w:val="false"/>
          <w:color w:val="000000"/>
          <w:sz w:val="24"/>
          <w:szCs w:val="24"/>
        </w:rPr>
        <w:t xml:space="preserve"> ticks, and in the common ancestor of the Metastriata. The genes display both diverse exon arrangements (Additional </w:t>
      </w:r>
      <w:r>
        <w:rPr>
          <w:rFonts w:ascii="Liberation Serif" w:hAnsi="Liberation Serif"/>
          <w:b w:val="false"/>
          <w:bCs w:val="false"/>
          <w:color w:val="000000"/>
          <w:sz w:val="24"/>
          <w:szCs w:val="24"/>
        </w:rPr>
        <w:t>F</w:t>
      </w:r>
      <w:r>
        <w:rPr>
          <w:rFonts w:ascii="Liberation Serif" w:hAnsi="Liberation Serif"/>
          <w:b w:val="false"/>
          <w:bCs w:val="false"/>
          <w:color w:val="000000"/>
          <w:sz w:val="24"/>
          <w:szCs w:val="24"/>
        </w:rPr>
        <w:t xml:space="preserve">ile </w:t>
      </w:r>
      <w:r>
        <w:rPr>
          <w:rFonts w:ascii="Liberation Serif" w:hAnsi="Liberation Serif"/>
          <w:b w:val="false"/>
          <w:bCs w:val="false"/>
          <w:color w:val="000000"/>
          <w:sz w:val="24"/>
          <w:szCs w:val="24"/>
        </w:rPr>
        <w:t>2</w:t>
      </w:r>
      <w:r>
        <w:rPr>
          <w:rFonts w:ascii="Liberation Serif" w:hAnsi="Liberation Serif"/>
          <w:b w:val="false"/>
          <w:bCs w:val="false"/>
          <w:color w:val="000000"/>
          <w:sz w:val="24"/>
          <w:szCs w:val="24"/>
        </w:rPr>
        <w:t>:</w:t>
      </w:r>
      <w:hyperlink w:anchor="3zu9gqzcik61" w:tgtFrame="#3zu9gqzcik61">
        <w:r>
          <w:rPr>
            <w:rStyle w:val="ListLabel1"/>
            <w:rFonts w:ascii="Liberation Serif" w:hAnsi="Liberation Serif"/>
            <w:b w:val="false"/>
            <w:bCs w:val="false"/>
            <w:color w:val="000000"/>
            <w:sz w:val="24"/>
            <w:szCs w:val="24"/>
          </w:rPr>
          <w:t xml:space="preserve"> Fig. S</w:t>
        </w:r>
      </w:hyperlink>
      <w:r>
        <w:rPr>
          <w:rFonts w:ascii="Liberation Serif" w:hAnsi="Liberation Serif"/>
          <w:b w:val="false"/>
          <w:bCs w:val="false"/>
          <w:color w:val="000000"/>
          <w:sz w:val="24"/>
          <w:szCs w:val="24"/>
        </w:rPr>
        <w:t xml:space="preserve">13) and varied expression patterns; most of the multi-exonic genes are expressed in salivary glands or synganglia, whereas most of the mono-exonic genes are transcribed in tick ovaries (Additional </w:t>
      </w:r>
      <w:r>
        <w:rPr>
          <w:rFonts w:ascii="Liberation Serif" w:hAnsi="Liberation Serif"/>
          <w:b w:val="false"/>
          <w:bCs w:val="false"/>
          <w:color w:val="000000"/>
          <w:sz w:val="24"/>
          <w:szCs w:val="24"/>
        </w:rPr>
        <w:t>F</w:t>
      </w:r>
      <w:r>
        <w:rPr>
          <w:rFonts w:ascii="Liberation Serif" w:hAnsi="Liberation Serif"/>
          <w:b w:val="false"/>
          <w:bCs w:val="false"/>
          <w:color w:val="000000"/>
          <w:sz w:val="24"/>
          <w:szCs w:val="24"/>
        </w:rPr>
        <w:t xml:space="preserve">ile </w:t>
      </w:r>
      <w:r>
        <w:rPr>
          <w:rFonts w:ascii="Liberation Serif" w:hAnsi="Liberation Serif"/>
          <w:b w:val="false"/>
          <w:bCs w:val="false"/>
          <w:color w:val="000000"/>
          <w:sz w:val="24"/>
          <w:szCs w:val="24"/>
        </w:rPr>
        <w:t>2</w:t>
      </w:r>
      <w:r>
        <w:rPr>
          <w:rFonts w:ascii="Liberation Serif" w:hAnsi="Liberation Serif"/>
          <w:b w:val="false"/>
          <w:bCs w:val="false"/>
          <w:color w:val="000000"/>
          <w:sz w:val="24"/>
          <w:szCs w:val="24"/>
        </w:rPr>
        <w:t xml:space="preserve">: </w:t>
      </w:r>
      <w:hyperlink w:anchor="3zu9gqzcik61" w:tgtFrame="#3zu9gqzcik61">
        <w:r>
          <w:rPr>
            <w:rStyle w:val="ListLabel1"/>
            <w:rFonts w:ascii="Liberation Serif" w:hAnsi="Liberation Serif"/>
            <w:b w:val="false"/>
            <w:bCs w:val="false"/>
            <w:color w:val="000000"/>
            <w:sz w:val="24"/>
            <w:szCs w:val="24"/>
          </w:rPr>
          <w:t>Fig. S</w:t>
        </w:r>
      </w:hyperlink>
      <w:r>
        <w:rPr>
          <w:rFonts w:ascii="Liberation Serif" w:hAnsi="Liberation Serif"/>
          <w:b w:val="false"/>
          <w:bCs w:val="false"/>
          <w:color w:val="000000"/>
          <w:sz w:val="24"/>
          <w:szCs w:val="24"/>
        </w:rPr>
        <w:t>13). To predict conservation of protein functions, we searched for protein motifs known to be important for zinc ion binding (HExxH), protein folding (CxxW), and substrate binding (NA(F/K)Y) (Meyer et al. 2021) and found varied combinations of conserved/substituted residues (see Discussion).</w:t>
      </w:r>
    </w:p>
    <w:p>
      <w:pPr>
        <w:pStyle w:val="Normal"/>
        <w:rPr>
          <w:rFonts w:ascii="Liberation Serif" w:hAnsi="Liberation Serif"/>
          <w:b w:val="false"/>
          <w:bCs w:val="false"/>
          <w:color w:val="000000"/>
          <w:sz w:val="24"/>
          <w:szCs w:val="24"/>
        </w:rPr>
      </w:pPr>
      <w:r>
        <w:rPr>
          <w:b w:val="false"/>
          <w:bCs w:val="false"/>
          <w:color w:val="000000"/>
          <w:sz w:val="24"/>
          <w:szCs w:val="24"/>
        </w:rPr>
      </w:r>
    </w:p>
    <w:p>
      <w:pPr>
        <w:pStyle w:val="Normal"/>
        <w:rPr/>
      </w:pPr>
      <w:r>
        <w:rPr>
          <w:b/>
          <w:bCs/>
          <w:color w:val="000000"/>
          <w:sz w:val="24"/>
          <w:szCs w:val="24"/>
        </w:rPr>
        <w:t>Kunitz-domain proteins:</w:t>
      </w:r>
      <w:r>
        <w:rPr>
          <w:b w:val="false"/>
          <w:bCs w:val="false"/>
          <w:color w:val="000000"/>
          <w:sz w:val="24"/>
          <w:szCs w:val="24"/>
        </w:rPr>
        <w:t xml:space="preserve"> Tick Kunitz-domain proteins constitute a major group of serine protease inhibitors that function in blood feeding (Jmel et al. 2023). Kunitz-type inhibitors are divided into subgroups based on the number of Kunitz domains, which varies from one to five and defines the monolaris, bilaris, trilaris, tetralaris and penthalaris groups, respectively. The numbers of Kunitz-type inhibitors in each category were quite variable, even among closely related species within the genus </w:t>
      </w:r>
      <w:r>
        <w:rPr>
          <w:b w:val="false"/>
          <w:bCs w:val="false"/>
          <w:i/>
          <w:iCs/>
          <w:color w:val="000000"/>
          <w:sz w:val="24"/>
          <w:szCs w:val="24"/>
        </w:rPr>
        <w:t>Ixodes</w:t>
      </w:r>
      <w:r>
        <w:rPr>
          <w:b w:val="false"/>
          <w:bCs w:val="false"/>
          <w:color w:val="000000"/>
          <w:sz w:val="24"/>
          <w:szCs w:val="24"/>
        </w:rPr>
        <w:t xml:space="preserve"> (Additional </w:t>
      </w:r>
      <w:r>
        <w:rPr>
          <w:b w:val="false"/>
          <w:bCs w:val="false"/>
          <w:color w:val="000000"/>
          <w:sz w:val="24"/>
          <w:szCs w:val="24"/>
        </w:rPr>
        <w:t>F</w:t>
      </w:r>
      <w:r>
        <w:rPr>
          <w:b w:val="false"/>
          <w:bCs w:val="false"/>
          <w:color w:val="000000"/>
          <w:sz w:val="24"/>
          <w:szCs w:val="24"/>
        </w:rPr>
        <w:t xml:space="preserve">ile </w:t>
      </w:r>
      <w:r>
        <w:rPr>
          <w:b w:val="false"/>
          <w:bCs w:val="false"/>
          <w:color w:val="000000"/>
          <w:sz w:val="24"/>
          <w:szCs w:val="24"/>
        </w:rPr>
        <w:t>1</w:t>
      </w:r>
      <w:r>
        <w:rPr>
          <w:b w:val="false"/>
          <w:bCs w:val="false"/>
          <w:color w:val="000000"/>
          <w:sz w:val="24"/>
          <w:szCs w:val="24"/>
        </w:rPr>
        <w:t xml:space="preserve">: Table S26A and B). The most and least abundant categories were the monolaris and trilaris, respectively. Several species-specific expansion events in the monolaris family (Additional </w:t>
      </w:r>
      <w:r>
        <w:rPr>
          <w:b w:val="false"/>
          <w:bCs w:val="false"/>
          <w:color w:val="000000"/>
          <w:sz w:val="24"/>
          <w:szCs w:val="24"/>
        </w:rPr>
        <w:t>F</w:t>
      </w:r>
      <w:r>
        <w:rPr>
          <w:b w:val="false"/>
          <w:bCs w:val="false"/>
          <w:color w:val="000000"/>
          <w:sz w:val="24"/>
          <w:szCs w:val="24"/>
        </w:rPr>
        <w:t xml:space="preserve">ile </w:t>
      </w:r>
      <w:r>
        <w:rPr>
          <w:b w:val="false"/>
          <w:bCs w:val="false"/>
          <w:color w:val="000000"/>
          <w:sz w:val="24"/>
          <w:szCs w:val="24"/>
        </w:rPr>
        <w:t>2</w:t>
      </w:r>
      <w:r>
        <w:rPr>
          <w:b w:val="false"/>
          <w:bCs w:val="false"/>
          <w:color w:val="000000"/>
          <w:sz w:val="24"/>
          <w:szCs w:val="24"/>
        </w:rPr>
        <w:t>: Fig. S14A) were observed in the genomes of</w:t>
      </w:r>
      <w:r>
        <w:rPr>
          <w:b w:val="false"/>
          <w:bCs w:val="false"/>
          <w:i/>
          <w:iCs/>
          <w:color w:val="000000"/>
          <w:sz w:val="24"/>
          <w:szCs w:val="24"/>
        </w:rPr>
        <w:t xml:space="preserve"> I. scapularis</w:t>
      </w:r>
      <w:r>
        <w:rPr>
          <w:b w:val="false"/>
          <w:bCs w:val="false"/>
          <w:color w:val="000000"/>
          <w:sz w:val="24"/>
          <w:szCs w:val="24"/>
        </w:rPr>
        <w:t xml:space="preserve"> and </w:t>
      </w:r>
      <w:r>
        <w:rPr>
          <w:b w:val="false"/>
          <w:bCs w:val="false"/>
          <w:i/>
          <w:iCs/>
          <w:color w:val="000000"/>
          <w:sz w:val="24"/>
          <w:szCs w:val="24"/>
        </w:rPr>
        <w:t>I. ricinus</w:t>
      </w:r>
      <w:r>
        <w:rPr>
          <w:b w:val="false"/>
          <w:bCs w:val="false"/>
          <w:color w:val="000000"/>
          <w:sz w:val="24"/>
          <w:szCs w:val="24"/>
        </w:rPr>
        <w:t xml:space="preserve">, and to a lesser extent in the other species. The bilaris family, which is the second most abundant group, and includes two well-studied genes Boophilin and Ixolaris, showed few species-specific expansions (Additional </w:t>
      </w:r>
      <w:r>
        <w:rPr>
          <w:b w:val="false"/>
          <w:bCs w:val="false"/>
          <w:color w:val="000000"/>
          <w:sz w:val="24"/>
          <w:szCs w:val="24"/>
        </w:rPr>
        <w:t>F</w:t>
      </w:r>
      <w:r>
        <w:rPr>
          <w:b w:val="false"/>
          <w:bCs w:val="false"/>
          <w:color w:val="000000"/>
          <w:sz w:val="24"/>
          <w:szCs w:val="24"/>
        </w:rPr>
        <w:t xml:space="preserve">ile </w:t>
      </w:r>
      <w:r>
        <w:rPr>
          <w:b w:val="false"/>
          <w:bCs w:val="false"/>
          <w:color w:val="000000"/>
          <w:sz w:val="24"/>
          <w:szCs w:val="24"/>
        </w:rPr>
        <w:t>2</w:t>
      </w:r>
      <w:r>
        <w:rPr>
          <w:b w:val="false"/>
          <w:bCs w:val="false"/>
          <w:color w:val="000000"/>
          <w:sz w:val="24"/>
          <w:szCs w:val="24"/>
        </w:rPr>
        <w:t xml:space="preserve">: Fig. S14B), with the exception of an expansion of Ixolaris-like genes in </w:t>
      </w:r>
      <w:r>
        <w:rPr>
          <w:b w:val="false"/>
          <w:bCs w:val="false"/>
          <w:i/>
          <w:iCs/>
          <w:color w:val="000000"/>
          <w:sz w:val="24"/>
          <w:szCs w:val="24"/>
        </w:rPr>
        <w:t>I. scapularis</w:t>
      </w:r>
      <w:r>
        <w:rPr>
          <w:b w:val="false"/>
          <w:bCs w:val="false"/>
          <w:color w:val="000000"/>
          <w:sz w:val="24"/>
          <w:szCs w:val="24"/>
        </w:rPr>
        <w:t xml:space="preserve">. Ixolaris has been characterized as a tick salivary anticoagulant localized at the tick-host interface (Francischetti et al. 2002; Nazareth et al. 2006; De Paula et al. 2019), and our phylogeny indicates that </w:t>
      </w:r>
      <w:r>
        <w:rPr>
          <w:b w:val="false"/>
          <w:bCs w:val="false"/>
          <w:i/>
          <w:iCs/>
          <w:color w:val="000000"/>
          <w:sz w:val="24"/>
          <w:szCs w:val="24"/>
        </w:rPr>
        <w:t>I. scapularis</w:t>
      </w:r>
      <w:r>
        <w:rPr>
          <w:b w:val="false"/>
          <w:bCs w:val="false"/>
          <w:color w:val="000000"/>
          <w:sz w:val="24"/>
          <w:szCs w:val="24"/>
        </w:rPr>
        <w:t xml:space="preserve"> has five similar gene copies in its genome. Phylogenies for the trilaris, tetralaris, and penthalaris groups are available in Additional </w:t>
      </w:r>
      <w:r>
        <w:rPr>
          <w:b w:val="false"/>
          <w:bCs w:val="false"/>
          <w:color w:val="000000"/>
          <w:sz w:val="24"/>
          <w:szCs w:val="24"/>
        </w:rPr>
        <w:t>F</w:t>
      </w:r>
      <w:r>
        <w:rPr>
          <w:b w:val="false"/>
          <w:bCs w:val="false"/>
          <w:color w:val="000000"/>
          <w:sz w:val="24"/>
          <w:szCs w:val="24"/>
        </w:rPr>
        <w:t xml:space="preserve">ile </w:t>
      </w:r>
      <w:r>
        <w:rPr>
          <w:b w:val="false"/>
          <w:bCs w:val="false"/>
          <w:color w:val="000000"/>
          <w:sz w:val="24"/>
          <w:szCs w:val="24"/>
        </w:rPr>
        <w:t>2</w:t>
      </w:r>
      <w:r>
        <w:rPr>
          <w:b w:val="false"/>
          <w:bCs w:val="false"/>
          <w:color w:val="000000"/>
          <w:sz w:val="24"/>
          <w:szCs w:val="24"/>
        </w:rPr>
        <w:t>: Fig. S14 C-D-E). By contrast with other gene groups analyzed in this study, determining groups of orthologs for Kunitz-domain proteins within the genus Ixodes was difficult, due to a patchy representation of arthropod species in each gene family, and unequal patterns of gene duplication. This could be explained by highly dynamic evolution of this gene family, and high sequence divergence. Alternatively, incomplete annotation in the different arthropod species could also be a factor, given the structure of these genes; most sequences (especially in the monolaris group) are short with ~80 residues and have a typical 4-exon structure with some of the exons being very short). For the three species that were not manually curated in our study or for other tick species, annotation might not be complete and correct. Finally, we note that the automatic clustering by SiLiX assigned most of the Kunitz peptides from the five groups into a single family (FAM000015), which significantly expanded in Ixodes ticks, but not in their common ancestor. In summary, Kunitz-domain proteins exhibit dynamic evolution in ticks and other groups in the Chelicerata.</w:t>
      </w:r>
    </w:p>
    <w:p>
      <w:pPr>
        <w:pStyle w:val="Normal"/>
        <w:rPr>
          <w:color w:val="000000"/>
        </w:rPr>
      </w:pPr>
      <w:r>
        <w:rPr>
          <w:color w:val="000000"/>
        </w:rPr>
      </w:r>
    </w:p>
    <w:p>
      <w:pPr>
        <w:pStyle w:val="Normal"/>
        <w:rPr/>
      </w:pPr>
      <w:r>
        <w:rPr>
          <w:b/>
          <w:bCs/>
        </w:rPr>
        <w:t>Cytochrome P450s:</w:t>
      </w:r>
      <w:r>
        <w:rPr/>
        <w:t xml:space="preserve"> A total of 194 CYP genes were identified in I. ricinus, including 131 complete open reading frames (ORFs). The IricCYPs were all named following the Nelson nomenclature (Dr D. Nelson, University of Tennessee Health Science Center, Memphis). The number of IricCYPs and their distribution into five clans is similar to that of </w:t>
      </w:r>
      <w:r>
        <w:rPr>
          <w:i/>
          <w:iCs/>
        </w:rPr>
        <w:t>I. scapularis</w:t>
      </w:r>
      <w:r>
        <w:rPr/>
        <w:t xml:space="preserve"> (Dermauw et al. 2020), in line with the fact that many of the genes are one-to-one orthologs in both species (</w:t>
      </w:r>
      <w:r>
        <w:rPr>
          <w:color w:val="000000"/>
        </w:rPr>
        <w:t xml:space="preserve">Additional </w:t>
      </w:r>
      <w:r>
        <w:rPr>
          <w:color w:val="000000"/>
        </w:rPr>
        <w:t>F</w:t>
      </w:r>
      <w:r>
        <w:rPr>
          <w:color w:val="000000"/>
        </w:rPr>
        <w:t xml:space="preserve">ile </w:t>
      </w:r>
      <w:r>
        <w:rPr>
          <w:color w:val="000000"/>
        </w:rPr>
        <w:t>2</w:t>
      </w:r>
      <w:r>
        <w:rPr>
          <w:color w:val="000000"/>
        </w:rPr>
        <w:t>:</w:t>
      </w:r>
      <w:r>
        <w:rPr/>
        <w:t xml:space="preserve"> Fig. S15). Three members of the mitochondrial clan (CYP302A, CYP314A and CYP315A) involved in ecdysteroid biosynthesis have orthologs in mites and ticks as well as in insects and crustaceans (Dermauw et al. 2020). In mites and ticks, clan 2 genes have been implicated in pesticide detoxification, especially when expressed in the midgut (De Rouck et al. 2023). In</w:t>
      </w:r>
      <w:r>
        <w:rPr>
          <w:i/>
          <w:iCs/>
        </w:rPr>
        <w:t xml:space="preserve"> I. ricinus</w:t>
      </w:r>
      <w:r>
        <w:rPr/>
        <w:t>, four CYP families (3001B, 3001M, 3001N and 3003A) of clan 2 are clustered in tandem duplications, each at different locations, that are also rich in other detoxification gene families (CCEs, SULTs, ABCs). A cluster of 21 CYPs from clan 3 was found on scaffold 13 with genes from CYP3009 (A, B and D) and from CYP3006 (E, F and G), some of which are highly expressed in the midgut of unfed ticks, whereas other groups of genes had high gene expression in other tissues or stages, especially eggs or larvae (</w:t>
      </w:r>
      <w:r>
        <w:rPr>
          <w:color w:val="000000"/>
        </w:rPr>
        <w:t xml:space="preserve">Additional </w:t>
      </w:r>
      <w:r>
        <w:rPr>
          <w:color w:val="000000"/>
        </w:rPr>
        <w:t>F</w:t>
      </w:r>
      <w:r>
        <w:rPr>
          <w:color w:val="000000"/>
        </w:rPr>
        <w:t xml:space="preserve">ile </w:t>
      </w:r>
      <w:r>
        <w:rPr>
          <w:color w:val="000000"/>
        </w:rPr>
        <w:t>2</w:t>
      </w:r>
      <w:r>
        <w:rPr>
          <w:color w:val="000000"/>
        </w:rPr>
        <w:t>:</w:t>
      </w:r>
      <w:r>
        <w:rPr/>
        <w:t xml:space="preserve"> Fig. S16). Six SULT genes were also found at this location on scaffold 13, as well as 2 ABC transporters, suggesting a possible role of this cluster in xenobiotic detoxification. The CYPs essentially corresponded to the SiLiX family FAM000045, which was found to be significantly expanded in several species of ticks, but only in the terminal branches of the evolutionary tree and not in the common ancestor of ticks. This can be explained by other independent large expansions of CYPs in other species of Chelicerata.</w:t>
      </w:r>
    </w:p>
    <w:p>
      <w:pPr>
        <w:pStyle w:val="Normal"/>
        <w:rPr/>
      </w:pPr>
      <w:r>
        <w:rPr/>
      </w:r>
    </w:p>
    <w:p>
      <w:pPr>
        <w:pStyle w:val="Normal"/>
        <w:rPr/>
      </w:pPr>
      <w:r>
        <w:rPr>
          <w:b/>
          <w:color w:val="000000"/>
        </w:rPr>
        <w:t xml:space="preserve">Carboxylesterases: </w:t>
      </w:r>
      <w:r>
        <w:rPr>
          <w:color w:val="000000"/>
        </w:rPr>
        <w:t xml:space="preserve">A total of 104 IricCCEs were identified in </w:t>
      </w:r>
      <w:r>
        <w:rPr>
          <w:i/>
          <w:color w:val="000000"/>
        </w:rPr>
        <w:t>I. ricinus</w:t>
      </w:r>
      <w:r>
        <w:rPr>
          <w:color w:val="000000"/>
        </w:rPr>
        <w:t>, including 73 complete ORFs. This count is similar to that of</w:t>
      </w:r>
      <w:r>
        <w:rPr>
          <w:i/>
          <w:color w:val="000000"/>
        </w:rPr>
        <w:t xml:space="preserve"> I. scapularis</w:t>
      </w:r>
      <w:r>
        <w:rPr>
          <w:color w:val="000000"/>
        </w:rPr>
        <w:t xml:space="preserve"> (Gulia-Nuss et al. 2016; De et al. 2023) indicating that these genes also have one-to-one orthology between the two species. Insect CCEs have been classified into three main functional groups (Claudianos et al. 2006), including the dietary/detoxification group, for which we found no genes in ticks or other Acari (Additional </w:t>
      </w:r>
      <w:r>
        <w:rPr>
          <w:color w:val="000000"/>
        </w:rPr>
        <w:t>F</w:t>
      </w:r>
      <w:r>
        <w:rPr>
          <w:color w:val="000000"/>
        </w:rPr>
        <w:t xml:space="preserve">ile </w:t>
      </w:r>
      <w:r>
        <w:rPr>
          <w:color w:val="000000"/>
        </w:rPr>
        <w:t>1</w:t>
      </w:r>
      <w:r>
        <w:rPr>
          <w:color w:val="000000"/>
        </w:rPr>
        <w:t xml:space="preserve">: </w:t>
      </w:r>
      <w:hyperlink w:anchor="efvnvaw061y0" w:tgtFrame="#efvnvaw061y0">
        <w:r>
          <w:rPr>
            <w:rStyle w:val="ListLabel2"/>
            <w:color w:val="000000"/>
          </w:rPr>
          <w:t>Table S1</w:t>
        </w:r>
      </w:hyperlink>
      <w:hyperlink w:anchor="efvnvaw061y0" w:tgtFrame="#efvnvaw061y0">
        <w:r>
          <w:rPr>
            <w:rStyle w:val="ListLabel2"/>
            <w:color w:val="000000"/>
          </w:rPr>
          <w:t>6</w:t>
        </w:r>
      </w:hyperlink>
      <w:r>
        <w:rPr>
          <w:color w:val="000000"/>
        </w:rPr>
        <w:t>, sheet B), and the hormonal/semiochemical group represented by a single gene both in</w:t>
      </w:r>
      <w:r>
        <w:rPr>
          <w:i/>
          <w:color w:val="000000"/>
        </w:rPr>
        <w:t xml:space="preserve"> I. ricinus </w:t>
      </w:r>
      <w:r>
        <w:rPr>
          <w:color w:val="000000"/>
        </w:rPr>
        <w:t xml:space="preserve">and </w:t>
      </w:r>
      <w:r>
        <w:rPr>
          <w:i/>
          <w:color w:val="000000"/>
        </w:rPr>
        <w:t>I. scapularis</w:t>
      </w:r>
      <w:r>
        <w:rPr>
          <w:color w:val="000000"/>
        </w:rPr>
        <w:t>. In contrast, the third group of neurodevelopmental CCEs was highly developed in ticks</w:t>
      </w:r>
      <w:r>
        <w:rPr>
          <w:i/>
          <w:color w:val="000000"/>
        </w:rPr>
        <w:t xml:space="preserve"> </w:t>
      </w:r>
      <w:r>
        <w:rPr>
          <w:color w:val="000000"/>
        </w:rPr>
        <w:t xml:space="preserve">(Additional </w:t>
      </w:r>
      <w:r>
        <w:rPr>
          <w:color w:val="000000"/>
        </w:rPr>
        <w:t>F</w:t>
      </w:r>
      <w:r>
        <w:rPr>
          <w:color w:val="000000"/>
        </w:rPr>
        <w:t xml:space="preserve">ile </w:t>
      </w:r>
      <w:r>
        <w:rPr>
          <w:color w:val="000000"/>
        </w:rPr>
        <w:t>2</w:t>
      </w:r>
      <w:r>
        <w:rPr>
          <w:color w:val="000000"/>
        </w:rPr>
        <w:t xml:space="preserve">: </w:t>
      </w:r>
      <w:hyperlink w:anchor="b6tr64j5wm3s" w:tgtFrame="#b6tr64j5wm3s">
        <w:r>
          <w:rPr>
            <w:rStyle w:val="ListLabel2"/>
            <w:color w:val="000000"/>
          </w:rPr>
          <w:t>Fig. S</w:t>
        </w:r>
      </w:hyperlink>
      <w:r>
        <w:rPr>
          <w:color w:val="000000"/>
        </w:rPr>
        <w:t xml:space="preserve">17), with a strong expansion of two new clades closely related to AChEs, as already observed in mites </w:t>
      </w:r>
      <w:r>
        <w:rPr>
          <w:b w:val="false"/>
          <w:i w:val="false"/>
          <w:caps w:val="false"/>
          <w:smallCaps w:val="false"/>
          <w:color w:val="000000"/>
          <w:position w:val="0"/>
          <w:sz w:val="24"/>
          <w:sz w:val="24"/>
          <w:u w:val="none"/>
          <w:vertAlign w:val="baseline"/>
        </w:rPr>
        <w:t>(Grbi</w:t>
      </w:r>
      <w:r>
        <w:rPr>
          <w:b w:val="false"/>
          <w:i w:val="false"/>
          <w:caps w:val="false"/>
          <w:smallCaps w:val="false"/>
          <w:position w:val="0"/>
          <w:sz w:val="24"/>
          <w:sz w:val="24"/>
          <w:u w:val="none"/>
          <w:vertAlign w:val="baseline"/>
        </w:rPr>
        <w:t>ć et al. 2011; Bajda et al. 2015)</w:t>
      </w:r>
      <w:r>
        <w:rPr>
          <w:color w:val="000000"/>
        </w:rPr>
        <w:t xml:space="preserve">. Similar to the CYPs, we observed a strong differentiation of expression profiles within this gene family and a relatively large number of genes were highly expressed in larvae (Additional </w:t>
      </w:r>
      <w:r>
        <w:rPr>
          <w:color w:val="000000"/>
        </w:rPr>
        <w:t>F</w:t>
      </w:r>
      <w:r>
        <w:rPr>
          <w:color w:val="000000"/>
        </w:rPr>
        <w:t xml:space="preserve">ile </w:t>
      </w:r>
      <w:r>
        <w:rPr>
          <w:color w:val="000000"/>
        </w:rPr>
        <w:t>2</w:t>
      </w:r>
      <w:r>
        <w:rPr>
          <w:color w:val="000000"/>
        </w:rPr>
        <w:t xml:space="preserve">: </w:t>
      </w:r>
      <w:hyperlink w:anchor="b6tr64j5wm3s" w:tgtFrame="#b6tr64j5wm3s">
        <w:r>
          <w:rPr>
            <w:rStyle w:val="ListLabel2"/>
            <w:color w:val="000000"/>
          </w:rPr>
          <w:t>Fig. S1</w:t>
        </w:r>
      </w:hyperlink>
      <w:r>
        <w:rPr>
          <w:color w:val="000000"/>
        </w:rPr>
        <w:t xml:space="preserve">8). The CCEs essentially corresponded to the SiLiX family FAM000444, which was significantly expanded in the common ancestor of hard ticks, and also in the common ancestors of Metastriata and of </w:t>
      </w:r>
      <w:r>
        <w:rPr>
          <w:i/>
          <w:color w:val="000000"/>
        </w:rPr>
        <w:t>Ixodes</w:t>
      </w:r>
      <w:r>
        <w:rPr>
          <w:color w:val="000000"/>
        </w:rPr>
        <w:t xml:space="preserve"> species, respectively.</w:t>
      </w:r>
    </w:p>
    <w:p>
      <w:pPr>
        <w:pStyle w:val="Normal"/>
        <w:rPr>
          <w:color w:val="000000"/>
        </w:rPr>
      </w:pPr>
      <w:r>
        <w:rPr>
          <w:color w:val="000000"/>
        </w:rPr>
      </w:r>
    </w:p>
    <w:p>
      <w:pPr>
        <w:pStyle w:val="Normal"/>
        <w:rPr/>
      </w:pPr>
      <w:r>
        <w:rPr>
          <w:b/>
          <w:bCs/>
        </w:rPr>
        <w:t>ATP-binding cassette transporters:</w:t>
      </w:r>
      <w:r>
        <w:rPr/>
        <w:t xml:space="preserve"> We identified 104 genes encoding IricABCs in </w:t>
      </w:r>
      <w:r>
        <w:rPr>
          <w:i/>
          <w:iCs/>
        </w:rPr>
        <w:t xml:space="preserve">I. ricinus </w:t>
      </w:r>
      <w:r>
        <w:rPr/>
        <w:t xml:space="preserve">(the same number as in </w:t>
      </w:r>
      <w:r>
        <w:rPr>
          <w:i/>
          <w:iCs/>
        </w:rPr>
        <w:t>I. scapularis</w:t>
      </w:r>
      <w:r>
        <w:rPr/>
        <w:t xml:space="preserve">), while 103 genes were found in the red spider mite </w:t>
      </w:r>
      <w:r>
        <w:rPr>
          <w:i/>
          <w:iCs/>
        </w:rPr>
        <w:t>Tetranychus urticae</w:t>
      </w:r>
      <w:r>
        <w:rPr/>
        <w:t xml:space="preserve"> (Dermauw et al. 2013). While most ABC genes in the two Ixodes tick species were one-to-one orthologs, the distribution within gene subfamilies was different between ticks and </w:t>
      </w:r>
      <w:r>
        <w:rPr>
          <w:i/>
          <w:iCs/>
        </w:rPr>
        <w:t>T. urticae</w:t>
      </w:r>
      <w:r>
        <w:rPr/>
        <w:t xml:space="preserve">. ABCs are grouped into 8 subfamilies (A to H) based on similarities in the ATP-binding domain. In </w:t>
      </w:r>
      <w:r>
        <w:rPr>
          <w:i/>
          <w:iCs/>
        </w:rPr>
        <w:t>T. urticae</w:t>
      </w:r>
      <w:r>
        <w:rPr/>
        <w:t>, the most important lineage-specific expansions were found in subfamilies C, G and H, whereas in I. ricinus they were found in subfamilies A and C (</w:t>
      </w:r>
      <w:r>
        <w:rPr>
          <w:color w:val="000000"/>
        </w:rPr>
        <w:t xml:space="preserve">Additional </w:t>
      </w:r>
      <w:r>
        <w:rPr>
          <w:color w:val="000000"/>
        </w:rPr>
        <w:t>F</w:t>
      </w:r>
      <w:r>
        <w:rPr>
          <w:color w:val="000000"/>
        </w:rPr>
        <w:t xml:space="preserve">ile </w:t>
      </w:r>
      <w:r>
        <w:rPr>
          <w:color w:val="000000"/>
        </w:rPr>
        <w:t>2</w:t>
      </w:r>
      <w:r>
        <w:rPr>
          <w:color w:val="000000"/>
        </w:rPr>
        <w:t>:</w:t>
      </w:r>
      <w:r>
        <w:rPr/>
        <w:t xml:space="preserve"> Fig. S19). Automatic clustering grouped the B and C subfamilies into a family FAM000065, which was significantly expanded in the genus Ixodes and in the common ancestor of the </w:t>
      </w:r>
      <w:r>
        <w:rPr>
          <w:i/>
          <w:iCs/>
        </w:rPr>
        <w:t xml:space="preserve">I. ricinus </w:t>
      </w:r>
      <w:r>
        <w:rPr/>
        <w:t xml:space="preserve">species complex, but not in the common ancestor of ticks. This result agrees with the high abundance of ABC genes in other Chelicerata, probably due to independent expansion, and with higher gene counts in </w:t>
      </w:r>
      <w:r>
        <w:rPr>
          <w:i/>
          <w:iCs/>
        </w:rPr>
        <w:t>Ixodes</w:t>
      </w:r>
      <w:r>
        <w:rPr/>
        <w:t xml:space="preserve"> species than in the Metastriata. A second gene family, FAM000381, included the A and G subfamilies, and was found to be significantly expanded in the common ancestor of ticks and in the Metastriata (FAM000381 being more abundant in the Metastriata than the </w:t>
      </w:r>
      <w:r>
        <w:rPr>
          <w:i/>
          <w:iCs/>
        </w:rPr>
        <w:t>Ixodes</w:t>
      </w:r>
      <w:r>
        <w:rPr/>
        <w:t xml:space="preserve"> genus). </w:t>
      </w:r>
    </w:p>
    <w:p>
      <w:pPr>
        <w:pStyle w:val="Normal"/>
        <w:rPr/>
      </w:pPr>
      <w:r>
        <w:rPr/>
        <w:t>Similar to other large gene families, there was strong differentiation in the gene expression profiles of ABCs (</w:t>
      </w:r>
      <w:r>
        <w:rPr>
          <w:color w:val="000000"/>
        </w:rPr>
        <w:t xml:space="preserve">Additional </w:t>
      </w:r>
      <w:r>
        <w:rPr>
          <w:color w:val="000000"/>
        </w:rPr>
        <w:t>F</w:t>
      </w:r>
      <w:r>
        <w:rPr>
          <w:color w:val="000000"/>
        </w:rPr>
        <w:t xml:space="preserve">ile </w:t>
      </w:r>
      <w:r>
        <w:rPr>
          <w:color w:val="000000"/>
        </w:rPr>
        <w:t>2</w:t>
      </w:r>
      <w:r>
        <w:rPr>
          <w:color w:val="000000"/>
        </w:rPr>
        <w:t>:</w:t>
      </w:r>
      <w:r>
        <w:rPr/>
        <w:t xml:space="preserve"> Fig. S20), and the two largest groups of genes were preferentially expressed in eggs and larvae. Mono-exonic copies were found in less than 20 of 104 ABC genes of I</w:t>
      </w:r>
      <w:r>
        <w:rPr>
          <w:i/>
          <w:iCs/>
        </w:rPr>
        <w:t>. ricinus.</w:t>
      </w:r>
      <w:r>
        <w:rPr/>
        <w:t xml:space="preserve"> A group of 11 mono-exonic copies belonging to the C subfamily formed a physical cluster located on scaffold 10, the other 9 intronless copies were dispersed on seven different scaffolds.</w:t>
      </w:r>
    </w:p>
    <w:p>
      <w:pPr>
        <w:pStyle w:val="Normal"/>
        <w:rPr/>
      </w:pPr>
      <w:r>
        <w:rPr/>
      </w:r>
    </w:p>
    <w:p>
      <w:pPr>
        <w:pStyle w:val="Normal"/>
        <w:rPr/>
      </w:pPr>
      <w:r>
        <w:rPr>
          <w:b/>
          <w:bCs/>
        </w:rPr>
        <w:t xml:space="preserve">Expansion of </w:t>
      </w:r>
      <w:r>
        <w:rPr>
          <w:b/>
          <w:bCs/>
          <w:color w:val="000000"/>
        </w:rPr>
        <w:t xml:space="preserve">juvenile hormone acid methyltransferases (JHAMTs): </w:t>
      </w:r>
      <w:r>
        <w:rPr>
          <w:color w:val="000000"/>
        </w:rPr>
        <w:t xml:space="preserve">Ticks do not synthesize juvenile hormone (JH), although JHs and their precursors play crucial roles in molting and reproduction in insects and crustaceans. The last enzyme in the JH pathway, CYP15A1, is absent from tick genomes. However, found a large gene expansion of juvenile hormone acid methyltransferases (JHAMTs) which are the preceding enzymes in the JH pathway was evidenced in </w:t>
      </w:r>
      <w:r>
        <w:rPr>
          <w:i/>
          <w:color w:val="000000"/>
        </w:rPr>
        <w:t>I. scapularis</w:t>
      </w:r>
      <w:r>
        <w:rPr>
          <w:color w:val="000000"/>
        </w:rPr>
        <w:t xml:space="preserve">  (Gulia-Nuss et al. 2016).  Finally, a study found that methyl farnesoate (MF) does not occur in ticks (Neese et al. 2000). Together, these data raise doubts whether these sequences actually function as JHAMTs in ticks.</w:t>
      </w:r>
    </w:p>
    <w:p>
      <w:pPr>
        <w:pStyle w:val="Normal"/>
        <w:rPr/>
      </w:pPr>
      <w:r>
        <w:rPr>
          <w:color w:val="000000"/>
        </w:rPr>
        <w:t>Our study found that this gene family has one of the largest expansions in ticks (with ~40 genes in Metastriata tick, and ~80 genes in the</w:t>
      </w:r>
      <w:r>
        <w:rPr>
          <w:i/>
          <w:color w:val="000000"/>
        </w:rPr>
        <w:t xml:space="preserve"> I. ricinus </w:t>
      </w:r>
      <w:r>
        <w:rPr>
          <w:color w:val="000000"/>
        </w:rPr>
        <w:t xml:space="preserve">species complex), although curation showed that a substantial proportion of these gene copies are incomplete and might be non-functional (Additional </w:t>
      </w:r>
      <w:r>
        <w:rPr>
          <w:color w:val="000000"/>
        </w:rPr>
        <w:t>F</w:t>
      </w:r>
      <w:r>
        <w:rPr>
          <w:color w:val="000000"/>
        </w:rPr>
        <w:t xml:space="preserve">ile </w:t>
      </w:r>
      <w:r>
        <w:rPr>
          <w:color w:val="000000"/>
        </w:rPr>
        <w:t>1 :</w:t>
      </w:r>
      <w:r>
        <w:rPr>
          <w:color w:val="000000"/>
        </w:rPr>
        <w:t xml:space="preserve"> Table S6). In contrast with the study of (Zhu et al. 2016) our alignment of 45 curated JHAMT sequences in the </w:t>
      </w:r>
      <w:r>
        <w:rPr>
          <w:i/>
          <w:color w:val="000000"/>
        </w:rPr>
        <w:t>I. ricinus</w:t>
      </w:r>
      <w:r>
        <w:rPr>
          <w:color w:val="000000"/>
        </w:rPr>
        <w:t xml:space="preserve"> genome showed that Gln-14 and Trp-120, which are residues critical for interactions with farnesoic acid and JH acid, were conserved in the majority of the tick sequences (data not shown). Interestingly, independent expansions of JHAMTs have been recorded in spiders (Yang et al. 2021), but current evidence indicates that </w:t>
      </w:r>
      <w:r>
        <w:rPr>
          <w:rFonts w:eastAsia="Arial" w:cs="Calibri" w:ascii="Arial" w:hAnsi="Arial"/>
          <w:color w:val="000000"/>
          <w:kern w:val="0"/>
          <w:sz w:val="24"/>
          <w:szCs w:val="24"/>
          <w:lang w:val="en-GB" w:eastAsia="en-GB" w:bidi="ar-SA"/>
        </w:rPr>
        <w:t>these</w:t>
      </w:r>
      <w:r>
        <w:rPr>
          <w:color w:val="000000"/>
        </w:rPr>
        <w:t xml:space="preserve"> amplifications, both in spiders and ticks, correspond to JHAMT-like sequen</w:t>
      </w:r>
      <w:r>
        <w:rPr>
          <w:rFonts w:eastAsia="Arial" w:cs="Calibri" w:ascii="Arial" w:hAnsi="Arial"/>
          <w:color w:val="000000"/>
          <w:kern w:val="0"/>
          <w:sz w:val="24"/>
          <w:szCs w:val="24"/>
          <w:lang w:val="en-GB" w:eastAsia="en-GB" w:bidi="ar-SA"/>
        </w:rPr>
        <w:t>ce</w:t>
      </w:r>
      <w:r>
        <w:rPr>
          <w:color w:val="000000"/>
        </w:rPr>
        <w:t>s that do not have a JHAMT functional activity (Smykal &amp; Dolezel 2023)</w:t>
      </w:r>
      <w:r>
        <w:rPr/>
        <w:t xml:space="preserve">. </w:t>
      </w:r>
      <w:r>
        <w:rPr>
          <w:color w:val="000000"/>
        </w:rPr>
        <w:t xml:space="preserve">JH synthesis occurs in the corpora allata in insects, and tick synganglia are partly homologous to this tissue (Zhu et al. 2016). However, the expression profiles of the JHAMT genes in </w:t>
      </w:r>
      <w:r>
        <w:rPr>
          <w:i/>
          <w:color w:val="000000"/>
        </w:rPr>
        <w:t>I. ricinus</w:t>
      </w:r>
      <w:r>
        <w:rPr>
          <w:color w:val="000000"/>
        </w:rPr>
        <w:t xml:space="preserve"> do not show synganglion specificity; indeed, most JHAMT genes are more expressed in eggs, larvae, and ovaries, while a few genes have a broad pattern of expression. More studies are needed to elucidate the processes that control molting in ticks, and if tick molting still relies on the JH biosynthesis pathway and on JH precursors.</w:t>
      </w:r>
    </w:p>
    <w:p>
      <w:pPr>
        <w:pStyle w:val="Normal"/>
        <w:rPr/>
      </w:pPr>
      <w:r>
        <w:rPr/>
      </w:r>
    </w:p>
    <w:p>
      <w:pPr>
        <w:pStyle w:val="Normal"/>
        <w:rPr/>
      </w:pPr>
      <w:r>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erif CJK SC" w:cs="Lohit Devanagari"/>
      <w:color w:val="auto"/>
      <w:kern w:val="2"/>
      <w:sz w:val="24"/>
      <w:szCs w:val="24"/>
      <w:lang w:val="fr-FR" w:eastAsia="zh-CN" w:bidi="hi-IN"/>
    </w:rPr>
  </w:style>
  <w:style w:type="paragraph" w:styleId="Heading3">
    <w:name w:val="Heading 3"/>
    <w:basedOn w:val="Normal"/>
    <w:next w:val="Normal"/>
    <w:qFormat/>
    <w:pPr>
      <w:keepNext w:val="true"/>
      <w:keepLines/>
      <w:spacing w:lineRule="auto" w:line="240" w:before="120" w:after="120"/>
      <w:outlineLvl w:val="2"/>
    </w:pPr>
    <w:rPr>
      <w:rFonts w:ascii="Calibri" w:hAnsi="Calibri" w:eastAsia="Arial" w:cs="Arial"/>
      <w:b/>
      <w:color w:val="000000"/>
      <w:sz w:val="28"/>
    </w:rPr>
  </w:style>
  <w:style w:type="character" w:styleId="Hyperlink">
    <w:name w:val="Hyperlink"/>
    <w:rPr>
      <w:color w:val="000080"/>
      <w:u w:val="single"/>
      <w:lang w:val="zxx" w:eastAsia="zxx" w:bidi="zxx"/>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ibliographie1">
    <w:name w:val="Bibliographie 1"/>
    <w:basedOn w:val="Index"/>
    <w:qFormat/>
    <w:pPr>
      <w:tabs>
        <w:tab w:val="clear" w:pos="720"/>
      </w:tabs>
      <w:spacing w:lineRule="atLeast" w:line="240" w:before="0" w:after="240"/>
      <w:ind w:hanging="0" w:left="0"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700</TotalTime>
  <Application>LibreOffice/7.6.7.2$Linux_X86_64 LibreOffice_project/60$Build-2</Application>
  <AppVersion>15.0000</AppVersion>
  <Pages>6</Pages>
  <Words>2671</Words>
  <Characters>15262</Characters>
  <CharactersWithSpaces>17895</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2024-04-17T11:02:48Z</dcterms:created>
  <dc:creator/>
  <dc:description/>
  <dc:language>fr-FR</dc:language>
  <cp:lastModifiedBy/>
  <dcterms:modified xsi:type="dcterms:W3CDTF">2024-12-13T12:21:39Z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id="5kjPWiSl"/&gt;&lt;style id="http://www.zotero.org/styles/genome-biology-and-evolution" hasBibliography="1" bibliographyStyleHasBeenSet="1"/&gt;&lt;prefs&gt;&lt;pref name="fieldType" value="ReferenceMark"/&gt;&lt;pref na</vt:lpwstr>
  </property>
  <property fmtid="{D5CDD505-2E9C-101B-9397-08002B2CF9AE}" pid="3" name="ZOTERO_PREF_2">
    <vt:lpwstr>me="automaticJournalAbbreviations" value="true"/&gt;&lt;/prefs&gt;&lt;/data&gt;</vt:lpwstr>
  </property>
</Properties>
</file>