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A30826" w14:textId="77777777" w:rsidR="00A3268D" w:rsidRDefault="00FF481F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Supporting Information</w:t>
      </w:r>
    </w:p>
    <w:p w14:paraId="1C7C5C1F" w14:textId="77777777" w:rsidR="00A3268D" w:rsidRDefault="00FF481F">
      <w:pPr>
        <w:spacing w:before="120" w:after="120" w:line="400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Identification of </w:t>
      </w:r>
      <w:proofErr w:type="spellStart"/>
      <w:r>
        <w:rPr>
          <w:rFonts w:ascii="Times New Roman" w:hAnsi="Times New Roman" w:cs="Times New Roman" w:hint="eastAsia"/>
          <w:b/>
          <w:bCs/>
          <w:sz w:val="28"/>
          <w:szCs w:val="28"/>
        </w:rPr>
        <w:t>Epinastine</w:t>
      </w:r>
      <w:proofErr w:type="spellEnd"/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as CD96/PVR inhibitor for cancer immunotherapy</w:t>
      </w:r>
    </w:p>
    <w:p w14:paraId="69E6C6B9" w14:textId="77777777" w:rsidR="00A3268D" w:rsidRDefault="00A3268D">
      <w:pPr>
        <w:spacing w:before="120" w:after="120" w:line="400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14:paraId="556284E7" w14:textId="77777777" w:rsidR="00A3268D" w:rsidRDefault="00FF481F">
      <w:pPr>
        <w:widowControl/>
        <w:spacing w:line="400" w:lineRule="exac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 w:hint="eastAsia"/>
          <w:sz w:val="24"/>
          <w:szCs w:val="24"/>
        </w:rPr>
        <w:t>Xiangrui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Zhang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†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Lihan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Zhang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†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Beibei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Li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Qingchao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Wang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Peixin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Chen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Ranran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Shi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Xiuman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Zhou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Xiaoshuang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Niu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Wenjie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Zhai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1,5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Yahong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Wu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1,5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Wenhui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Shen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Xiaowen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Zhou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 xml:space="preserve">* and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Wenshan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Zhao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*</w:t>
      </w:r>
    </w:p>
    <w:p w14:paraId="3F918469" w14:textId="77777777" w:rsidR="00A3268D" w:rsidRDefault="00A3268D">
      <w:pPr>
        <w:spacing w:line="400" w:lineRule="exact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C91789A" w14:textId="77777777" w:rsidR="00A3268D" w:rsidRDefault="00FF481F">
      <w:pPr>
        <w:spacing w:line="4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†</w:t>
      </w:r>
      <w:proofErr w:type="spellStart"/>
      <w:r>
        <w:rPr>
          <w:rFonts w:ascii="Times New Roman" w:hAnsi="Times New Roman" w:hint="eastAsia"/>
          <w:sz w:val="24"/>
          <w:szCs w:val="24"/>
        </w:rPr>
        <w:t>Xiangrui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Zhang and </w:t>
      </w:r>
      <w:proofErr w:type="spellStart"/>
      <w:r>
        <w:rPr>
          <w:rFonts w:ascii="Times New Roman" w:hAnsi="Times New Roman" w:hint="eastAsia"/>
          <w:sz w:val="24"/>
          <w:szCs w:val="24"/>
        </w:rPr>
        <w:t>Lihan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Zhang</w:t>
      </w:r>
      <w:r>
        <w:rPr>
          <w:rFonts w:ascii="Times New Roman" w:hAnsi="Times New Roman"/>
          <w:sz w:val="24"/>
          <w:szCs w:val="24"/>
        </w:rPr>
        <w:t xml:space="preserve"> contributed equally to this work.</w:t>
      </w:r>
    </w:p>
    <w:p w14:paraId="03CC783A" w14:textId="77777777" w:rsidR="00A3268D" w:rsidRDefault="00FF481F">
      <w:pPr>
        <w:spacing w:line="4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 School of Life Sciences, Zhengzhou University, Zhengzhou 450001, China</w:t>
      </w:r>
    </w:p>
    <w:p w14:paraId="562CF919" w14:textId="77777777" w:rsidR="00A3268D" w:rsidRDefault="00FF481F">
      <w:pPr>
        <w:spacing w:line="4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Department of Integrated Chinese and Western Medicine,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The Affiliated </w:t>
      </w:r>
      <w:r>
        <w:rPr>
          <w:rFonts w:ascii="Times New Roman" w:hAnsi="Times New Roman"/>
          <w:sz w:val="24"/>
          <w:szCs w:val="24"/>
        </w:rPr>
        <w:t>Cancer Hospital of Zhengzhou University &amp; Henan Cancer Hospital, Zhengzhou 450008, China.</w:t>
      </w:r>
      <w:r>
        <w:rPr>
          <w:rFonts w:ascii="Times New Roman" w:hAnsi="Times New Roman" w:hint="eastAsia"/>
          <w:sz w:val="24"/>
          <w:szCs w:val="24"/>
        </w:rPr>
        <w:t xml:space="preserve"> </w:t>
      </w:r>
    </w:p>
    <w:p w14:paraId="165D1E7C" w14:textId="77777777" w:rsidR="00A3268D" w:rsidRDefault="00FF481F">
      <w:pPr>
        <w:spacing w:line="4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1" w:name="_Hlk176448827"/>
      <w:r>
        <w:rPr>
          <w:rFonts w:ascii="Times New Roman" w:hAnsi="Times New Roman"/>
          <w:sz w:val="24"/>
          <w:szCs w:val="24"/>
        </w:rPr>
        <w:t xml:space="preserve">Department of Basic Medical Sciences, </w:t>
      </w:r>
      <w:proofErr w:type="spellStart"/>
      <w:r>
        <w:rPr>
          <w:rFonts w:ascii="Times New Roman" w:hAnsi="Times New Roman"/>
          <w:sz w:val="24"/>
          <w:szCs w:val="24"/>
        </w:rPr>
        <w:t>Luohe</w:t>
      </w:r>
      <w:proofErr w:type="spellEnd"/>
      <w:r>
        <w:rPr>
          <w:rFonts w:ascii="Times New Roman" w:hAnsi="Times New Roman"/>
          <w:sz w:val="24"/>
          <w:szCs w:val="24"/>
        </w:rPr>
        <w:t xml:space="preserve"> Medical College, </w:t>
      </w:r>
      <w:proofErr w:type="spellStart"/>
      <w:r>
        <w:rPr>
          <w:rFonts w:ascii="Times New Roman" w:hAnsi="Times New Roman"/>
          <w:sz w:val="24"/>
          <w:szCs w:val="24"/>
        </w:rPr>
        <w:t>Luohe</w:t>
      </w:r>
      <w:proofErr w:type="spellEnd"/>
      <w:r>
        <w:rPr>
          <w:rFonts w:ascii="Times New Roman" w:hAnsi="Times New Roman"/>
          <w:sz w:val="24"/>
          <w:szCs w:val="24"/>
        </w:rPr>
        <w:t xml:space="preserve"> 462000, China</w:t>
      </w:r>
    </w:p>
    <w:bookmarkEnd w:id="1"/>
    <w:p w14:paraId="0D672BD4" w14:textId="77777777" w:rsidR="00A3268D" w:rsidRDefault="00FF481F">
      <w:pPr>
        <w:spacing w:line="4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hAnsi="Times New Roman"/>
          <w:sz w:val="24"/>
          <w:szCs w:val="24"/>
        </w:rPr>
        <w:t xml:space="preserve"> School of Pharmaceutical Sciences (Shenzhen), Shenzhen Campus of Sun Yat-sen Uni</w:t>
      </w:r>
      <w:r>
        <w:rPr>
          <w:rFonts w:ascii="Times New Roman" w:hAnsi="Times New Roman"/>
          <w:sz w:val="24"/>
          <w:szCs w:val="24"/>
        </w:rPr>
        <w:t>versity, Shenzhen 518107, China</w:t>
      </w:r>
    </w:p>
    <w:p w14:paraId="4A092102" w14:textId="77777777" w:rsidR="00A3268D" w:rsidRDefault="00FF481F">
      <w:pPr>
        <w:spacing w:line="4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  <w:vertAlign w:val="superscript"/>
        </w:rPr>
        <w:t>5</w:t>
      </w:r>
      <w:r>
        <w:rPr>
          <w:rFonts w:ascii="Times New Roman" w:hAnsi="Times New Roman"/>
          <w:sz w:val="24"/>
          <w:szCs w:val="24"/>
        </w:rPr>
        <w:t xml:space="preserve"> International Joint Laboratory for Protein and Peptide Drugs of Henan Province, Zhengzhou University, Zhengzhou, 450001, China</w:t>
      </w:r>
    </w:p>
    <w:p w14:paraId="5B441E05" w14:textId="77777777" w:rsidR="00A3268D" w:rsidRDefault="00FF481F">
      <w:pPr>
        <w:spacing w:line="4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6</w:t>
      </w:r>
      <w:r>
        <w:rPr>
          <w:rFonts w:ascii="Times New Roman" w:hAnsi="Times New Roman" w:hint="eastAsia"/>
          <w:sz w:val="24"/>
          <w:szCs w:val="24"/>
        </w:rPr>
        <w:t xml:space="preserve"> Department of Head Neck and Thyroid, The Affiliated Cancer Hospital of Zhengzhou University &amp;</w:t>
      </w:r>
      <w:r>
        <w:rPr>
          <w:rFonts w:ascii="Times New Roman" w:hAnsi="Times New Roman" w:hint="eastAsia"/>
          <w:sz w:val="24"/>
          <w:szCs w:val="24"/>
        </w:rPr>
        <w:t xml:space="preserve"> Henan Cancer Hospital, </w:t>
      </w:r>
      <w:r>
        <w:rPr>
          <w:rFonts w:ascii="Times New Roman" w:hAnsi="Times New Roman"/>
          <w:sz w:val="24"/>
          <w:szCs w:val="24"/>
        </w:rPr>
        <w:t>Zhengzhou 450008, China.</w:t>
      </w:r>
      <w:r>
        <w:rPr>
          <w:rFonts w:ascii="Times New Roman" w:hAnsi="Times New Roman" w:hint="eastAsia"/>
          <w:sz w:val="24"/>
          <w:szCs w:val="24"/>
        </w:rPr>
        <w:t xml:space="preserve"> </w:t>
      </w:r>
    </w:p>
    <w:p w14:paraId="5F408CEB" w14:textId="77777777" w:rsidR="00A3268D" w:rsidRDefault="00A3268D">
      <w:pPr>
        <w:spacing w:before="120" w:after="120" w:line="400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14:paraId="4A6AEAD0" w14:textId="77777777" w:rsidR="00A3268D" w:rsidRDefault="00FF481F">
      <w:pPr>
        <w:spacing w:line="4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 Corresponding authors. Tel.: +86-371-67781325.</w:t>
      </w:r>
    </w:p>
    <w:p w14:paraId="02BF066E" w14:textId="77777777" w:rsidR="00A3268D" w:rsidRDefault="00FF481F">
      <w:pPr>
        <w:spacing w:line="4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E-mail addresses: </w:t>
      </w:r>
      <w:hyperlink r:id="rId6" w:history="1">
        <w:r w:rsidR="00A3268D">
          <w:rPr>
            <w:rStyle w:val="15"/>
            <w:rFonts w:ascii="Times New Roman" w:hAnsi="Times New Roman" w:hint="default"/>
            <w:sz w:val="24"/>
            <w:szCs w:val="24"/>
          </w:rPr>
          <w:t>zhouxw@zzu.edu.cn</w:t>
        </w:r>
      </w:hyperlink>
      <w:r>
        <w:rPr>
          <w:rFonts w:ascii="Times New Roman" w:hAnsi="Times New Roman"/>
          <w:sz w:val="24"/>
          <w:szCs w:val="24"/>
        </w:rPr>
        <w:t xml:space="preserve"> (Xiaowen Zhou) and </w:t>
      </w:r>
      <w:hyperlink r:id="rId7" w:history="1">
        <w:r w:rsidR="00A3268D">
          <w:rPr>
            <w:rStyle w:val="15"/>
            <w:rFonts w:ascii="Times New Roman" w:hAnsi="Times New Roman" w:hint="default"/>
            <w:sz w:val="24"/>
            <w:szCs w:val="24"/>
          </w:rPr>
          <w:t>zhaowsh07@zzu.edu.cn</w:t>
        </w:r>
      </w:hyperlink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Wenshan</w:t>
      </w:r>
      <w:proofErr w:type="spellEnd"/>
      <w:r>
        <w:rPr>
          <w:rFonts w:ascii="Times New Roman" w:hAnsi="Times New Roman"/>
          <w:sz w:val="24"/>
          <w:szCs w:val="24"/>
        </w:rPr>
        <w:t xml:space="preserve"> Zhao)</w:t>
      </w:r>
    </w:p>
    <w:p w14:paraId="75666DC5" w14:textId="77777777" w:rsidR="00A3268D" w:rsidRDefault="00A3268D">
      <w:pPr>
        <w:spacing w:before="120"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8E072A" w14:textId="77777777" w:rsidR="00A3268D" w:rsidRDefault="00A3268D">
      <w:pPr>
        <w:spacing w:before="120"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B5DD0D" w14:textId="77777777" w:rsidR="00A3268D" w:rsidRDefault="00FF481F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FEE333C" w14:textId="77777777" w:rsidR="00A3268D" w:rsidRDefault="00FF481F">
      <w:pPr>
        <w:spacing w:before="120"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Suppl</w:t>
      </w:r>
      <w:r>
        <w:rPr>
          <w:rFonts w:ascii="Times New Roman" w:hAnsi="Times New Roman" w:cs="Times New Roman"/>
          <w:b/>
          <w:bCs/>
          <w:sz w:val="24"/>
          <w:szCs w:val="24"/>
        </w:rPr>
        <w:t>ementary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ig</w:t>
      </w:r>
      <w:r>
        <w:rPr>
          <w:rFonts w:ascii="Times New Roman" w:hAnsi="Times New Roman" w:cs="Times New Roman"/>
          <w:b/>
          <w:bCs/>
          <w:sz w:val="24"/>
          <w:szCs w:val="24"/>
        </w:rPr>
        <w:t>ure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and Figure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Le</w:t>
      </w:r>
      <w:r>
        <w:rPr>
          <w:rFonts w:ascii="Times New Roman" w:hAnsi="Times New Roman" w:cs="Times New Roman"/>
          <w:b/>
          <w:bCs/>
          <w:sz w:val="24"/>
          <w:szCs w:val="24"/>
        </w:rPr>
        <w:t>gends</w:t>
      </w:r>
    </w:p>
    <w:p w14:paraId="603053C5" w14:textId="77777777" w:rsidR="00A3268D" w:rsidRDefault="00FF481F">
      <w:pPr>
        <w:spacing w:before="120"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Figure S1</w:t>
      </w:r>
    </w:p>
    <w:p w14:paraId="390A97A4" w14:textId="78B945A5" w:rsidR="00A3268D" w:rsidRDefault="00B6578A">
      <w:pPr>
        <w:spacing w:line="360" w:lineRule="auto"/>
        <w:jc w:val="center"/>
      </w:pPr>
      <w:r>
        <w:rPr>
          <w:rFonts w:hint="eastAsia"/>
          <w:noProof/>
          <w:lang w:eastAsia="en-US"/>
        </w:rPr>
        <w:drawing>
          <wp:inline distT="0" distB="0" distL="0" distR="0" wp14:anchorId="04B20EF5" wp14:editId="779168DC">
            <wp:extent cx="3487003" cy="4159941"/>
            <wp:effectExtent l="0" t="0" r="0" b="0"/>
            <wp:docPr id="20922322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651" cy="4173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837B5" w14:textId="77777777" w:rsidR="00A3268D" w:rsidRDefault="00FF481F">
      <w:pPr>
        <w:spacing w:before="120" w:after="240"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Fig. S1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Overview of the virtual screening process for identifying 15 candidate small molecules targeting CD96.</w:t>
      </w:r>
    </w:p>
    <w:p w14:paraId="472DFF62" w14:textId="77777777" w:rsidR="00A3268D" w:rsidRDefault="00FF481F">
      <w:pPr>
        <w:spacing w:before="120" w:after="24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Figure S2</w:t>
      </w:r>
    </w:p>
    <w:p w14:paraId="4AAB2A44" w14:textId="284C69EE" w:rsidR="00A3268D" w:rsidRDefault="00B6578A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en-US"/>
        </w:rPr>
        <w:drawing>
          <wp:inline distT="0" distB="0" distL="0" distR="0" wp14:anchorId="23C29CAC" wp14:editId="69A4EFD3">
            <wp:extent cx="2429302" cy="1882439"/>
            <wp:effectExtent l="0" t="0" r="9525" b="3810"/>
            <wp:docPr id="87662516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974" cy="1891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1607A" w14:textId="77777777" w:rsidR="00A3268D" w:rsidRDefault="00FF481F">
      <w:pPr>
        <w:spacing w:before="120" w:after="240" w:line="400" w:lineRule="exac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2 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The binding affinity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Epinastine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to mCD96. </w:t>
      </w:r>
      <w:r>
        <w:rPr>
          <w:rFonts w:ascii="Times New Roman" w:hAnsi="Times New Roman" w:cs="Times New Roman"/>
          <w:bCs/>
          <w:sz w:val="24"/>
          <w:szCs w:val="24"/>
        </w:rPr>
        <w:t xml:space="preserve">The binding affinity of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Epinastine</w:t>
      </w:r>
      <w:proofErr w:type="spellEnd"/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with 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murine </w:t>
      </w:r>
      <w:r>
        <w:rPr>
          <w:rFonts w:ascii="Times New Roman" w:hAnsi="Times New Roman" w:cs="Times New Roman"/>
          <w:bCs/>
          <w:sz w:val="24"/>
          <w:szCs w:val="24"/>
        </w:rPr>
        <w:t>CD96 tested by MST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with K</w:t>
      </w:r>
      <w:r>
        <w:rPr>
          <w:rFonts w:ascii="Times New Roman" w:hAnsi="Times New Roman" w:cs="Times New Roman"/>
          <w:bCs/>
          <w:sz w:val="24"/>
          <w:szCs w:val="24"/>
          <w:vertAlign w:val="subscript"/>
        </w:rPr>
        <w:t>D</w:t>
      </w:r>
      <w:r>
        <w:rPr>
          <w:rFonts w:ascii="Times New Roman" w:hAnsi="Times New Roman" w:cs="Times New Roman"/>
          <w:bCs/>
          <w:sz w:val="24"/>
          <w:szCs w:val="24"/>
        </w:rPr>
        <w:t xml:space="preserve"> representing the binding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dissociation constant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 xml:space="preserve">Data </w:t>
      </w:r>
      <w:r>
        <w:rPr>
          <w:rFonts w:ascii="Times New Roman" w:hAnsi="Times New Roman" w:cs="Times New Roman" w:hint="eastAsia"/>
          <w:bCs/>
          <w:sz w:val="24"/>
          <w:szCs w:val="24"/>
        </w:rPr>
        <w:t>ar</w:t>
      </w:r>
      <w:r w:rsidRPr="000B7B71">
        <w:rPr>
          <w:rFonts w:ascii="Times New Roman" w:hAnsi="Times New Roman" w:cs="Times New Roman" w:hint="eastAsia"/>
          <w:bCs/>
          <w:sz w:val="24"/>
          <w:szCs w:val="24"/>
        </w:rPr>
        <w:t xml:space="preserve">e </w:t>
      </w:r>
      <w:r w:rsidRPr="000B7B71">
        <w:rPr>
          <w:rFonts w:ascii="Times New Roman" w:hAnsi="Times New Roman" w:cs="Times New Roman"/>
          <w:bCs/>
          <w:sz w:val="24"/>
          <w:szCs w:val="24"/>
        </w:rPr>
        <w:t>presented as mean ± SEM and represent three independent experiments.</w:t>
      </w:r>
      <w:r w:rsidRPr="000B7B71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0B7B71">
        <w:rPr>
          <w:rFonts w:ascii="Times New Roman" w:hAnsi="Times New Roman" w:cs="Times New Roman" w:hint="eastAsia"/>
          <w:sz w:val="24"/>
          <w:szCs w:val="24"/>
        </w:rPr>
        <w:t xml:space="preserve">Individual data values are provided in Additional file </w:t>
      </w:r>
      <w:r w:rsidRPr="000B7B71">
        <w:rPr>
          <w:rFonts w:ascii="Times New Roman" w:hAnsi="Times New Roman" w:cs="Times New Roman" w:hint="eastAsia"/>
          <w:sz w:val="24"/>
          <w:szCs w:val="24"/>
        </w:rPr>
        <w:t>2.</w:t>
      </w:r>
    </w:p>
    <w:p w14:paraId="355EDFC5" w14:textId="77777777" w:rsidR="00A3268D" w:rsidRDefault="00FF481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Figure S3</w:t>
      </w:r>
    </w:p>
    <w:p w14:paraId="13BB4BEE" w14:textId="77777777" w:rsidR="00A3268D" w:rsidRDefault="00FF481F">
      <w:pPr>
        <w:jc w:val="center"/>
        <w:rPr>
          <w:b/>
          <w:bCs/>
        </w:rPr>
      </w:pPr>
      <w:r>
        <w:rPr>
          <w:noProof/>
          <w:lang w:eastAsia="en-US"/>
        </w:rPr>
        <w:drawing>
          <wp:inline distT="0" distB="0" distL="0" distR="0" wp14:anchorId="3A45B315" wp14:editId="1EF406C5">
            <wp:extent cx="4725670" cy="3811270"/>
            <wp:effectExtent l="0" t="0" r="0" b="0"/>
            <wp:docPr id="18532055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20554" name="图片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5670" cy="381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CA841" w14:textId="77777777" w:rsidR="00A3268D" w:rsidRDefault="00FF481F">
      <w:pPr>
        <w:jc w:val="center"/>
        <w:rPr>
          <w:b/>
          <w:bCs/>
        </w:rPr>
      </w:pPr>
      <w:r>
        <w:rPr>
          <w:noProof/>
          <w:lang w:eastAsia="en-US"/>
        </w:rPr>
        <w:drawing>
          <wp:inline distT="0" distB="0" distL="0" distR="0" wp14:anchorId="12B47AC0" wp14:editId="30D5E0A8">
            <wp:extent cx="4602480" cy="3639185"/>
            <wp:effectExtent l="0" t="0" r="7620" b="0"/>
            <wp:docPr id="159548496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484962" name="图片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02480" cy="363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F8154" w14:textId="77777777" w:rsidR="00A3268D" w:rsidRDefault="00FF481F">
      <w:pPr>
        <w:jc w:val="center"/>
        <w:rPr>
          <w:b/>
          <w:bCs/>
        </w:rPr>
      </w:pPr>
      <w:r>
        <w:rPr>
          <w:noProof/>
          <w:lang w:eastAsia="en-US"/>
        </w:rPr>
        <w:lastRenderedPageBreak/>
        <w:drawing>
          <wp:inline distT="0" distB="0" distL="0" distR="0" wp14:anchorId="18185CC2" wp14:editId="79AB3C24">
            <wp:extent cx="4578350" cy="3657600"/>
            <wp:effectExtent l="0" t="0" r="0" b="0"/>
            <wp:docPr id="90513732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137322" name="图片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835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16ACD" w14:textId="77777777" w:rsidR="00A3268D" w:rsidRDefault="00FF481F">
      <w:pPr>
        <w:jc w:val="center"/>
        <w:rPr>
          <w:b/>
          <w:bCs/>
        </w:rPr>
      </w:pPr>
      <w:r>
        <w:rPr>
          <w:noProof/>
          <w:lang w:eastAsia="en-US"/>
        </w:rPr>
        <w:drawing>
          <wp:inline distT="0" distB="0" distL="0" distR="0" wp14:anchorId="392F1DBA" wp14:editId="5F942ABB">
            <wp:extent cx="4490085" cy="3625215"/>
            <wp:effectExtent l="0" t="0" r="5715" b="0"/>
            <wp:docPr id="9589754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97542" name="图片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91423" cy="362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B1AE8" w14:textId="77777777" w:rsidR="00A3268D" w:rsidRDefault="00FF481F">
      <w:pPr>
        <w:spacing w:before="120" w:after="240"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original images of the Western blotting results</w:t>
      </w:r>
      <w:r>
        <w:rPr>
          <w:rFonts w:ascii="Times New Roman" w:hAnsi="Times New Roman" w:cs="Times New Roman" w:hint="eastAsia"/>
          <w:sz w:val="24"/>
          <w:szCs w:val="24"/>
        </w:rPr>
        <w:t xml:space="preserve"> for </w:t>
      </w:r>
      <w:r>
        <w:rPr>
          <w:rFonts w:ascii="Times New Roman" w:hAnsi="Times New Roman" w:cs="Times New Roman"/>
          <w:bCs/>
          <w:sz w:val="24"/>
          <w:szCs w:val="24"/>
        </w:rPr>
        <w:t>CETSA analysis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A-B</w:t>
      </w:r>
      <w:r>
        <w:rPr>
          <w:rFonts w:ascii="Times New Roman" w:hAnsi="Times New Roman" w:cs="Times New Roman"/>
          <w:sz w:val="24"/>
          <w:szCs w:val="24"/>
        </w:rPr>
        <w:t xml:space="preserve"> Original results for the CD96 band (A) and β-actin band (B) for the control group shown in Figure 5A. </w:t>
      </w:r>
      <w:r>
        <w:rPr>
          <w:rFonts w:ascii="Times New Roman" w:hAnsi="Times New Roman" w:cs="Times New Roman"/>
          <w:b/>
          <w:bCs/>
          <w:sz w:val="24"/>
          <w:szCs w:val="24"/>
        </w:rPr>
        <w:t>C-D</w:t>
      </w:r>
      <w:r>
        <w:rPr>
          <w:rFonts w:ascii="Times New Roman" w:hAnsi="Times New Roman" w:cs="Times New Roman"/>
          <w:sz w:val="24"/>
          <w:szCs w:val="24"/>
        </w:rPr>
        <w:t xml:space="preserve"> Original results for the CD96 band (C) and β-actin band (D) for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Epinastine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treatment </w:t>
      </w:r>
      <w:r>
        <w:rPr>
          <w:rFonts w:ascii="Times New Roman" w:hAnsi="Times New Roman" w:cs="Times New Roman"/>
          <w:sz w:val="24"/>
          <w:szCs w:val="24"/>
        </w:rPr>
        <w:t>group shown in Figure 5A.</w:t>
      </w:r>
    </w:p>
    <w:p w14:paraId="30F4075B" w14:textId="77777777" w:rsidR="00A3268D" w:rsidRDefault="00FF481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Figure S4</w:t>
      </w:r>
    </w:p>
    <w:p w14:paraId="1CCAF611" w14:textId="77F6BEEA" w:rsidR="00A3268D" w:rsidRPr="00FF4528" w:rsidRDefault="00FF4528" w:rsidP="00FF452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US"/>
        </w:rPr>
        <w:drawing>
          <wp:inline distT="0" distB="0" distL="0" distR="0" wp14:anchorId="67686DB3" wp14:editId="7695C2DB">
            <wp:extent cx="5259070" cy="4099560"/>
            <wp:effectExtent l="0" t="0" r="0" b="0"/>
            <wp:docPr id="19256629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070" cy="409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EB302" w14:textId="77777777" w:rsidR="00A3268D" w:rsidRDefault="00FF481F">
      <w:pPr>
        <w:spacing w:before="120" w:after="240" w:line="400" w:lineRule="exact"/>
        <w:rPr>
          <w:rFonts w:ascii="Times New Roman" w:hAnsi="Times New Roman" w:cs="Times New Roman"/>
          <w:bCs/>
          <w:sz w:val="24"/>
          <w:szCs w:val="24"/>
        </w:rPr>
      </w:pPr>
      <w:bookmarkStart w:id="2" w:name="_Hlk182613419"/>
      <w:r>
        <w:rPr>
          <w:rFonts w:ascii="Times New Roman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4 </w:t>
      </w:r>
      <w:r>
        <w:rPr>
          <w:rFonts w:ascii="Times New Roman" w:eastAsia="SimSun" w:hAnsi="Times New Roman" w:cs="Times New Roman"/>
          <w:sz w:val="24"/>
          <w:szCs w:val="24"/>
        </w:rPr>
        <w:t xml:space="preserve">The effects of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Epinastine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and histamine in regulating tumor growth in MC38 tumor-bearing mice.</w:t>
      </w:r>
      <w:bookmarkEnd w:id="2"/>
      <w:r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A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Diagram illustrating the es</w:t>
      </w:r>
      <w:r>
        <w:rPr>
          <w:rFonts w:ascii="Times New Roman" w:eastAsia="SimSun" w:hAnsi="Times New Roman" w:cs="Times New Roman"/>
          <w:sz w:val="24"/>
          <w:szCs w:val="24"/>
        </w:rPr>
        <w:t>tablishment of the MC38 mouse tumor-bearing model and the corresponding dosing regimen.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B</w:t>
      </w:r>
      <w:r>
        <w:rPr>
          <w:rFonts w:ascii="Times New Roman" w:eastAsia="SimSun" w:hAnsi="Times New Roman" w:cs="Times New Roman"/>
          <w:sz w:val="24"/>
          <w:szCs w:val="24"/>
        </w:rPr>
        <w:t xml:space="preserve"> Body weight changes of mice bearing MC38 tumors throughout the treatment period</w:t>
      </w:r>
      <w:r>
        <w:rPr>
          <w:rFonts w:ascii="Times New Roman" w:eastAsia="SimSun" w:hAnsi="Times New Roman" w:cs="Times New Roman" w:hint="eastAsia"/>
          <w:sz w:val="24"/>
          <w:szCs w:val="24"/>
        </w:rPr>
        <w:t>.</w:t>
      </w:r>
      <w:r>
        <w:rPr>
          <w:rFonts w:ascii="Times New Roman" w:eastAsia="SimSun" w:hAnsi="Times New Roman" w:cs="Times New Roman"/>
          <w:sz w:val="24"/>
          <w:szCs w:val="24"/>
        </w:rPr>
        <w:t xml:space="preserve"> n = 5.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 xml:space="preserve">C </w:t>
      </w:r>
      <w:r>
        <w:rPr>
          <w:rFonts w:ascii="Times New Roman" w:eastAsia="SimSun" w:hAnsi="Times New Roman" w:cs="Times New Roman"/>
          <w:sz w:val="24"/>
          <w:szCs w:val="24"/>
        </w:rPr>
        <w:t>Curve showing the change in tumor volume of MC38 tumor-bearing mice</w:t>
      </w:r>
      <w:r>
        <w:rPr>
          <w:rFonts w:ascii="Times New Roman" w:eastAsia="SimSun" w:hAnsi="Times New Roman" w:cs="Times New Roman" w:hint="eastAsia"/>
          <w:sz w:val="24"/>
          <w:szCs w:val="24"/>
        </w:rPr>
        <w:t>. n = 5,</w:t>
      </w: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 xml:space="preserve">* </w:t>
      </w:r>
      <w:r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>
        <w:rPr>
          <w:rFonts w:ascii="Times New Roman" w:eastAsia="SimSun" w:hAnsi="Times New Roman" w:cs="Times New Roman" w:hint="eastAsia"/>
          <w:i/>
          <w:iCs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&lt; 0.05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and **</w:t>
      </w:r>
      <w:r>
        <w:rPr>
          <w:rFonts w:ascii="Times New Roman" w:eastAsia="SimSun" w:hAnsi="Times New Roman" w:cs="Times New Roman" w:hint="eastAsia"/>
          <w:i/>
          <w:iCs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0B7B71">
        <w:rPr>
          <w:rFonts w:ascii="Times New Roman" w:eastAsia="SimSun" w:hAnsi="Times New Roman" w:cs="Times New Roman"/>
          <w:sz w:val="24"/>
          <w:szCs w:val="24"/>
        </w:rPr>
        <w:t>&lt; 0.</w:t>
      </w:r>
      <w:r w:rsidRPr="000B7B71">
        <w:rPr>
          <w:rFonts w:ascii="Times New Roman" w:eastAsia="SimSun" w:hAnsi="Times New Roman" w:cs="Times New Roman" w:hint="eastAsia"/>
          <w:sz w:val="24"/>
          <w:szCs w:val="24"/>
        </w:rPr>
        <w:t xml:space="preserve">01. </w:t>
      </w:r>
      <w:r w:rsidRPr="000B7B71">
        <w:rPr>
          <w:rFonts w:ascii="Times New Roman" w:eastAsia="SimSun" w:hAnsi="Times New Roman" w:cs="Times New Roman" w:hint="eastAsia"/>
          <w:b/>
          <w:bCs/>
          <w:sz w:val="24"/>
          <w:szCs w:val="24"/>
        </w:rPr>
        <w:t xml:space="preserve">D </w:t>
      </w:r>
      <w:r w:rsidRPr="000B7B71">
        <w:rPr>
          <w:rFonts w:ascii="Times New Roman" w:eastAsia="SimSun" w:hAnsi="Times New Roman" w:cs="Times New Roman"/>
          <w:sz w:val="24"/>
          <w:szCs w:val="24"/>
        </w:rPr>
        <w:t>Tumor weight measurements of MC38 tumor-bearing mice post-treatment</w:t>
      </w:r>
      <w:r w:rsidRPr="000B7B71">
        <w:rPr>
          <w:rFonts w:ascii="Times New Roman" w:eastAsia="SimSun" w:hAnsi="Times New Roman" w:cs="Times New Roman" w:hint="eastAsia"/>
          <w:sz w:val="24"/>
          <w:szCs w:val="24"/>
        </w:rPr>
        <w:t xml:space="preserve">. </w:t>
      </w:r>
      <w:r w:rsidRPr="000B7B71">
        <w:rPr>
          <w:rFonts w:ascii="Times New Roman" w:hAnsi="Times New Roman" w:cs="Times New Roman" w:hint="eastAsia"/>
          <w:sz w:val="24"/>
          <w:szCs w:val="24"/>
        </w:rPr>
        <w:t>Data are presented as mea</w:t>
      </w:r>
      <w:r w:rsidRPr="000B7B71">
        <w:rPr>
          <w:rFonts w:ascii="Times New Roman" w:hAnsi="Times New Roman" w:cs="Times New Roman"/>
          <w:sz w:val="24"/>
          <w:szCs w:val="24"/>
        </w:rPr>
        <w:t>n ±</w:t>
      </w:r>
      <w:r w:rsidRPr="000B7B71">
        <w:rPr>
          <w:rFonts w:ascii="Times New Roman" w:hAnsi="Times New Roman" w:cs="Times New Roman" w:hint="eastAsia"/>
          <w:sz w:val="24"/>
          <w:szCs w:val="24"/>
        </w:rPr>
        <w:t xml:space="preserve"> SEM</w:t>
      </w:r>
      <w:r w:rsidRPr="000B7B71">
        <w:rPr>
          <w:rFonts w:ascii="Times New Roman" w:eastAsia="SimSun" w:hAnsi="Times New Roman" w:cs="Times New Roman" w:hint="eastAsia"/>
          <w:sz w:val="24"/>
          <w:szCs w:val="24"/>
        </w:rPr>
        <w:t xml:space="preserve"> for </w:t>
      </w:r>
      <w:r w:rsidRPr="000B7B71">
        <w:rPr>
          <w:rFonts w:ascii="Times New Roman" w:hAnsi="Times New Roman" w:cs="Times New Roman"/>
          <w:sz w:val="24"/>
          <w:szCs w:val="24"/>
        </w:rPr>
        <w:t>n = 5 samples</w:t>
      </w:r>
      <w:r w:rsidRPr="000B7B71">
        <w:rPr>
          <w:rFonts w:ascii="Times New Roman" w:hAnsi="Times New Roman" w:cs="Times New Roman" w:hint="eastAsia"/>
          <w:sz w:val="24"/>
          <w:szCs w:val="24"/>
        </w:rPr>
        <w:t xml:space="preserve"> and individual data values are provided in Additional file 2. </w:t>
      </w:r>
      <w:r w:rsidRPr="000B7B71">
        <w:rPr>
          <w:rFonts w:ascii="Times New Roman" w:eastAsia="SimSun" w:hAnsi="Times New Roman" w:cs="Times New Roman"/>
          <w:sz w:val="24"/>
          <w:szCs w:val="24"/>
        </w:rPr>
        <w:t xml:space="preserve">* </w:t>
      </w:r>
      <w:r w:rsidRPr="000B7B71"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 w:rsidRPr="000B7B71">
        <w:rPr>
          <w:rFonts w:ascii="Times New Roman" w:eastAsia="SimSun" w:hAnsi="Times New Roman" w:cs="Times New Roman" w:hint="eastAsia"/>
          <w:i/>
          <w:iCs/>
          <w:sz w:val="24"/>
          <w:szCs w:val="24"/>
        </w:rPr>
        <w:t xml:space="preserve"> </w:t>
      </w:r>
      <w:r w:rsidRPr="000B7B71">
        <w:rPr>
          <w:rFonts w:ascii="Times New Roman" w:eastAsia="SimSun" w:hAnsi="Times New Roman" w:cs="Times New Roman"/>
          <w:sz w:val="24"/>
          <w:szCs w:val="24"/>
        </w:rPr>
        <w:t>&lt; 0.05</w:t>
      </w:r>
      <w:r w:rsidRPr="000B7B71">
        <w:rPr>
          <w:rFonts w:ascii="Times New Roman" w:eastAsia="SimSun" w:hAnsi="Times New Roman" w:cs="Times New Roman" w:hint="eastAsia"/>
          <w:sz w:val="24"/>
          <w:szCs w:val="24"/>
        </w:rPr>
        <w:t xml:space="preserve"> and **</w:t>
      </w:r>
      <w:r w:rsidRPr="000B7B71">
        <w:rPr>
          <w:rFonts w:ascii="Times New Roman" w:eastAsia="SimSun" w:hAnsi="Times New Roman" w:cs="Times New Roman" w:hint="eastAsia"/>
          <w:i/>
          <w:iCs/>
          <w:sz w:val="24"/>
          <w:szCs w:val="24"/>
        </w:rPr>
        <w:t xml:space="preserve"> </w:t>
      </w:r>
      <w:r w:rsidRPr="000B7B71"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 w:rsidRPr="000B7B71">
        <w:rPr>
          <w:rFonts w:ascii="Times New Roman" w:eastAsia="SimSun" w:hAnsi="Times New Roman" w:cs="Times New Roman"/>
          <w:sz w:val="24"/>
          <w:szCs w:val="24"/>
        </w:rPr>
        <w:t xml:space="preserve"> &lt; 0.</w:t>
      </w:r>
      <w:r w:rsidRPr="000B7B71">
        <w:rPr>
          <w:rFonts w:ascii="Times New Roman" w:eastAsia="SimSun" w:hAnsi="Times New Roman" w:cs="Times New Roman" w:hint="eastAsia"/>
          <w:sz w:val="24"/>
          <w:szCs w:val="24"/>
        </w:rPr>
        <w:t>01.</w:t>
      </w:r>
    </w:p>
    <w:p w14:paraId="33361C7C" w14:textId="77777777" w:rsidR="00A3268D" w:rsidRDefault="00A3268D">
      <w:pPr>
        <w:spacing w:before="120" w:after="240" w:line="400" w:lineRule="exac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14:paraId="3DEF82D6" w14:textId="77777777" w:rsidR="00A3268D" w:rsidRDefault="00FF481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87B11A7" w14:textId="77777777" w:rsidR="00A3268D" w:rsidRDefault="00FF481F">
      <w:pPr>
        <w:widowControl/>
        <w:spacing w:before="120" w:after="12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Su</w:t>
      </w:r>
      <w:r>
        <w:rPr>
          <w:rFonts w:ascii="Times New Roman" w:hAnsi="Times New Roman" w:cs="Times New Roman"/>
          <w:b/>
          <w:bCs/>
          <w:sz w:val="24"/>
          <w:szCs w:val="24"/>
        </w:rPr>
        <w:t>pplementary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Tables</w:t>
      </w:r>
    </w:p>
    <w:p w14:paraId="1460F934" w14:textId="77777777" w:rsidR="00A3268D" w:rsidRDefault="00FF481F">
      <w:pPr>
        <w:pStyle w:val="ListParagraph"/>
        <w:spacing w:before="120" w:after="120" w:line="400" w:lineRule="exact"/>
        <w:ind w:firstLineChars="0" w:firstLine="0"/>
        <w:rPr>
          <w:sz w:val="24"/>
          <w:szCs w:val="24"/>
        </w:rPr>
      </w:pPr>
      <w:bookmarkStart w:id="3" w:name="_Hlk182613435"/>
      <w:r>
        <w:rPr>
          <w:rFonts w:hint="eastAsia"/>
          <w:b/>
          <w:bCs/>
          <w:sz w:val="24"/>
          <w:szCs w:val="24"/>
        </w:rPr>
        <w:t>Table S1</w:t>
      </w:r>
      <w:r>
        <w:rPr>
          <w:rFonts w:hint="eastAsia"/>
          <w:sz w:val="24"/>
          <w:szCs w:val="24"/>
        </w:rPr>
        <w:t xml:space="preserve">. </w:t>
      </w:r>
      <w:bookmarkStart w:id="4" w:name="_Hlk177042420"/>
      <w:r>
        <w:rPr>
          <w:sz w:val="24"/>
          <w:szCs w:val="24"/>
        </w:rPr>
        <w:t>Comprehensive data on the 15 small molecule candidates identified as potential inhibitors of CD96.</w:t>
      </w:r>
      <w:bookmarkEnd w:id="4"/>
    </w:p>
    <w:tbl>
      <w:tblPr>
        <w:tblW w:w="9073" w:type="dxa"/>
        <w:tblInd w:w="-142" w:type="dxa"/>
        <w:tblBorders>
          <w:top w:val="single" w:sz="12" w:space="0" w:color="auto"/>
          <w:bottom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1277"/>
        <w:gridCol w:w="2038"/>
        <w:gridCol w:w="2355"/>
        <w:gridCol w:w="1418"/>
        <w:gridCol w:w="1843"/>
      </w:tblGrid>
      <w:tr w:rsidR="00A3268D" w14:paraId="55D99028" w14:textId="77777777">
        <w:trPr>
          <w:trHeight w:val="377"/>
        </w:trPr>
        <w:tc>
          <w:tcPr>
            <w:tcW w:w="1419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</w:tcPr>
          <w:bookmarkEnd w:id="3"/>
          <w:p w14:paraId="674508F2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 w:hint="eastAsia"/>
                <w:sz w:val="24"/>
                <w:szCs w:val="24"/>
              </w:rPr>
              <w:t>SMC n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umber</w:t>
            </w:r>
          </w:p>
        </w:tc>
        <w:tc>
          <w:tcPr>
            <w:tcW w:w="203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</w:tcPr>
          <w:p w14:paraId="5E750993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Name</w:t>
            </w:r>
          </w:p>
        </w:tc>
        <w:tc>
          <w:tcPr>
            <w:tcW w:w="235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</w:tcPr>
          <w:p w14:paraId="4AFD2830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Structure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</w:tcPr>
          <w:p w14:paraId="6CFBA6D5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 w:hint="eastAsia"/>
                <w:sz w:val="24"/>
                <w:szCs w:val="24"/>
              </w:rPr>
              <w:t>CAS number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</w:tcPr>
          <w:p w14:paraId="0D3C1AB7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Blocking rate (%)</w:t>
            </w:r>
          </w:p>
        </w:tc>
      </w:tr>
      <w:tr w:rsidR="00A3268D" w14:paraId="5B033555" w14:textId="77777777">
        <w:trPr>
          <w:gridBefore w:val="1"/>
          <w:wBefore w:w="142" w:type="dxa"/>
          <w:trHeight w:val="454"/>
        </w:trPr>
        <w:tc>
          <w:tcPr>
            <w:tcW w:w="1277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167C38C8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SMC119</w:t>
            </w:r>
          </w:p>
        </w:tc>
        <w:tc>
          <w:tcPr>
            <w:tcW w:w="2038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369B19DD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Pyrithioxin</w:t>
            </w:r>
          </w:p>
        </w:tc>
        <w:tc>
          <w:tcPr>
            <w:tcW w:w="235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773BF884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1E4C8F94" wp14:editId="7A2CECD1">
                  <wp:extent cx="859790" cy="546100"/>
                  <wp:effectExtent l="0" t="0" r="0" b="6350"/>
                  <wp:docPr id="55305245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052456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102" b="59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119" cy="643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52B9D9DC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1098-97-1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3EE7BB24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3.96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5.6</w:t>
            </w:r>
          </w:p>
        </w:tc>
      </w:tr>
      <w:tr w:rsidR="00A3268D" w14:paraId="5C8EC37C" w14:textId="77777777">
        <w:trPr>
          <w:gridBefore w:val="1"/>
          <w:wBefore w:w="142" w:type="dxa"/>
          <w:trHeight w:val="454"/>
        </w:trPr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2521F53E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SMC576</w:t>
            </w:r>
          </w:p>
        </w:tc>
        <w:tc>
          <w:tcPr>
            <w:tcW w:w="2038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22CA0C90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Glimepiride</w:t>
            </w:r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3C50BD44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2885F5C7" wp14:editId="3632A3D8">
                  <wp:extent cx="1175385" cy="496570"/>
                  <wp:effectExtent l="0" t="0" r="5715" b="0"/>
                  <wp:docPr id="2047708334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7708334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9295" cy="507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0079A217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93479-97-1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554BEB4D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1.99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3.0</w:t>
            </w:r>
          </w:p>
        </w:tc>
      </w:tr>
      <w:tr w:rsidR="00A3268D" w14:paraId="46421CD6" w14:textId="77777777">
        <w:trPr>
          <w:gridBefore w:val="1"/>
          <w:wBefore w:w="142" w:type="dxa"/>
          <w:trHeight w:val="454"/>
        </w:trPr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6BEE6188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SMC577</w:t>
            </w:r>
          </w:p>
        </w:tc>
        <w:tc>
          <w:tcPr>
            <w:tcW w:w="2038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3320976B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Probucol</w:t>
            </w:r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045DA4D7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4FC4530F" wp14:editId="39B34C21">
                  <wp:extent cx="781050" cy="466090"/>
                  <wp:effectExtent l="0" t="0" r="0" b="0"/>
                  <wp:docPr id="1879696385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9696385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822" cy="476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17896BBA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23288-49-5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0DF68B13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5.61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5.0</w:t>
            </w:r>
          </w:p>
        </w:tc>
      </w:tr>
      <w:tr w:rsidR="00A3268D" w14:paraId="76D7F168" w14:textId="77777777">
        <w:trPr>
          <w:gridBefore w:val="1"/>
          <w:wBefore w:w="142" w:type="dxa"/>
          <w:trHeight w:val="991"/>
        </w:trPr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71591BC6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SMC578</w:t>
            </w:r>
          </w:p>
        </w:tc>
        <w:tc>
          <w:tcPr>
            <w:tcW w:w="2038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028B7990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Flunarizine dihydrochloride</w:t>
            </w:r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3BC33BE4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2E7C541F" wp14:editId="72B403B3">
                  <wp:extent cx="1002030" cy="521335"/>
                  <wp:effectExtent l="0" t="0" r="7620" b="0"/>
                  <wp:docPr id="436054426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054426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526" cy="527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4BDD649C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30484-77-6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076989CB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10.4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4.2</w:t>
            </w:r>
          </w:p>
        </w:tc>
      </w:tr>
      <w:tr w:rsidR="00A3268D" w14:paraId="59796BBC" w14:textId="77777777">
        <w:trPr>
          <w:gridBefore w:val="1"/>
          <w:wBefore w:w="142" w:type="dxa"/>
          <w:trHeight w:val="454"/>
        </w:trPr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5555199E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SMC579</w:t>
            </w:r>
          </w:p>
        </w:tc>
        <w:tc>
          <w:tcPr>
            <w:tcW w:w="2038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3CC49F89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Silodosin</w:t>
            </w:r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5E291C24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7EFECD14" wp14:editId="100E7D91">
                  <wp:extent cx="870585" cy="557530"/>
                  <wp:effectExtent l="0" t="0" r="5715" b="0"/>
                  <wp:docPr id="1282110108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2110108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46" cy="569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6A2974F5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160970-54-7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5378B9B6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4.58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2.9</w:t>
            </w:r>
          </w:p>
        </w:tc>
      </w:tr>
      <w:tr w:rsidR="00A3268D" w14:paraId="05A09348" w14:textId="77777777">
        <w:trPr>
          <w:gridBefore w:val="1"/>
          <w:wBefore w:w="142" w:type="dxa"/>
          <w:trHeight w:val="553"/>
        </w:trPr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2226E55D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SMC580</w:t>
            </w:r>
          </w:p>
        </w:tc>
        <w:tc>
          <w:tcPr>
            <w:tcW w:w="2038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4939E100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Mocetinostat</w:t>
            </w:r>
            <w:proofErr w:type="spellEnd"/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4C798A07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16F3DC8D" wp14:editId="2460BB88">
                  <wp:extent cx="884555" cy="466090"/>
                  <wp:effectExtent l="0" t="0" r="0" b="0"/>
                  <wp:docPr id="1497073786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7073786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215" cy="470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6DB0FDE4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726169-73-9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3A08FB61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2.30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1.2</w:t>
            </w:r>
          </w:p>
        </w:tc>
      </w:tr>
      <w:tr w:rsidR="00A3268D" w14:paraId="382DDEE0" w14:textId="77777777">
        <w:trPr>
          <w:gridBefore w:val="1"/>
          <w:wBefore w:w="142" w:type="dxa"/>
          <w:trHeight w:val="806"/>
        </w:trPr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7C3ED8DD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SMC581</w:t>
            </w:r>
          </w:p>
        </w:tc>
        <w:tc>
          <w:tcPr>
            <w:tcW w:w="2038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1212A0D5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Cefcapene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Pivoxil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Hydrochloride</w:t>
            </w:r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6FB0B94F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2E070DA0" wp14:editId="5FA275F6">
                  <wp:extent cx="963295" cy="611505"/>
                  <wp:effectExtent l="0" t="0" r="8255" b="0"/>
                  <wp:docPr id="1910031411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0031411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8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785" cy="622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69C1F2CC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147816-24-8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508C79EA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14.9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3.7</w:t>
            </w:r>
          </w:p>
        </w:tc>
      </w:tr>
      <w:tr w:rsidR="00A3268D" w14:paraId="5423DC52" w14:textId="77777777">
        <w:trPr>
          <w:gridBefore w:val="1"/>
          <w:wBefore w:w="142" w:type="dxa"/>
          <w:trHeight w:val="806"/>
        </w:trPr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52CBFB2F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SMC582</w:t>
            </w:r>
          </w:p>
        </w:tc>
        <w:tc>
          <w:tcPr>
            <w:tcW w:w="2038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767022AC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Trimethobenzamide hydrochloride</w:t>
            </w:r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46EF1034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7694391A" wp14:editId="2EE732D4">
                  <wp:extent cx="1122045" cy="613410"/>
                  <wp:effectExtent l="0" t="0" r="1905" b="0"/>
                  <wp:docPr id="921249348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249348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8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068" cy="6232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5C4D6E22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554-92-7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218706FD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13.2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3.1</w:t>
            </w:r>
          </w:p>
        </w:tc>
      </w:tr>
      <w:tr w:rsidR="00A3268D" w14:paraId="329F481A" w14:textId="77777777">
        <w:trPr>
          <w:gridBefore w:val="1"/>
          <w:wBefore w:w="142" w:type="dxa"/>
          <w:trHeight w:val="454"/>
        </w:trPr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7EC80968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SMC583</w:t>
            </w:r>
          </w:p>
        </w:tc>
        <w:tc>
          <w:tcPr>
            <w:tcW w:w="2038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5B1DCFE5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Nestoron</w:t>
            </w:r>
            <w:proofErr w:type="spellEnd"/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21BD5A70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018BC654" wp14:editId="6A443ECF">
                  <wp:extent cx="787400" cy="546100"/>
                  <wp:effectExtent l="0" t="0" r="0" b="6350"/>
                  <wp:docPr id="107352627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52627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234" cy="554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784330C8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7759-35-5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44B36E67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23.3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3.0</w:t>
            </w:r>
          </w:p>
        </w:tc>
      </w:tr>
      <w:tr w:rsidR="00A3268D" w14:paraId="0E301B92" w14:textId="77777777">
        <w:trPr>
          <w:gridBefore w:val="1"/>
          <w:wBefore w:w="142" w:type="dxa"/>
          <w:trHeight w:val="454"/>
        </w:trPr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239DC964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SMC584</w:t>
            </w:r>
          </w:p>
        </w:tc>
        <w:tc>
          <w:tcPr>
            <w:tcW w:w="2038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7743C0CA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Maraviroc</w:t>
            </w:r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7D47FFD0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572A712D" wp14:editId="1244B8D2">
                  <wp:extent cx="955040" cy="551815"/>
                  <wp:effectExtent l="0" t="0" r="0" b="635"/>
                  <wp:docPr id="2142895629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895629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91" b="6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315" cy="57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4E2DC745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376348-65-1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4D4293E2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20.8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2.5</w:t>
            </w:r>
          </w:p>
        </w:tc>
      </w:tr>
      <w:tr w:rsidR="00A3268D" w14:paraId="243ED693" w14:textId="77777777">
        <w:trPr>
          <w:gridBefore w:val="1"/>
          <w:wBefore w:w="142" w:type="dxa"/>
          <w:trHeight w:val="454"/>
        </w:trPr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669E7B0A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SMC585</w:t>
            </w:r>
          </w:p>
        </w:tc>
        <w:tc>
          <w:tcPr>
            <w:tcW w:w="2038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68E32804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Nadifloxacin</w:t>
            </w:r>
            <w:proofErr w:type="spellEnd"/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6D83052E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71731239" wp14:editId="668F0EEA">
                  <wp:extent cx="874395" cy="527685"/>
                  <wp:effectExtent l="0" t="0" r="1905" b="5715"/>
                  <wp:docPr id="490184327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184327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649" cy="535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566AACD9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124858-35-1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5575D37A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27.3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4.6</w:t>
            </w:r>
          </w:p>
        </w:tc>
      </w:tr>
      <w:tr w:rsidR="00A3268D" w14:paraId="773558E5" w14:textId="77777777">
        <w:trPr>
          <w:gridBefore w:val="1"/>
          <w:wBefore w:w="142" w:type="dxa"/>
          <w:trHeight w:val="454"/>
        </w:trPr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19BA846B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lastRenderedPageBreak/>
              <w:t>SMC586</w:t>
            </w:r>
          </w:p>
        </w:tc>
        <w:tc>
          <w:tcPr>
            <w:tcW w:w="2038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2376CD7F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Lifitegrast</w:t>
            </w:r>
            <w:proofErr w:type="spellEnd"/>
          </w:p>
        </w:tc>
        <w:tc>
          <w:tcPr>
            <w:tcW w:w="2355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1FB645B3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193C0ABD" wp14:editId="2F74C56F">
                  <wp:extent cx="1024255" cy="490220"/>
                  <wp:effectExtent l="0" t="0" r="4445" b="5080"/>
                  <wp:docPr id="1727526178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7526178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07" t="8346" b="82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1368" cy="4934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2E9C9F39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1025967-78-5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49951437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23.8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5.0</w:t>
            </w:r>
          </w:p>
        </w:tc>
      </w:tr>
      <w:tr w:rsidR="00A3268D" w14:paraId="7D353118" w14:textId="77777777">
        <w:trPr>
          <w:gridBefore w:val="1"/>
          <w:wBefore w:w="142" w:type="dxa"/>
          <w:trHeight w:val="454"/>
        </w:trPr>
        <w:tc>
          <w:tcPr>
            <w:tcW w:w="1277" w:type="dxa"/>
            <w:tcBorders>
              <w:top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54A03E01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SMC587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22778D19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Prulifloxacin</w:t>
            </w:r>
          </w:p>
        </w:tc>
        <w:tc>
          <w:tcPr>
            <w:tcW w:w="2355" w:type="dxa"/>
            <w:tcBorders>
              <w:top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5F6CBEAA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2DC705D2" wp14:editId="4737229A">
                  <wp:extent cx="1050290" cy="521335"/>
                  <wp:effectExtent l="0" t="0" r="0" b="0"/>
                  <wp:docPr id="1836525881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6525881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999" cy="52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69DB5DA4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123447-62-1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1FA44D46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31.9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0.36</w:t>
            </w:r>
          </w:p>
        </w:tc>
      </w:tr>
      <w:tr w:rsidR="00A3268D" w14:paraId="75F46D69" w14:textId="77777777">
        <w:trPr>
          <w:gridBefore w:val="1"/>
          <w:wBefore w:w="142" w:type="dxa"/>
          <w:trHeight w:val="454"/>
        </w:trPr>
        <w:tc>
          <w:tcPr>
            <w:tcW w:w="1277" w:type="dxa"/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7CA96E89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SMC588</w:t>
            </w:r>
          </w:p>
        </w:tc>
        <w:tc>
          <w:tcPr>
            <w:tcW w:w="2038" w:type="dxa"/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0B0271B0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Epinastine</w:t>
            </w:r>
            <w:proofErr w:type="spellEnd"/>
          </w:p>
        </w:tc>
        <w:tc>
          <w:tcPr>
            <w:tcW w:w="2355" w:type="dxa"/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77D02069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29375B91" wp14:editId="4BC0998D">
                  <wp:extent cx="717550" cy="501650"/>
                  <wp:effectExtent l="0" t="0" r="6350" b="0"/>
                  <wp:docPr id="2063585308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3585308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097" cy="52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0678542F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108929-04-0</w:t>
            </w:r>
          </w:p>
        </w:tc>
        <w:tc>
          <w:tcPr>
            <w:tcW w:w="1843" w:type="dxa"/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51424240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35.5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1.0</w:t>
            </w:r>
          </w:p>
        </w:tc>
      </w:tr>
      <w:tr w:rsidR="00A3268D" w14:paraId="2CCB49A6" w14:textId="77777777">
        <w:trPr>
          <w:gridBefore w:val="1"/>
          <w:wBefore w:w="142" w:type="dxa"/>
          <w:trHeight w:val="508"/>
        </w:trPr>
        <w:tc>
          <w:tcPr>
            <w:tcW w:w="1277" w:type="dxa"/>
            <w:tcBorders>
              <w:bottom w:val="single" w:sz="12" w:space="0" w:color="auto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3D163F05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SMC589</w:t>
            </w:r>
          </w:p>
        </w:tc>
        <w:tc>
          <w:tcPr>
            <w:tcW w:w="2038" w:type="dxa"/>
            <w:tcBorders>
              <w:bottom w:val="single" w:sz="12" w:space="0" w:color="auto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197C6F9F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Sorafenib</w:t>
            </w:r>
          </w:p>
        </w:tc>
        <w:tc>
          <w:tcPr>
            <w:tcW w:w="2355" w:type="dxa"/>
            <w:tcBorders>
              <w:bottom w:val="single" w:sz="12" w:space="0" w:color="auto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55D2E134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36CF81D4" wp14:editId="51B4600E">
                  <wp:extent cx="1288415" cy="445770"/>
                  <wp:effectExtent l="0" t="0" r="6985" b="0"/>
                  <wp:docPr id="1993173827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3173827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416" cy="458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16167BCF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284461-73-0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tcMar>
              <w:top w:w="15" w:type="dxa"/>
              <w:left w:w="34" w:type="dxa"/>
              <w:bottom w:w="0" w:type="dxa"/>
              <w:right w:w="34" w:type="dxa"/>
            </w:tcMar>
            <w:vAlign w:val="center"/>
          </w:tcPr>
          <w:p w14:paraId="77986799" w14:textId="77777777" w:rsidR="00A3268D" w:rsidRDefault="00FF481F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35.1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1.3</w:t>
            </w:r>
          </w:p>
        </w:tc>
      </w:tr>
    </w:tbl>
    <w:p w14:paraId="0DD542E5" w14:textId="77777777" w:rsidR="00A3268D" w:rsidRDefault="00A326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A3268D" w:rsidSect="00FF48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B7B"/>
    <w:rsid w:val="00003BFA"/>
    <w:rsid w:val="00004229"/>
    <w:rsid w:val="00057F52"/>
    <w:rsid w:val="00090027"/>
    <w:rsid w:val="000936A5"/>
    <w:rsid w:val="000B6C89"/>
    <w:rsid w:val="000B7B71"/>
    <w:rsid w:val="000C3A74"/>
    <w:rsid w:val="0016147C"/>
    <w:rsid w:val="00165689"/>
    <w:rsid w:val="00172B8B"/>
    <w:rsid w:val="001740BB"/>
    <w:rsid w:val="00175FCF"/>
    <w:rsid w:val="0018637F"/>
    <w:rsid w:val="001952A8"/>
    <w:rsid w:val="001A2B66"/>
    <w:rsid w:val="001E6B3F"/>
    <w:rsid w:val="00202DCB"/>
    <w:rsid w:val="00233F69"/>
    <w:rsid w:val="00237092"/>
    <w:rsid w:val="002568E5"/>
    <w:rsid w:val="00257A4B"/>
    <w:rsid w:val="002622A5"/>
    <w:rsid w:val="00297620"/>
    <w:rsid w:val="002C00A2"/>
    <w:rsid w:val="002C25A2"/>
    <w:rsid w:val="002F29F6"/>
    <w:rsid w:val="002F6B1E"/>
    <w:rsid w:val="00302F07"/>
    <w:rsid w:val="00320DD7"/>
    <w:rsid w:val="00390E38"/>
    <w:rsid w:val="00393C94"/>
    <w:rsid w:val="003A0645"/>
    <w:rsid w:val="003E4E97"/>
    <w:rsid w:val="004122E4"/>
    <w:rsid w:val="00423CB0"/>
    <w:rsid w:val="0045153F"/>
    <w:rsid w:val="00461FF1"/>
    <w:rsid w:val="00485130"/>
    <w:rsid w:val="004A2697"/>
    <w:rsid w:val="004A391F"/>
    <w:rsid w:val="004D47ED"/>
    <w:rsid w:val="005011F4"/>
    <w:rsid w:val="0052190A"/>
    <w:rsid w:val="00564B7B"/>
    <w:rsid w:val="0059023A"/>
    <w:rsid w:val="005A77ED"/>
    <w:rsid w:val="005B0B12"/>
    <w:rsid w:val="005C014F"/>
    <w:rsid w:val="005D2A71"/>
    <w:rsid w:val="005D3C83"/>
    <w:rsid w:val="005E04B3"/>
    <w:rsid w:val="005F01C1"/>
    <w:rsid w:val="006045CE"/>
    <w:rsid w:val="00615047"/>
    <w:rsid w:val="006425E2"/>
    <w:rsid w:val="00655039"/>
    <w:rsid w:val="0067061F"/>
    <w:rsid w:val="00672BBD"/>
    <w:rsid w:val="00675163"/>
    <w:rsid w:val="006857E6"/>
    <w:rsid w:val="006A04E5"/>
    <w:rsid w:val="006A64AB"/>
    <w:rsid w:val="006C5520"/>
    <w:rsid w:val="00726818"/>
    <w:rsid w:val="00735835"/>
    <w:rsid w:val="00742714"/>
    <w:rsid w:val="00762EFA"/>
    <w:rsid w:val="007821DE"/>
    <w:rsid w:val="007C0805"/>
    <w:rsid w:val="007E5584"/>
    <w:rsid w:val="007F689C"/>
    <w:rsid w:val="008242DE"/>
    <w:rsid w:val="00843C8F"/>
    <w:rsid w:val="00851DEE"/>
    <w:rsid w:val="008A7F99"/>
    <w:rsid w:val="008C50DD"/>
    <w:rsid w:val="008F19DD"/>
    <w:rsid w:val="009067E5"/>
    <w:rsid w:val="00911982"/>
    <w:rsid w:val="00920A31"/>
    <w:rsid w:val="00930D39"/>
    <w:rsid w:val="009376D8"/>
    <w:rsid w:val="009419BC"/>
    <w:rsid w:val="00951F91"/>
    <w:rsid w:val="0096000F"/>
    <w:rsid w:val="009902A4"/>
    <w:rsid w:val="009A7EBB"/>
    <w:rsid w:val="009B505A"/>
    <w:rsid w:val="009C2E9E"/>
    <w:rsid w:val="00A21086"/>
    <w:rsid w:val="00A3268D"/>
    <w:rsid w:val="00A374D6"/>
    <w:rsid w:val="00AA5CAA"/>
    <w:rsid w:val="00AB4CD0"/>
    <w:rsid w:val="00AE0439"/>
    <w:rsid w:val="00AE50BF"/>
    <w:rsid w:val="00B00A61"/>
    <w:rsid w:val="00B072FB"/>
    <w:rsid w:val="00B40BF5"/>
    <w:rsid w:val="00B6578A"/>
    <w:rsid w:val="00B77A2F"/>
    <w:rsid w:val="00B91868"/>
    <w:rsid w:val="00BA1887"/>
    <w:rsid w:val="00BC3AFE"/>
    <w:rsid w:val="00BC51ED"/>
    <w:rsid w:val="00BD704C"/>
    <w:rsid w:val="00BE712F"/>
    <w:rsid w:val="00C56E59"/>
    <w:rsid w:val="00C62277"/>
    <w:rsid w:val="00C87249"/>
    <w:rsid w:val="00CC7F10"/>
    <w:rsid w:val="00CE6450"/>
    <w:rsid w:val="00CE7393"/>
    <w:rsid w:val="00D30DA7"/>
    <w:rsid w:val="00D55799"/>
    <w:rsid w:val="00D85041"/>
    <w:rsid w:val="00D95F3A"/>
    <w:rsid w:val="00DA542E"/>
    <w:rsid w:val="00DD4CEC"/>
    <w:rsid w:val="00DF0542"/>
    <w:rsid w:val="00DF4D91"/>
    <w:rsid w:val="00E07441"/>
    <w:rsid w:val="00E117D8"/>
    <w:rsid w:val="00E13CB2"/>
    <w:rsid w:val="00E42F94"/>
    <w:rsid w:val="00E43DCC"/>
    <w:rsid w:val="00E45385"/>
    <w:rsid w:val="00E47659"/>
    <w:rsid w:val="00E700EF"/>
    <w:rsid w:val="00E72A4B"/>
    <w:rsid w:val="00E91737"/>
    <w:rsid w:val="00EA1F20"/>
    <w:rsid w:val="00EB1F03"/>
    <w:rsid w:val="00EB29B7"/>
    <w:rsid w:val="00EE3B26"/>
    <w:rsid w:val="00EF1003"/>
    <w:rsid w:val="00F243CD"/>
    <w:rsid w:val="00F263A8"/>
    <w:rsid w:val="00F3208A"/>
    <w:rsid w:val="00F3224F"/>
    <w:rsid w:val="00F44ECF"/>
    <w:rsid w:val="00F57A8D"/>
    <w:rsid w:val="00F66522"/>
    <w:rsid w:val="00F77F55"/>
    <w:rsid w:val="00F931CF"/>
    <w:rsid w:val="00F94BED"/>
    <w:rsid w:val="00FA017D"/>
    <w:rsid w:val="00FC2947"/>
    <w:rsid w:val="00FC48C7"/>
    <w:rsid w:val="00FD1C14"/>
    <w:rsid w:val="00FD612D"/>
    <w:rsid w:val="00FE26C3"/>
    <w:rsid w:val="00FE554D"/>
    <w:rsid w:val="00FF4528"/>
    <w:rsid w:val="00FF481F"/>
    <w:rsid w:val="16E4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F83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jc w:val="left"/>
    </w:p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SimSun" w:hAnsi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rFonts w:ascii="Times New Roman" w:eastAsia="SimSun" w:hAnsi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qFormat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styleId="ListParagraph">
    <w:name w:val="List Paragraph"/>
    <w:basedOn w:val="Normal"/>
    <w:uiPriority w:val="99"/>
    <w:unhideWhenUsed/>
    <w:pPr>
      <w:ind w:firstLineChars="200" w:firstLine="420"/>
    </w:pPr>
    <w:rPr>
      <w:rFonts w:ascii="Times New Roman" w:eastAsia="SimSun" w:hAnsi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Theme="minorHAnsi" w:eastAsiaTheme="minorEastAsia" w:hAnsiTheme="minorHAnsi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Theme="minorHAnsi" w:eastAsiaTheme="minorEastAsia" w:hAnsiTheme="minorHAnsi"/>
      <w:b/>
      <w:bCs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/>
      <w:kern w:val="2"/>
      <w:sz w:val="21"/>
      <w:szCs w:val="22"/>
    </w:rPr>
  </w:style>
  <w:style w:type="character" w:customStyle="1" w:styleId="15">
    <w:name w:val="15"/>
    <w:basedOn w:val="DefaultParagraphFont"/>
    <w:qFormat/>
    <w:rPr>
      <w:rFonts w:ascii="DengXian" w:eastAsia="DengXian" w:hAnsi="DengXian" w:hint="eastAsia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8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81F"/>
    <w:rPr>
      <w:rFonts w:ascii="Tahoma" w:eastAsiaTheme="minorEastAsia" w:hAnsi="Tahoma" w:cs="Tahoma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jc w:val="left"/>
    </w:p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SimSun" w:hAnsi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rFonts w:ascii="Times New Roman" w:eastAsia="SimSun" w:hAnsi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qFormat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styleId="ListParagraph">
    <w:name w:val="List Paragraph"/>
    <w:basedOn w:val="Normal"/>
    <w:uiPriority w:val="99"/>
    <w:unhideWhenUsed/>
    <w:pPr>
      <w:ind w:firstLineChars="200" w:firstLine="420"/>
    </w:pPr>
    <w:rPr>
      <w:rFonts w:ascii="Times New Roman" w:eastAsia="SimSun" w:hAnsi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Theme="minorHAnsi" w:eastAsiaTheme="minorEastAsia" w:hAnsiTheme="minorHAnsi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Theme="minorHAnsi" w:eastAsiaTheme="minorEastAsia" w:hAnsiTheme="minorHAnsi"/>
      <w:b/>
      <w:bCs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/>
      <w:kern w:val="2"/>
      <w:sz w:val="21"/>
      <w:szCs w:val="22"/>
    </w:rPr>
  </w:style>
  <w:style w:type="character" w:customStyle="1" w:styleId="15">
    <w:name w:val="15"/>
    <w:basedOn w:val="DefaultParagraphFont"/>
    <w:qFormat/>
    <w:rPr>
      <w:rFonts w:ascii="DengXian" w:eastAsia="DengXian" w:hAnsi="DengXian" w:hint="eastAsia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8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81F"/>
    <w:rPr>
      <w:rFonts w:ascii="Tahoma" w:eastAsiaTheme="minorEastAsia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hyperlink" Target="mailto:zhaowsh07@zzu.edu.c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hyperlink" Target="mailto:zhouxw@zzu.edu.cn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20A78-5B78-4E5A-9567-F78B14585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544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Xiaowen Zhou</dc:creator>
  <cp:lastModifiedBy>Hungoy, Jasley</cp:lastModifiedBy>
  <cp:revision>180</cp:revision>
  <dcterms:created xsi:type="dcterms:W3CDTF">2024-09-08T15:15:00Z</dcterms:created>
  <dcterms:modified xsi:type="dcterms:W3CDTF">2025-01-20T01:45:00Z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17839A8FDC7A44CDB960AD49BE8A00BB_12</vt:lpwstr>
  </property>
</Properties>
</file>