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27F46" w14:textId="4FCE20F2" w:rsidR="00692324" w:rsidRPr="00403BA0" w:rsidRDefault="00934F1D" w:rsidP="00692324">
      <w:pPr>
        <w:rPr>
          <w:sz w:val="26"/>
          <w:szCs w:val="24"/>
        </w:rPr>
      </w:pPr>
      <w:r>
        <w:rPr>
          <w:sz w:val="26"/>
          <w:szCs w:val="24"/>
        </w:rPr>
        <w:t>Additional</w:t>
      </w:r>
      <w:r w:rsidR="00692324" w:rsidRPr="00403BA0">
        <w:rPr>
          <w:sz w:val="26"/>
          <w:szCs w:val="24"/>
        </w:rPr>
        <w:t xml:space="preserve"> Figures and Tables for:</w:t>
      </w:r>
    </w:p>
    <w:p w14:paraId="7FE13023" w14:textId="77777777" w:rsidR="00180B41" w:rsidRPr="00076A62" w:rsidRDefault="00180B41" w:rsidP="00180B41">
      <w:pPr>
        <w:spacing w:line="480" w:lineRule="auto"/>
        <w:rPr>
          <w:sz w:val="26"/>
          <w:szCs w:val="24"/>
          <w:u w:val="single"/>
        </w:rPr>
      </w:pPr>
      <w:r w:rsidRPr="00076A62">
        <w:rPr>
          <w:sz w:val="26"/>
          <w:szCs w:val="24"/>
          <w:u w:val="single"/>
        </w:rPr>
        <w:t>Convergent evolution of noncoding elements associated with short tarsus length in birds</w:t>
      </w:r>
    </w:p>
    <w:p w14:paraId="7D00A94B" w14:textId="77777777" w:rsidR="00180B41" w:rsidRPr="00076A62" w:rsidRDefault="00180B41" w:rsidP="00180B41">
      <w:pPr>
        <w:spacing w:line="480" w:lineRule="auto"/>
      </w:pPr>
      <w:r w:rsidRPr="00076A62">
        <w:t>Subir B. Shakya</w:t>
      </w:r>
      <w:r w:rsidRPr="00076A62">
        <w:rPr>
          <w:vertAlign w:val="superscript"/>
        </w:rPr>
        <w:t>1,2</w:t>
      </w:r>
      <w:r w:rsidRPr="00076A62">
        <w:t>, Scott V. Edwards</w:t>
      </w:r>
      <w:r w:rsidRPr="00076A62">
        <w:rPr>
          <w:vertAlign w:val="superscript"/>
        </w:rPr>
        <w:t>2</w:t>
      </w:r>
      <w:r w:rsidRPr="00076A62">
        <w:t>, Timothy B. Sackton</w:t>
      </w:r>
      <w:r w:rsidRPr="00076A62">
        <w:rPr>
          <w:vertAlign w:val="superscript"/>
        </w:rPr>
        <w:t>1,2</w:t>
      </w:r>
    </w:p>
    <w:p w14:paraId="1D6BA8BF" w14:textId="77777777" w:rsidR="00180B41" w:rsidRPr="00076A62" w:rsidRDefault="00180B41" w:rsidP="00180B41">
      <w:pPr>
        <w:spacing w:after="0" w:line="480" w:lineRule="auto"/>
        <w:rPr>
          <w:rFonts w:eastAsia="Times New Roman"/>
          <w:kern w:val="0"/>
          <w:szCs w:val="24"/>
          <w14:ligatures w14:val="none"/>
        </w:rPr>
      </w:pPr>
      <w:r w:rsidRPr="00076A62">
        <w:rPr>
          <w:rFonts w:eastAsia="Times New Roman"/>
          <w:kern w:val="0"/>
          <w:szCs w:val="24"/>
          <w:vertAlign w:val="superscript"/>
          <w14:ligatures w14:val="none"/>
        </w:rPr>
        <w:t>1</w:t>
      </w:r>
      <w:r w:rsidRPr="00076A62">
        <w:rPr>
          <w:rFonts w:eastAsia="Times New Roman"/>
          <w:kern w:val="0"/>
          <w:szCs w:val="24"/>
          <w14:ligatures w14:val="none"/>
        </w:rPr>
        <w:t>Informatics Group, Harvard University, Cambridge, MA, USA.</w:t>
      </w:r>
    </w:p>
    <w:p w14:paraId="46355CA9" w14:textId="77777777" w:rsidR="00180B41" w:rsidRPr="00076A62" w:rsidRDefault="00180B41" w:rsidP="00180B41">
      <w:pPr>
        <w:spacing w:after="0" w:line="480" w:lineRule="auto"/>
        <w:rPr>
          <w:rFonts w:eastAsia="Times New Roman"/>
          <w:kern w:val="0"/>
          <w:szCs w:val="24"/>
          <w14:ligatures w14:val="none"/>
        </w:rPr>
      </w:pPr>
      <w:r w:rsidRPr="00076A62">
        <w:rPr>
          <w:rFonts w:eastAsia="Times New Roman"/>
          <w:kern w:val="0"/>
          <w:szCs w:val="24"/>
          <w:vertAlign w:val="superscript"/>
          <w14:ligatures w14:val="none"/>
        </w:rPr>
        <w:t>2</w:t>
      </w:r>
      <w:r w:rsidRPr="00076A62">
        <w:rPr>
          <w:rFonts w:eastAsia="Times New Roman"/>
          <w:kern w:val="0"/>
          <w:szCs w:val="24"/>
          <w14:ligatures w14:val="none"/>
        </w:rPr>
        <w:t>Department of Organismic and Evolutionary Biology, Harvard University, Cambridge, MA, USA.</w:t>
      </w:r>
    </w:p>
    <w:p w14:paraId="6BB3BDC2" w14:textId="77777777" w:rsidR="00403BA0" w:rsidRDefault="00403BA0"/>
    <w:p w14:paraId="4A3E7798" w14:textId="356BE22F" w:rsidR="00692324" w:rsidRDefault="00692324">
      <w:r>
        <w:br w:type="page"/>
      </w:r>
    </w:p>
    <w:p w14:paraId="539C9BCA" w14:textId="51EFDA60" w:rsidR="00D97095" w:rsidRDefault="00621403">
      <w:r>
        <w:rPr>
          <w:noProof/>
          <w:lang w:val="en-GB" w:eastAsia="en-GB"/>
        </w:rPr>
        <w:lastRenderedPageBreak/>
        <w:drawing>
          <wp:inline distT="0" distB="0" distL="0" distR="0" wp14:anchorId="799967E4" wp14:editId="3FEE6553">
            <wp:extent cx="4793673" cy="7360901"/>
            <wp:effectExtent l="0" t="0" r="0" b="0"/>
            <wp:docPr id="884566322" name="Picture 4"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66322" name="Picture 4" descr="A screenshot of a 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98759" cy="7368711"/>
                    </a:xfrm>
                    <a:prstGeom prst="rect">
                      <a:avLst/>
                    </a:prstGeom>
                  </pic:spPr>
                </pic:pic>
              </a:graphicData>
            </a:graphic>
          </wp:inline>
        </w:drawing>
      </w:r>
    </w:p>
    <w:p w14:paraId="4D9E05C3" w14:textId="59E944A1" w:rsidR="00621403" w:rsidRDefault="00621403">
      <w:r>
        <w:t xml:space="preserve">Figure </w:t>
      </w:r>
      <w:r w:rsidR="009B428B">
        <w:t>S</w:t>
      </w:r>
      <w:r>
        <w:t xml:space="preserve">1: Schematic of methods and datasets used to A) get conserved elements, B) run </w:t>
      </w:r>
      <w:proofErr w:type="spellStart"/>
      <w:r>
        <w:t>PhyloAcc</w:t>
      </w:r>
      <w:proofErr w:type="spellEnd"/>
      <w:r>
        <w:t xml:space="preserve">, and C) interpret </w:t>
      </w:r>
      <w:proofErr w:type="spellStart"/>
      <w:r>
        <w:t>PhyloAcc</w:t>
      </w:r>
      <w:proofErr w:type="spellEnd"/>
      <w:r>
        <w:t xml:space="preserve"> results. Number of elements at different points in the schematic are represented below representative blocks.</w:t>
      </w:r>
      <w:r>
        <w:br w:type="page"/>
      </w:r>
    </w:p>
    <w:p w14:paraId="712C3C62" w14:textId="77777777" w:rsidR="00D97095" w:rsidRDefault="00D97095"/>
    <w:p w14:paraId="12A72FAD" w14:textId="77777777" w:rsidR="00D97095" w:rsidRDefault="00D97095"/>
    <w:p w14:paraId="446634F7" w14:textId="3EB13724" w:rsidR="00D97095" w:rsidRDefault="000624D6">
      <w:r>
        <w:rPr>
          <w:noProof/>
          <w:lang w:val="en-GB" w:eastAsia="en-GB"/>
        </w:rPr>
        <w:drawing>
          <wp:inline distT="0" distB="0" distL="0" distR="0" wp14:anchorId="2F9D3A4B" wp14:editId="4A653928">
            <wp:extent cx="5943600" cy="3962400"/>
            <wp:effectExtent l="0" t="0" r="0" b="0"/>
            <wp:docPr id="67499728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97285" name="Picture 1" descr="A screenshot of a graph&#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200ACF5C" w14:textId="23831A38" w:rsidR="00D97095" w:rsidRDefault="00D97095" w:rsidP="00D97095">
      <w:r>
        <w:t xml:space="preserve">Figure </w:t>
      </w:r>
      <w:r w:rsidR="00023A35">
        <w:t>S</w:t>
      </w:r>
      <w:r w:rsidR="00621403">
        <w:t>2</w:t>
      </w:r>
      <w:r>
        <w:t xml:space="preserve">: Distribution of </w:t>
      </w:r>
      <w:proofErr w:type="spellStart"/>
      <w:r>
        <w:t>phylop</w:t>
      </w:r>
      <w:proofErr w:type="spellEnd"/>
      <w:r>
        <w:t xml:space="preserve"> scale values in the five source datasets</w:t>
      </w:r>
      <w:r w:rsidR="000624D6">
        <w:t xml:space="preserve">: UCSC vertebrate-wide elements (UCSC), conserved elements used by </w:t>
      </w:r>
      <w:r w:rsidR="0054502D">
        <w:rPr>
          <w:color w:val="000000"/>
        </w:rPr>
        <w:t xml:space="preserve">[9] </w:t>
      </w:r>
      <w:r w:rsidR="000624D6">
        <w:rPr>
          <w:color w:val="000000"/>
        </w:rPr>
        <w:t xml:space="preserve">(ratite), conserved element used by </w:t>
      </w:r>
      <w:r w:rsidR="0054502D">
        <w:rPr>
          <w:color w:val="000000"/>
        </w:rPr>
        <w:t xml:space="preserve">[31] </w:t>
      </w:r>
      <w:r w:rsidR="000624D6">
        <w:rPr>
          <w:color w:val="000000"/>
        </w:rPr>
        <w:t xml:space="preserve">(vocal), conserved elements called using </w:t>
      </w:r>
      <w:proofErr w:type="spellStart"/>
      <w:r w:rsidR="000624D6">
        <w:rPr>
          <w:color w:val="000000"/>
        </w:rPr>
        <w:t>phastcons</w:t>
      </w:r>
      <w:proofErr w:type="spellEnd"/>
      <w:r w:rsidR="000624D6">
        <w:rPr>
          <w:color w:val="000000"/>
        </w:rPr>
        <w:t xml:space="preserve"> from the 79-way cactus alignment in this project with chicken as reference species (</w:t>
      </w:r>
      <w:proofErr w:type="spellStart"/>
      <w:r w:rsidR="000624D6">
        <w:rPr>
          <w:color w:val="000000"/>
        </w:rPr>
        <w:t>phastcons_gal</w:t>
      </w:r>
      <w:proofErr w:type="spellEnd"/>
      <w:r w:rsidR="000624D6">
        <w:rPr>
          <w:color w:val="000000"/>
        </w:rPr>
        <w:t>) and zebra finch as reference species (</w:t>
      </w:r>
      <w:proofErr w:type="spellStart"/>
      <w:r w:rsidR="000624D6">
        <w:rPr>
          <w:color w:val="000000"/>
        </w:rPr>
        <w:t>phastcons_tgut</w:t>
      </w:r>
      <w:proofErr w:type="spellEnd"/>
      <w:r w:rsidR="000624D6">
        <w:rPr>
          <w:color w:val="000000"/>
        </w:rPr>
        <w:t>)</w:t>
      </w:r>
      <w:r>
        <w:t>.</w:t>
      </w:r>
      <w:r w:rsidR="000624D6">
        <w:t xml:space="preserve"> The weighted mean of each distribution is given by red line. Values greater than 2.0 have been collated into a single bin.</w:t>
      </w:r>
    </w:p>
    <w:p w14:paraId="4F53E3FF" w14:textId="77777777" w:rsidR="00D97095" w:rsidRDefault="00D97095"/>
    <w:p w14:paraId="257A1E15" w14:textId="14B9965A" w:rsidR="00E53B0E" w:rsidRDefault="00E53B0E">
      <w:r>
        <w:br w:type="page"/>
      </w:r>
    </w:p>
    <w:p w14:paraId="3075D9A7" w14:textId="77777777" w:rsidR="00E53B0E" w:rsidRDefault="00E53B0E"/>
    <w:p w14:paraId="6619B24B" w14:textId="77777777" w:rsidR="00E53B0E" w:rsidRDefault="00E53B0E">
      <w:r>
        <w:rPr>
          <w:noProof/>
          <w:lang w:val="en-GB" w:eastAsia="en-GB"/>
        </w:rPr>
        <w:drawing>
          <wp:inline distT="0" distB="0" distL="0" distR="0" wp14:anchorId="2D58E5FA" wp14:editId="0DB94504">
            <wp:extent cx="5943600" cy="3962400"/>
            <wp:effectExtent l="0" t="0" r="0" b="0"/>
            <wp:docPr id="356870739" name="Picture 7" descr="A group of graphs showing different siz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70739" name="Picture 7" descr="A group of graphs showing different sizes of data&#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02D9E102" w14:textId="563BA5E0" w:rsidR="00E53B0E" w:rsidRDefault="00E53B0E" w:rsidP="00E53B0E">
      <w:r>
        <w:t xml:space="preserve">Figure </w:t>
      </w:r>
      <w:r w:rsidR="00023A35">
        <w:t>S</w:t>
      </w:r>
      <w:r w:rsidR="00BB42F5">
        <w:t>3</w:t>
      </w:r>
      <w:r>
        <w:t>: Distribution of fraction of conservation in the five source datasets</w:t>
      </w:r>
      <w:r w:rsidR="000624D6">
        <w:t xml:space="preserve">: UCSC vertebrate-wide elements (UCSC), conserved elements used by </w:t>
      </w:r>
      <w:r w:rsidR="0054502D">
        <w:rPr>
          <w:color w:val="000000"/>
        </w:rPr>
        <w:t xml:space="preserve">[9] </w:t>
      </w:r>
      <w:r w:rsidR="000624D6">
        <w:rPr>
          <w:color w:val="000000"/>
        </w:rPr>
        <w:t xml:space="preserve">(ratite), conserved element used by </w:t>
      </w:r>
      <w:r w:rsidR="0054502D">
        <w:rPr>
          <w:color w:val="000000"/>
        </w:rPr>
        <w:t>[31]</w:t>
      </w:r>
      <w:r w:rsidR="000624D6">
        <w:rPr>
          <w:color w:val="000000"/>
        </w:rPr>
        <w:t xml:space="preserve"> (vocal), conserved elements called using </w:t>
      </w:r>
      <w:proofErr w:type="spellStart"/>
      <w:r w:rsidR="000624D6">
        <w:rPr>
          <w:color w:val="000000"/>
        </w:rPr>
        <w:t>phastcons</w:t>
      </w:r>
      <w:proofErr w:type="spellEnd"/>
      <w:r w:rsidR="000624D6">
        <w:rPr>
          <w:color w:val="000000"/>
        </w:rPr>
        <w:t xml:space="preserve"> from the 79-way cactus alignment in this project with chicken as reference species (</w:t>
      </w:r>
      <w:proofErr w:type="spellStart"/>
      <w:r w:rsidR="000624D6">
        <w:rPr>
          <w:color w:val="000000"/>
        </w:rPr>
        <w:t>phastcons_gal</w:t>
      </w:r>
      <w:proofErr w:type="spellEnd"/>
      <w:r w:rsidR="000624D6">
        <w:rPr>
          <w:color w:val="000000"/>
        </w:rPr>
        <w:t>) and zebra finch as reference species (</w:t>
      </w:r>
      <w:proofErr w:type="spellStart"/>
      <w:r w:rsidR="000624D6">
        <w:rPr>
          <w:color w:val="000000"/>
        </w:rPr>
        <w:t>phastcons_tgut</w:t>
      </w:r>
      <w:proofErr w:type="spellEnd"/>
      <w:r w:rsidR="000624D6">
        <w:rPr>
          <w:color w:val="000000"/>
        </w:rPr>
        <w:t>)</w:t>
      </w:r>
      <w:r w:rsidR="000624D6">
        <w:t>.</w:t>
      </w:r>
    </w:p>
    <w:p w14:paraId="4FD290C4" w14:textId="5C088A2A" w:rsidR="003912EE" w:rsidRDefault="003912EE">
      <w:r>
        <w:br w:type="page"/>
      </w:r>
    </w:p>
    <w:p w14:paraId="520A79DF" w14:textId="77777777" w:rsidR="003912EE" w:rsidRDefault="003912EE" w:rsidP="003912EE">
      <w:r>
        <w:rPr>
          <w:noProof/>
          <w:lang w:val="en-GB" w:eastAsia="en-GB"/>
        </w:rPr>
        <w:lastRenderedPageBreak/>
        <w:drawing>
          <wp:inline distT="0" distB="0" distL="0" distR="0" wp14:anchorId="44BC3C37" wp14:editId="045ED3F0">
            <wp:extent cx="5943600" cy="3962400"/>
            <wp:effectExtent l="0" t="0" r="0" b="0"/>
            <wp:docPr id="1044423777"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23777" name="Picture 4" descr="A screenshot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76F233DA" w14:textId="461FB9DA" w:rsidR="003912EE" w:rsidRDefault="00023A35" w:rsidP="003912EE">
      <w:r>
        <w:t>Figure S4</w:t>
      </w:r>
      <w:r w:rsidR="003912EE">
        <w:t>: Distribution of length of conserved element divided by the five source datasets: UCSC vertebrate-wide elements (UCSC), conserved elements used by</w:t>
      </w:r>
      <w:r w:rsidR="003912EE">
        <w:rPr>
          <w:color w:val="000000"/>
        </w:rPr>
        <w:t xml:space="preserve"> </w:t>
      </w:r>
      <w:r w:rsidR="00144AA7">
        <w:rPr>
          <w:color w:val="000000"/>
        </w:rPr>
        <w:t xml:space="preserve">[9] </w:t>
      </w:r>
      <w:r w:rsidR="003912EE">
        <w:rPr>
          <w:color w:val="000000"/>
        </w:rPr>
        <w:t xml:space="preserve">(ratite), conserved element used by </w:t>
      </w:r>
      <w:r w:rsidR="00144AA7">
        <w:rPr>
          <w:color w:val="000000"/>
        </w:rPr>
        <w:t xml:space="preserve">[31] </w:t>
      </w:r>
      <w:r w:rsidR="003912EE">
        <w:rPr>
          <w:color w:val="000000"/>
        </w:rPr>
        <w:t xml:space="preserve">(vocal), conserved elements called using </w:t>
      </w:r>
      <w:proofErr w:type="spellStart"/>
      <w:r w:rsidR="003912EE">
        <w:rPr>
          <w:color w:val="000000"/>
        </w:rPr>
        <w:t>phastcons</w:t>
      </w:r>
      <w:proofErr w:type="spellEnd"/>
      <w:r w:rsidR="003912EE">
        <w:rPr>
          <w:color w:val="000000"/>
        </w:rPr>
        <w:t xml:space="preserve"> from the 79-way cactus alignment in this project with chicken as reference species (</w:t>
      </w:r>
      <w:proofErr w:type="spellStart"/>
      <w:r w:rsidR="003912EE">
        <w:rPr>
          <w:color w:val="000000"/>
        </w:rPr>
        <w:t>phastcons_gal</w:t>
      </w:r>
      <w:proofErr w:type="spellEnd"/>
      <w:r w:rsidR="003912EE">
        <w:rPr>
          <w:color w:val="000000"/>
        </w:rPr>
        <w:t>) and zebra finch as reference species (</w:t>
      </w:r>
      <w:proofErr w:type="spellStart"/>
      <w:r w:rsidR="003912EE">
        <w:rPr>
          <w:color w:val="000000"/>
        </w:rPr>
        <w:t>phastcons_tgut</w:t>
      </w:r>
      <w:proofErr w:type="spellEnd"/>
      <w:r w:rsidR="003912EE">
        <w:rPr>
          <w:color w:val="000000"/>
        </w:rPr>
        <w:t>)</w:t>
      </w:r>
      <w:r w:rsidR="003912EE">
        <w:t>. The mean lengths of the elements are shown by red line. Elements larger than 1000 bp have been collated into a single bin.</w:t>
      </w:r>
    </w:p>
    <w:p w14:paraId="4EA95ABA" w14:textId="77777777" w:rsidR="003912EE" w:rsidRDefault="003912EE" w:rsidP="00E53B0E"/>
    <w:p w14:paraId="771FC056" w14:textId="77777777" w:rsidR="00136F72" w:rsidRDefault="00136F72"/>
    <w:p w14:paraId="7FBAAE10" w14:textId="77777777" w:rsidR="00136F72" w:rsidRDefault="00136F72">
      <w:r>
        <w:br w:type="page"/>
      </w:r>
    </w:p>
    <w:p w14:paraId="37B495F2" w14:textId="0BAE60AA" w:rsidR="00136F72" w:rsidRDefault="00CE399B" w:rsidP="00136F72">
      <w:r>
        <w:rPr>
          <w:noProof/>
          <w:lang w:val="en-GB" w:eastAsia="en-GB"/>
        </w:rPr>
        <w:lastRenderedPageBreak/>
        <w:drawing>
          <wp:inline distT="0" distB="0" distL="0" distR="0" wp14:anchorId="3BBF20B7" wp14:editId="5534D27E">
            <wp:extent cx="2938278" cy="3291847"/>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s_ven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38278" cy="3291847"/>
                    </a:xfrm>
                    <a:prstGeom prst="rect">
                      <a:avLst/>
                    </a:prstGeom>
                  </pic:spPr>
                </pic:pic>
              </a:graphicData>
            </a:graphic>
          </wp:inline>
        </w:drawing>
      </w:r>
    </w:p>
    <w:p w14:paraId="25E941C1" w14:textId="7706D685" w:rsidR="00136F72" w:rsidRPr="00613176" w:rsidRDefault="00023A35" w:rsidP="00136F72">
      <w:pPr>
        <w:rPr>
          <w:szCs w:val="24"/>
        </w:rPr>
      </w:pPr>
      <w:r>
        <w:t>Figure S5</w:t>
      </w:r>
      <w:r w:rsidR="00136F72">
        <w:t xml:space="preserve">: </w:t>
      </w:r>
      <w:r w:rsidR="00136F72" w:rsidRPr="00613176">
        <w:rPr>
          <w:szCs w:val="24"/>
        </w:rPr>
        <w:t>Venn diagram showing overlap of conserved elements with exons, introns, and intergenic regions. Regions that overlap ATAC-seq peaks are delineated in the box.</w:t>
      </w:r>
    </w:p>
    <w:p w14:paraId="2B150F5F" w14:textId="182287A6" w:rsidR="009B581F" w:rsidRDefault="009B581F">
      <w:r>
        <w:br w:type="page"/>
      </w:r>
    </w:p>
    <w:p w14:paraId="0CEBC3BF" w14:textId="66573DB8" w:rsidR="00823F4B" w:rsidRDefault="00823F4B"/>
    <w:p w14:paraId="5E9974B6" w14:textId="4B33A32F" w:rsidR="009B581F" w:rsidRDefault="00823F4B" w:rsidP="009B581F">
      <w:r>
        <w:rPr>
          <w:noProof/>
          <w:lang w:val="en-GB" w:eastAsia="en-GB"/>
        </w:rPr>
        <w:drawing>
          <wp:inline distT="0" distB="0" distL="0" distR="0" wp14:anchorId="1708146C" wp14:editId="6E005D34">
            <wp:extent cx="5943600" cy="2706370"/>
            <wp:effectExtent l="0" t="0" r="0" b="0"/>
            <wp:docPr id="166142331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23315" name="Picture 1" descr="A screenshot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706370"/>
                    </a:xfrm>
                    <a:prstGeom prst="rect">
                      <a:avLst/>
                    </a:prstGeom>
                  </pic:spPr>
                </pic:pic>
              </a:graphicData>
            </a:graphic>
          </wp:inline>
        </w:drawing>
      </w:r>
    </w:p>
    <w:p w14:paraId="149B0B5A" w14:textId="3FEA9760" w:rsidR="00823F4B" w:rsidRDefault="00023A35">
      <w:r>
        <w:t>Figure S6</w:t>
      </w:r>
      <w:r w:rsidR="00823F4B" w:rsidRPr="002112CF">
        <w:t xml:space="preserve">: A) Distribution of lengths of ATAC-seq peaks called from 36 embryonic tissues at different stages for chicken. Peaks greater than 2000 bp have been collated into one </w:t>
      </w:r>
      <w:r w:rsidR="00823F4B">
        <w:t>stack</w:t>
      </w:r>
      <w:r w:rsidR="00823F4B" w:rsidRPr="002112CF">
        <w:t>. The red line shows the mean length of the peaks. B) Distribution of shared tissues for each ATAC-seq peak going from one, present in only one tissue, to 36, present in all 36 tissues for which we called ATAC-seq peaks.</w:t>
      </w:r>
    </w:p>
    <w:p w14:paraId="30B11B3C" w14:textId="77777777" w:rsidR="00823F4B" w:rsidRDefault="00823F4B">
      <w:r>
        <w:br w:type="page"/>
      </w:r>
    </w:p>
    <w:p w14:paraId="46DFC8D5" w14:textId="77777777" w:rsidR="00823F4B" w:rsidRDefault="00823F4B">
      <w:r>
        <w:rPr>
          <w:noProof/>
          <w:lang w:val="en-GB" w:eastAsia="en-GB"/>
        </w:rPr>
        <w:lastRenderedPageBreak/>
        <w:drawing>
          <wp:inline distT="0" distB="0" distL="0" distR="0" wp14:anchorId="26E05D65" wp14:editId="3C56EE4A">
            <wp:extent cx="5943600" cy="5833110"/>
            <wp:effectExtent l="0" t="0" r="0" b="0"/>
            <wp:docPr id="158875549"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75549" name="Picture 2" descr="A screenshot of a computer scree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833110"/>
                    </a:xfrm>
                    <a:prstGeom prst="rect">
                      <a:avLst/>
                    </a:prstGeom>
                  </pic:spPr>
                </pic:pic>
              </a:graphicData>
            </a:graphic>
          </wp:inline>
        </w:drawing>
      </w:r>
    </w:p>
    <w:p w14:paraId="12286B6C" w14:textId="48919C2F" w:rsidR="00823F4B" w:rsidRPr="002112CF" w:rsidRDefault="00723213" w:rsidP="00823F4B">
      <w:r>
        <w:t>Figure S7</w:t>
      </w:r>
      <w:r w:rsidR="00823F4B">
        <w:t xml:space="preserve">: </w:t>
      </w:r>
      <w:r w:rsidR="00823F4B" w:rsidRPr="002112CF">
        <w:t>Correlation heat-map showing relationship among different tissue types based on shared ATAC-seq peaks. Correlation values have been log transformed.</w:t>
      </w:r>
    </w:p>
    <w:p w14:paraId="67B50344" w14:textId="7A310D7F" w:rsidR="00613176" w:rsidRDefault="00613176">
      <w:r>
        <w:br w:type="page"/>
      </w:r>
    </w:p>
    <w:p w14:paraId="27CA53EF" w14:textId="6226B34A" w:rsidR="00613176" w:rsidRDefault="007B71C3" w:rsidP="00613176">
      <w:pPr>
        <w:rPr>
          <w:szCs w:val="24"/>
        </w:rPr>
      </w:pPr>
      <w:r>
        <w:rPr>
          <w:noProof/>
          <w:lang w:val="en-GB" w:eastAsia="en-GB"/>
        </w:rPr>
        <w:lastRenderedPageBreak/>
        <w:drawing>
          <wp:inline distT="0" distB="0" distL="0" distR="0" wp14:anchorId="34BC0ACC" wp14:editId="45C1D0D3">
            <wp:extent cx="5943600" cy="7089140"/>
            <wp:effectExtent l="0" t="0" r="0" b="0"/>
            <wp:docPr id="1940543301" name="Picture 4" descr="A black lines with man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43301" name="Picture 4" descr="A black lines with many lines&#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7089140"/>
                    </a:xfrm>
                    <a:prstGeom prst="rect">
                      <a:avLst/>
                    </a:prstGeom>
                    <a:noFill/>
                    <a:ln>
                      <a:noFill/>
                    </a:ln>
                  </pic:spPr>
                </pic:pic>
              </a:graphicData>
            </a:graphic>
          </wp:inline>
        </w:drawing>
      </w:r>
    </w:p>
    <w:p w14:paraId="13E3E18E" w14:textId="21673DB6" w:rsidR="00E544BB" w:rsidRDefault="00874B5F">
      <w:r>
        <w:t>Figure S8</w:t>
      </w:r>
      <w:r w:rsidR="007B71C3">
        <w:t>: Tree</w:t>
      </w:r>
      <w:r w:rsidR="0000343B">
        <w:t xml:space="preserve"> diagram</w:t>
      </w:r>
      <w:r w:rsidR="007B71C3">
        <w:t xml:space="preserve"> showing relationships between different tissues </w:t>
      </w:r>
      <w:r w:rsidR="0000343B">
        <w:t>from</w:t>
      </w:r>
      <w:r w:rsidR="007B71C3">
        <w:t xml:space="preserve"> ATAC-seq peaks at different embryonic stages of chicken.</w:t>
      </w:r>
      <w:r w:rsidR="0000343B">
        <w:t xml:space="preserve"> The tree is based on a presence/absence matrix of peaks and is inferred using a Maximum Likelihood framework in </w:t>
      </w:r>
      <w:r w:rsidR="00C363B2">
        <w:t>IQ</w:t>
      </w:r>
      <w:r w:rsidR="0000343B">
        <w:t>tree</w:t>
      </w:r>
      <w:r w:rsidR="00C363B2">
        <w:t>2</w:t>
      </w:r>
      <w:r w:rsidR="0000343B">
        <w:t>.</w:t>
      </w:r>
      <w:r w:rsidR="00E544BB">
        <w:br w:type="page"/>
      </w:r>
    </w:p>
    <w:p w14:paraId="6C301F6E" w14:textId="31ABB06F" w:rsidR="00D30CF8" w:rsidRDefault="00D30CF8"/>
    <w:p w14:paraId="4C96B033" w14:textId="7C837EC8" w:rsidR="00D30CF8" w:rsidRDefault="00A07A97" w:rsidP="00E53B0E">
      <w:r>
        <w:rPr>
          <w:noProof/>
          <w:lang w:val="en-GB" w:eastAsia="en-GB"/>
        </w:rPr>
        <w:drawing>
          <wp:inline distT="0" distB="0" distL="0" distR="0" wp14:anchorId="5BA3BD82" wp14:editId="33AA11FF">
            <wp:extent cx="5563867" cy="4056457"/>
            <wp:effectExtent l="0" t="0" r="0" b="1270"/>
            <wp:docPr id="1781857958" name="Picture 1" descr="A graph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57958" name="Picture 1" descr="A graph with red and blue dot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563867" cy="4056457"/>
                    </a:xfrm>
                    <a:prstGeom prst="rect">
                      <a:avLst/>
                    </a:prstGeom>
                  </pic:spPr>
                </pic:pic>
              </a:graphicData>
            </a:graphic>
          </wp:inline>
        </w:drawing>
      </w:r>
    </w:p>
    <w:p w14:paraId="4709A617" w14:textId="3FEF43BB" w:rsidR="00D30CF8" w:rsidRDefault="00874B5F" w:rsidP="00D30CF8">
      <w:r>
        <w:t>Figure S9</w:t>
      </w:r>
      <w:r w:rsidR="00D30CF8">
        <w:t xml:space="preserve">: Plot of </w:t>
      </w:r>
      <w:r w:rsidR="00D544AB">
        <w:t>log of Bayes Factor 1, for the comparison between the null model (with no acceleration allowed)</w:t>
      </w:r>
      <w:r w:rsidR="00D30CF8">
        <w:t xml:space="preserve"> and </w:t>
      </w:r>
      <w:r w:rsidR="00D544AB">
        <w:t>Bayes Factor 2, for the comparison between the target-lineage model (where acceleration is only allowed in only the focal/target lineages) and the unrestricted model (where acceleration can occur anywhere).</w:t>
      </w:r>
      <w:r w:rsidR="0083663D">
        <w:t xml:space="preserve"> The r</w:t>
      </w:r>
      <w:r w:rsidR="00D30CF8">
        <w:t xml:space="preserve">ed line denotes </w:t>
      </w:r>
      <w:r w:rsidR="00D544AB">
        <w:t>Bayes Factor 1</w:t>
      </w:r>
      <w:r w:rsidR="00D30CF8">
        <w:t xml:space="preserve"> of 10 </w:t>
      </w:r>
      <w:r w:rsidR="0083663D">
        <w:t xml:space="preserve">and points to the right of this line constitutes the </w:t>
      </w:r>
      <w:r w:rsidR="00D72F5E">
        <w:t>short-</w:t>
      </w:r>
      <w:r w:rsidR="00E02B3B">
        <w:t>tarsus</w:t>
      </w:r>
      <w:r w:rsidR="00D72F5E">
        <w:t xml:space="preserve"> broad</w:t>
      </w:r>
      <w:r w:rsidR="0083663D">
        <w:t xml:space="preserve"> dataset of accelerated elements. The </w:t>
      </w:r>
      <w:r w:rsidR="00D30CF8">
        <w:t xml:space="preserve">blue line denotes </w:t>
      </w:r>
      <w:r w:rsidR="00D544AB">
        <w:t xml:space="preserve">Bayes Factor 2 </w:t>
      </w:r>
      <w:r w:rsidR="00D30CF8">
        <w:t>of 5</w:t>
      </w:r>
      <w:r w:rsidR="0083663D">
        <w:t xml:space="preserve"> and points above this line and to the right of the Bayes Factor 1 cutoff constitutes the </w:t>
      </w:r>
      <w:r w:rsidR="00D72F5E">
        <w:t>short-</w:t>
      </w:r>
      <w:r w:rsidR="00E02B3B">
        <w:t>tarsus</w:t>
      </w:r>
      <w:r w:rsidR="00D72F5E">
        <w:t xml:space="preserve"> specific</w:t>
      </w:r>
      <w:r w:rsidR="0083663D">
        <w:t xml:space="preserve"> dataset of accelerated elements.</w:t>
      </w:r>
    </w:p>
    <w:p w14:paraId="4FD195A6" w14:textId="3666E69C" w:rsidR="0062414E" w:rsidRDefault="0062414E">
      <w:r>
        <w:br w:type="page"/>
      </w:r>
    </w:p>
    <w:p w14:paraId="24A9C3CB" w14:textId="726D262E" w:rsidR="0062414E" w:rsidRDefault="004C4CCB" w:rsidP="00D30CF8">
      <w:r>
        <w:rPr>
          <w:noProof/>
          <w:lang w:val="en-GB" w:eastAsia="en-GB"/>
        </w:rPr>
        <w:lastRenderedPageBreak/>
        <w:drawing>
          <wp:inline distT="0" distB="0" distL="0" distR="0" wp14:anchorId="605E9CF5" wp14:editId="424A5661">
            <wp:extent cx="5563867" cy="4064926"/>
            <wp:effectExtent l="0" t="0" r="0" b="0"/>
            <wp:docPr id="692734177" name="Picture 1"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34177" name="Picture 1" descr="A graph of a number of individuals&#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5563867" cy="4064926"/>
                    </a:xfrm>
                    <a:prstGeom prst="rect">
                      <a:avLst/>
                    </a:prstGeom>
                  </pic:spPr>
                </pic:pic>
              </a:graphicData>
            </a:graphic>
          </wp:inline>
        </w:drawing>
      </w:r>
    </w:p>
    <w:p w14:paraId="4218A89F" w14:textId="3E820312" w:rsidR="00D30CF8" w:rsidRDefault="00874B5F" w:rsidP="00E53B0E">
      <w:r>
        <w:t>Figures S10</w:t>
      </w:r>
      <w:r w:rsidR="0062414E">
        <w:t xml:space="preserve">: </w:t>
      </w:r>
      <w:r w:rsidR="00361C6C">
        <w:t>Histogram showing distribution of a</w:t>
      </w:r>
      <w:r w:rsidR="0062414E">
        <w:t>ccelerated and conserved rates for elements in</w:t>
      </w:r>
      <w:r w:rsidR="00361C6C">
        <w:t xml:space="preserve"> the</w:t>
      </w:r>
      <w:r w:rsidR="0062414E">
        <w:t xml:space="preserve"> </w:t>
      </w:r>
      <w:r w:rsidR="00971299">
        <w:t>short-</w:t>
      </w:r>
      <w:r w:rsidR="00E02B3B">
        <w:t>tarsus</w:t>
      </w:r>
      <w:r w:rsidR="00971299">
        <w:t xml:space="preserve"> </w:t>
      </w:r>
      <w:r w:rsidR="00A940FF">
        <w:t>broad</w:t>
      </w:r>
      <w:r w:rsidR="0062414E">
        <w:t xml:space="preserve"> dataset.</w:t>
      </w:r>
      <w:r w:rsidR="00361C6C">
        <w:t xml:space="preserve"> The dotted line </w:t>
      </w:r>
      <w:r w:rsidR="0000343B">
        <w:t>shows</w:t>
      </w:r>
      <w:r w:rsidR="00361C6C">
        <w:t xml:space="preserve"> the mean rate for each distribution.</w:t>
      </w:r>
    </w:p>
    <w:p w14:paraId="7339AA68" w14:textId="4A23D94C" w:rsidR="00BE45C4" w:rsidRDefault="00BE45C4" w:rsidP="00E53B0E">
      <w:r>
        <w:br w:type="page"/>
      </w:r>
    </w:p>
    <w:p w14:paraId="5C540BD1" w14:textId="51603815" w:rsidR="00BE45C4" w:rsidRDefault="0032032E" w:rsidP="00E53B0E">
      <w:r>
        <w:rPr>
          <w:noProof/>
          <w:lang w:val="en-GB" w:eastAsia="en-GB"/>
        </w:rPr>
        <w:lastRenderedPageBreak/>
        <w:drawing>
          <wp:inline distT="0" distB="0" distL="0" distR="0" wp14:anchorId="7354604F" wp14:editId="4D57E44B">
            <wp:extent cx="5943600" cy="2049780"/>
            <wp:effectExtent l="0" t="0" r="0" b="7620"/>
            <wp:docPr id="21758194" name="Picture 5" descr="A graph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8194" name="Picture 5" descr="A graph of a bir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049780"/>
                    </a:xfrm>
                    <a:prstGeom prst="rect">
                      <a:avLst/>
                    </a:prstGeom>
                  </pic:spPr>
                </pic:pic>
              </a:graphicData>
            </a:graphic>
          </wp:inline>
        </w:drawing>
      </w:r>
    </w:p>
    <w:p w14:paraId="505850F9" w14:textId="1292D765" w:rsidR="00622CB1" w:rsidRDefault="00874B5F" w:rsidP="00622CB1">
      <w:pPr>
        <w:spacing w:line="240" w:lineRule="auto"/>
        <w:rPr>
          <w:szCs w:val="24"/>
        </w:rPr>
      </w:pPr>
      <w:r>
        <w:t>Figure S11</w:t>
      </w:r>
      <w:r w:rsidR="00622CB1">
        <w:t xml:space="preserve">: </w:t>
      </w:r>
      <w:r w:rsidR="00622CB1">
        <w:rPr>
          <w:szCs w:val="24"/>
        </w:rPr>
        <w:t xml:space="preserve">Significant alpha (positive selection) values from a modified McDonald &amp; Kreitman test using fixed and polymorphic sites of all conserved elements within 10kb of a gene compared to fixed and polymorphic sites in synonymous sites in the gene for A) bulbuls and B) swallows. </w:t>
      </w:r>
    </w:p>
    <w:p w14:paraId="395F09EA" w14:textId="62766201" w:rsidR="00965126" w:rsidRDefault="00965126" w:rsidP="00E53B0E">
      <w:r>
        <w:br w:type="page"/>
      </w:r>
    </w:p>
    <w:p w14:paraId="729A9FBF" w14:textId="08A89D3A" w:rsidR="00622CB1" w:rsidRDefault="00965126" w:rsidP="00E53B0E">
      <w:r>
        <w:rPr>
          <w:noProof/>
          <w:lang w:val="en-GB" w:eastAsia="en-GB"/>
        </w:rPr>
        <w:lastRenderedPageBreak/>
        <w:drawing>
          <wp:inline distT="0" distB="0" distL="0" distR="0" wp14:anchorId="47A4618F" wp14:editId="4BEDF077">
            <wp:extent cx="5943600" cy="3560445"/>
            <wp:effectExtent l="0" t="0" r="0" b="1905"/>
            <wp:docPr id="1415103204"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03204" name="Picture 6" descr="A screenshot of a comput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560445"/>
                    </a:xfrm>
                    <a:prstGeom prst="rect">
                      <a:avLst/>
                    </a:prstGeom>
                  </pic:spPr>
                </pic:pic>
              </a:graphicData>
            </a:graphic>
          </wp:inline>
        </w:drawing>
      </w:r>
    </w:p>
    <w:p w14:paraId="50AA4213" w14:textId="3F4C4EBB" w:rsidR="006A58DC" w:rsidRDefault="00874B5F" w:rsidP="00E53B0E">
      <w:r>
        <w:t>Figure S12</w:t>
      </w:r>
      <w:r w:rsidR="00965126">
        <w:t xml:space="preserve">: </w:t>
      </w:r>
      <w:r w:rsidR="00965126" w:rsidRPr="002112CF">
        <w:t xml:space="preserve">Scatterplot between enrichment scores for GO categories in the </w:t>
      </w:r>
      <w:r w:rsidR="0054502D">
        <w:t>short-tarsus broad and short-tarsus specific</w:t>
      </w:r>
      <w:r w:rsidR="00965126" w:rsidRPr="002112CF">
        <w:t xml:space="preserve"> dataset. Points are colored based on the average number of focal clades showing acceleration in CNEEs constituting genes in that GO category.</w:t>
      </w:r>
      <w:r w:rsidR="006A58DC">
        <w:br w:type="page"/>
      </w:r>
    </w:p>
    <w:p w14:paraId="1663EA9A" w14:textId="37DD633F" w:rsidR="00965126" w:rsidRDefault="006A58DC" w:rsidP="00E53B0E">
      <w:r>
        <w:rPr>
          <w:noProof/>
          <w:lang w:val="en-GB" w:eastAsia="en-GB"/>
        </w:rPr>
        <w:lastRenderedPageBreak/>
        <w:drawing>
          <wp:inline distT="0" distB="0" distL="0" distR="0" wp14:anchorId="4335495E" wp14:editId="073B47DE">
            <wp:extent cx="5943600" cy="5695315"/>
            <wp:effectExtent l="0" t="0" r="0" b="635"/>
            <wp:docPr id="1995206191"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206191" name="Picture 7" descr="A screenshot of a computer scree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5695315"/>
                    </a:xfrm>
                    <a:prstGeom prst="rect">
                      <a:avLst/>
                    </a:prstGeom>
                  </pic:spPr>
                </pic:pic>
              </a:graphicData>
            </a:graphic>
          </wp:inline>
        </w:drawing>
      </w:r>
    </w:p>
    <w:p w14:paraId="7EFBDC43" w14:textId="5FB436EE" w:rsidR="006A58DC" w:rsidRDefault="00874B5F" w:rsidP="006A58DC">
      <w:pPr>
        <w:spacing w:line="240" w:lineRule="auto"/>
      </w:pPr>
      <w:r>
        <w:t>Figure S13</w:t>
      </w:r>
      <w:r w:rsidR="006A58DC">
        <w:t xml:space="preserve">: </w:t>
      </w:r>
      <w:r w:rsidR="006A58DC" w:rsidRPr="002112CF">
        <w:t xml:space="preserve">STRING network graph of genes that are near accelerated elements are listed </w:t>
      </w:r>
      <w:r w:rsidR="00D10839">
        <w:t>significantly enriched</w:t>
      </w:r>
      <w:r w:rsidR="006A58DC">
        <w:t xml:space="preserve"> </w:t>
      </w:r>
      <w:r w:rsidR="006A58DC" w:rsidRPr="002112CF">
        <w:t xml:space="preserve">GO categories </w:t>
      </w:r>
      <w:r w:rsidR="00D10839">
        <w:t>in the short-</w:t>
      </w:r>
      <w:r w:rsidR="00E02B3B">
        <w:t>tarsus</w:t>
      </w:r>
      <w:r w:rsidR="00D10839">
        <w:t xml:space="preserve"> specific dataset when compared to the short-</w:t>
      </w:r>
      <w:r w:rsidR="00E02B3B">
        <w:t>tarsus</w:t>
      </w:r>
      <w:r w:rsidR="00D10839">
        <w:t xml:space="preserve"> broad dataset</w:t>
      </w:r>
      <w:r w:rsidR="006A58DC" w:rsidRPr="002112CF">
        <w:t>. Each circle represents a gene with the lines connecting them representing high confidence (0.</w:t>
      </w:r>
      <w:r w:rsidR="006A58DC">
        <w:t>9</w:t>
      </w:r>
      <w:r w:rsidR="006A58DC" w:rsidRPr="002112CF">
        <w:t>) known and predicted interactions between the genes from STRING database. Major networks are colored by groups.</w:t>
      </w:r>
    </w:p>
    <w:p w14:paraId="59997666" w14:textId="54BB1893" w:rsidR="00D10839" w:rsidRDefault="00D10839" w:rsidP="006A58DC">
      <w:pPr>
        <w:spacing w:line="240" w:lineRule="auto"/>
      </w:pPr>
      <w:r>
        <w:br w:type="page"/>
      </w:r>
    </w:p>
    <w:p w14:paraId="28AA9400" w14:textId="1AEAB036" w:rsidR="00D10839" w:rsidRDefault="00D10839" w:rsidP="006A58DC">
      <w:pPr>
        <w:spacing w:line="240" w:lineRule="auto"/>
      </w:pPr>
      <w:r>
        <w:rPr>
          <w:noProof/>
          <w:lang w:val="en-GB" w:eastAsia="en-GB"/>
        </w:rPr>
        <w:lastRenderedPageBreak/>
        <w:drawing>
          <wp:inline distT="0" distB="0" distL="0" distR="0" wp14:anchorId="3876BB9E" wp14:editId="7477092C">
            <wp:extent cx="5943600" cy="2030730"/>
            <wp:effectExtent l="0" t="0" r="0" b="7620"/>
            <wp:docPr id="769000060" name="Picture 8" descr="A bird with 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00060" name="Picture 8" descr="A bird with red dot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2030730"/>
                    </a:xfrm>
                    <a:prstGeom prst="rect">
                      <a:avLst/>
                    </a:prstGeom>
                  </pic:spPr>
                </pic:pic>
              </a:graphicData>
            </a:graphic>
          </wp:inline>
        </w:drawing>
      </w:r>
    </w:p>
    <w:p w14:paraId="3C74F71A" w14:textId="57A4F0C5" w:rsidR="00D10839" w:rsidRDefault="00874B5F" w:rsidP="006A58DC">
      <w:pPr>
        <w:spacing w:line="240" w:lineRule="auto"/>
      </w:pPr>
      <w:r>
        <w:t>Figure S14</w:t>
      </w:r>
      <w:r w:rsidR="00D10839">
        <w:t xml:space="preserve">: </w:t>
      </w:r>
      <w:bookmarkStart w:id="0" w:name="_Hlk162523703"/>
      <w:r w:rsidR="00D10839">
        <w:rPr>
          <w:szCs w:val="24"/>
        </w:rPr>
        <w:t>Direction of selection from an imputed McDonald &amp; Kreitman test for genes in A) bulbuls and B) swallows</w:t>
      </w:r>
      <w:bookmarkEnd w:id="0"/>
      <w:r w:rsidR="00D10839">
        <w:rPr>
          <w:szCs w:val="24"/>
        </w:rPr>
        <w:t>. Significant values are represented in red.</w:t>
      </w:r>
    </w:p>
    <w:p w14:paraId="05AA7D2C" w14:textId="1F3DE2C3" w:rsidR="006A58DC" w:rsidRDefault="006A58DC" w:rsidP="00E53B0E"/>
    <w:p w14:paraId="38560A58" w14:textId="2CAEF17A" w:rsidR="00136F72" w:rsidRPr="006A58DC" w:rsidRDefault="00287FD3">
      <w:r>
        <w:br w:type="page"/>
      </w:r>
    </w:p>
    <w:p w14:paraId="4FDA24A3" w14:textId="77777777" w:rsidR="00136F72" w:rsidRDefault="00136F72" w:rsidP="00136F72">
      <w:r>
        <w:rPr>
          <w:noProof/>
          <w:lang w:val="en-GB" w:eastAsia="en-GB"/>
        </w:rPr>
        <w:lastRenderedPageBreak/>
        <w:drawing>
          <wp:inline distT="0" distB="0" distL="0" distR="0" wp14:anchorId="1ACD1BF5" wp14:editId="49B658CD">
            <wp:extent cx="5830114" cy="4020111"/>
            <wp:effectExtent l="0" t="0" r="0" b="0"/>
            <wp:docPr id="1702146628" name="Picture 6" descr="A colorful circl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46628" name="Picture 6" descr="A colorful circles with white 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830114" cy="4020111"/>
                    </a:xfrm>
                    <a:prstGeom prst="rect">
                      <a:avLst/>
                    </a:prstGeom>
                  </pic:spPr>
                </pic:pic>
              </a:graphicData>
            </a:graphic>
          </wp:inline>
        </w:drawing>
      </w:r>
    </w:p>
    <w:p w14:paraId="7EBC59C7" w14:textId="1F9E3EA0" w:rsidR="00136F72" w:rsidRDefault="00874B5F" w:rsidP="00136F72">
      <w:r>
        <w:t>Figure S15</w:t>
      </w:r>
      <w:r w:rsidR="00136F72">
        <w:t xml:space="preserve">: Venn-diagram showing the elements shared between the five source datasets: UCSC vertebrate-wide elements (UCSC), conserved elements used by </w:t>
      </w:r>
      <w:r w:rsidR="00050DC6">
        <w:rPr>
          <w:color w:val="000000"/>
        </w:rPr>
        <w:t xml:space="preserve">[9] </w:t>
      </w:r>
      <w:r w:rsidR="00136F72">
        <w:rPr>
          <w:color w:val="000000"/>
        </w:rPr>
        <w:t xml:space="preserve">(ratite), conserved element used by </w:t>
      </w:r>
      <w:r w:rsidR="00050DC6">
        <w:rPr>
          <w:color w:val="000000"/>
        </w:rPr>
        <w:t>[31]</w:t>
      </w:r>
      <w:r w:rsidR="00136F72">
        <w:rPr>
          <w:color w:val="000000"/>
        </w:rPr>
        <w:t xml:space="preserve"> (vocal), conserved elements called using </w:t>
      </w:r>
      <w:proofErr w:type="spellStart"/>
      <w:r w:rsidR="00136F72">
        <w:rPr>
          <w:color w:val="000000"/>
        </w:rPr>
        <w:t>phastcons</w:t>
      </w:r>
      <w:proofErr w:type="spellEnd"/>
      <w:r w:rsidR="00136F72">
        <w:rPr>
          <w:color w:val="000000"/>
        </w:rPr>
        <w:t xml:space="preserve"> from the 79-way cactus alignment in this project with chicken as reference species (</w:t>
      </w:r>
      <w:proofErr w:type="spellStart"/>
      <w:r w:rsidR="00136F72">
        <w:rPr>
          <w:color w:val="000000"/>
        </w:rPr>
        <w:t>phastcons_gal</w:t>
      </w:r>
      <w:proofErr w:type="spellEnd"/>
      <w:r w:rsidR="00136F72">
        <w:rPr>
          <w:color w:val="000000"/>
        </w:rPr>
        <w:t>) and zebra finch as reference species (</w:t>
      </w:r>
      <w:proofErr w:type="spellStart"/>
      <w:r w:rsidR="00136F72">
        <w:rPr>
          <w:color w:val="000000"/>
        </w:rPr>
        <w:t>phastcons_tgut</w:t>
      </w:r>
      <w:proofErr w:type="spellEnd"/>
      <w:r w:rsidR="00136F72">
        <w:rPr>
          <w:color w:val="000000"/>
        </w:rPr>
        <w:t>)</w:t>
      </w:r>
      <w:r w:rsidR="00136F72">
        <w:t>.</w:t>
      </w:r>
    </w:p>
    <w:p w14:paraId="4669471E" w14:textId="229C5D1B" w:rsidR="00BD3135" w:rsidRDefault="00BD3135">
      <w:pPr>
        <w:rPr>
          <w:color w:val="000000"/>
          <w:szCs w:val="24"/>
        </w:rPr>
      </w:pPr>
      <w:r>
        <w:rPr>
          <w:color w:val="000000"/>
          <w:szCs w:val="24"/>
        </w:rPr>
        <w:br w:type="page"/>
      </w:r>
    </w:p>
    <w:p w14:paraId="6E8D57D3" w14:textId="77777777" w:rsidR="00BD3135" w:rsidRDefault="00BD3135" w:rsidP="00BD3135">
      <w:pPr>
        <w:rPr>
          <w:szCs w:val="24"/>
        </w:rPr>
      </w:pPr>
      <w:r>
        <w:rPr>
          <w:noProof/>
          <w:szCs w:val="24"/>
          <w:lang w:val="en-GB" w:eastAsia="en-GB"/>
        </w:rPr>
        <w:lastRenderedPageBreak/>
        <w:drawing>
          <wp:inline distT="0" distB="0" distL="0" distR="0" wp14:anchorId="278469E5" wp14:editId="1DDF4791">
            <wp:extent cx="4522583" cy="6393180"/>
            <wp:effectExtent l="0" t="0" r="0" b="7620"/>
            <wp:docPr id="186091310"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1310" name="Picture 5" descr="A screenshot of a graph&#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24310" cy="6395621"/>
                    </a:xfrm>
                    <a:prstGeom prst="rect">
                      <a:avLst/>
                    </a:prstGeom>
                  </pic:spPr>
                </pic:pic>
              </a:graphicData>
            </a:graphic>
          </wp:inline>
        </w:drawing>
      </w:r>
    </w:p>
    <w:p w14:paraId="3F6F2FAA" w14:textId="452F420A" w:rsidR="00BD3135" w:rsidRPr="00613176" w:rsidRDefault="00874B5F" w:rsidP="00BD3135">
      <w:pPr>
        <w:rPr>
          <w:szCs w:val="24"/>
        </w:rPr>
      </w:pPr>
      <w:r>
        <w:t>Figure S16</w:t>
      </w:r>
      <w:r w:rsidR="00BD3135">
        <w:t xml:space="preserve">: Distribution of the number of taxa present in alignments of each CNEE separated by macrochromosomes, </w:t>
      </w:r>
      <w:proofErr w:type="spellStart"/>
      <w:r w:rsidR="00BD3135">
        <w:t>microchromosomes</w:t>
      </w:r>
      <w:proofErr w:type="spellEnd"/>
      <w:r w:rsidR="00BD3135">
        <w:t>, and Z chromosome.</w:t>
      </w:r>
    </w:p>
    <w:p w14:paraId="63AC92EC" w14:textId="77777777" w:rsidR="00136F72" w:rsidRPr="00180B41" w:rsidRDefault="00136F72" w:rsidP="00180B41">
      <w:pPr>
        <w:rPr>
          <w:color w:val="000000"/>
          <w:szCs w:val="24"/>
        </w:rPr>
      </w:pPr>
    </w:p>
    <w:p w14:paraId="59AC5701" w14:textId="77777777" w:rsidR="00180B41" w:rsidRDefault="00180B41" w:rsidP="00E53B0E"/>
    <w:p w14:paraId="1FF871A8" w14:textId="77777777" w:rsidR="00E53B0E" w:rsidRDefault="00E53B0E"/>
    <w:p w14:paraId="2EC9C134" w14:textId="0724E459" w:rsidR="00D30CF8" w:rsidRDefault="00D30CF8">
      <w:pPr>
        <w:sectPr w:rsidR="00D30CF8" w:rsidSect="00D9605C">
          <w:pgSz w:w="12240" w:h="15840"/>
          <w:pgMar w:top="1440" w:right="1440" w:bottom="1440" w:left="1440" w:header="720" w:footer="720" w:gutter="0"/>
          <w:cols w:space="720"/>
          <w:docGrid w:linePitch="360"/>
        </w:sectPr>
      </w:pPr>
    </w:p>
    <w:p w14:paraId="0EBA2231" w14:textId="2BC8AF78" w:rsidR="00CD390B" w:rsidRPr="0056599B" w:rsidRDefault="00403BA0">
      <w:pPr>
        <w:rPr>
          <w:b/>
          <w:bCs/>
        </w:rPr>
      </w:pPr>
      <w:r w:rsidRPr="0056599B">
        <w:rPr>
          <w:b/>
          <w:bCs/>
        </w:rPr>
        <w:lastRenderedPageBreak/>
        <w:t>Supplementary</w:t>
      </w:r>
      <w:r w:rsidR="00CD390B" w:rsidRPr="0056599B">
        <w:rPr>
          <w:b/>
          <w:bCs/>
        </w:rPr>
        <w:t xml:space="preserve"> Tables:</w:t>
      </w:r>
    </w:p>
    <w:p w14:paraId="096E1425" w14:textId="0818FE72" w:rsidR="00180B41" w:rsidRPr="00180B41" w:rsidRDefault="00180B41" w:rsidP="00180B41">
      <w:pPr>
        <w:rPr>
          <w:szCs w:val="24"/>
        </w:rPr>
      </w:pPr>
      <w:r w:rsidRPr="007210D5">
        <w:t xml:space="preserve">Table </w:t>
      </w:r>
      <w:r w:rsidR="00631B6F">
        <w:t>S</w:t>
      </w:r>
      <w:r w:rsidR="004A172F">
        <w:t>1</w:t>
      </w:r>
      <w:r w:rsidRPr="00180B41">
        <w:rPr>
          <w:szCs w:val="24"/>
        </w:rPr>
        <w:t>: Table showing predicted ATAC-seq peaks for accelerated elements using the trained CNN model for all accelerated elements compared to the true overlap of peaks from sequencing data for Hindlimb HH18 stage in chicken</w:t>
      </w:r>
      <w:r w:rsidRPr="00180B41">
        <w:rPr>
          <w:i/>
          <w:iCs/>
          <w:szCs w:val="24"/>
        </w:rPr>
        <w:t xml:space="preserve">. </w:t>
      </w:r>
      <w:r w:rsidRPr="00180B41">
        <w:rPr>
          <w:szCs w:val="24"/>
        </w:rPr>
        <w:t xml:space="preserve">Values in parenthesis with * show elements </w:t>
      </w:r>
      <w:r w:rsidR="00887D7E">
        <w:rPr>
          <w:szCs w:val="24"/>
        </w:rPr>
        <w:t>which share the same predicted state in 50% of the accelerated taxa</w:t>
      </w:r>
      <w:r w:rsidR="006F4DAF">
        <w:rPr>
          <w:szCs w:val="24"/>
        </w:rPr>
        <w:t xml:space="preserve"> for that element from </w:t>
      </w:r>
      <w:proofErr w:type="spellStart"/>
      <w:r w:rsidR="006F4DAF">
        <w:rPr>
          <w:szCs w:val="24"/>
        </w:rPr>
        <w:t>PhyloAcc</w:t>
      </w:r>
      <w:proofErr w:type="spellEnd"/>
      <w:r w:rsidR="00887D7E">
        <w:rPr>
          <w:szCs w:val="24"/>
        </w:rPr>
        <w:t>.</w:t>
      </w:r>
      <w:r w:rsidRPr="00180B41">
        <w:rPr>
          <w:szCs w:val="24"/>
        </w:rPr>
        <w:t xml:space="preserve"> </w:t>
      </w:r>
    </w:p>
    <w:tbl>
      <w:tblPr>
        <w:tblStyle w:val="TableGrid"/>
        <w:tblW w:w="0" w:type="auto"/>
        <w:tblLook w:val="04A0" w:firstRow="1" w:lastRow="0" w:firstColumn="1" w:lastColumn="0" w:noHBand="0" w:noVBand="1"/>
      </w:tblPr>
      <w:tblGrid>
        <w:gridCol w:w="3955"/>
        <w:gridCol w:w="1170"/>
        <w:gridCol w:w="2070"/>
        <w:gridCol w:w="2155"/>
      </w:tblGrid>
      <w:tr w:rsidR="00180B41" w14:paraId="2B67B131" w14:textId="77777777" w:rsidTr="0018149D">
        <w:tc>
          <w:tcPr>
            <w:tcW w:w="5125" w:type="dxa"/>
            <w:gridSpan w:val="2"/>
            <w:vMerge w:val="restart"/>
          </w:tcPr>
          <w:p w14:paraId="5F077607" w14:textId="77777777" w:rsidR="00180B41" w:rsidRDefault="00180B41" w:rsidP="0018149D">
            <w:pPr>
              <w:jc w:val="center"/>
            </w:pPr>
          </w:p>
        </w:tc>
        <w:tc>
          <w:tcPr>
            <w:tcW w:w="4225" w:type="dxa"/>
            <w:gridSpan w:val="2"/>
          </w:tcPr>
          <w:p w14:paraId="3C47D94A" w14:textId="77777777" w:rsidR="00180B41" w:rsidRDefault="00180B41" w:rsidP="0018149D">
            <w:pPr>
              <w:jc w:val="center"/>
            </w:pPr>
            <w:r>
              <w:t xml:space="preserve"> Real ATAC-seq peaks for chicken</w:t>
            </w:r>
          </w:p>
        </w:tc>
      </w:tr>
      <w:tr w:rsidR="00180B41" w14:paraId="2413A6A1" w14:textId="77777777" w:rsidTr="0018149D">
        <w:tc>
          <w:tcPr>
            <w:tcW w:w="5125" w:type="dxa"/>
            <w:gridSpan w:val="2"/>
            <w:vMerge/>
          </w:tcPr>
          <w:p w14:paraId="44057F50" w14:textId="77777777" w:rsidR="00180B41" w:rsidRDefault="00180B41" w:rsidP="0018149D">
            <w:pPr>
              <w:jc w:val="center"/>
            </w:pPr>
          </w:p>
        </w:tc>
        <w:tc>
          <w:tcPr>
            <w:tcW w:w="2070" w:type="dxa"/>
          </w:tcPr>
          <w:p w14:paraId="21F20A17" w14:textId="77777777" w:rsidR="00180B41" w:rsidRDefault="00180B41" w:rsidP="0018149D">
            <w:pPr>
              <w:jc w:val="center"/>
            </w:pPr>
            <w:r>
              <w:t>TRUE</w:t>
            </w:r>
          </w:p>
        </w:tc>
        <w:tc>
          <w:tcPr>
            <w:tcW w:w="2155" w:type="dxa"/>
          </w:tcPr>
          <w:p w14:paraId="5D79C8A7" w14:textId="77777777" w:rsidR="00180B41" w:rsidRDefault="00180B41" w:rsidP="0018149D">
            <w:pPr>
              <w:jc w:val="center"/>
            </w:pPr>
            <w:r>
              <w:t>FALSE</w:t>
            </w:r>
          </w:p>
        </w:tc>
      </w:tr>
      <w:tr w:rsidR="00180B41" w14:paraId="16A1DDC0" w14:textId="77777777" w:rsidTr="0018149D">
        <w:trPr>
          <w:trHeight w:val="368"/>
        </w:trPr>
        <w:tc>
          <w:tcPr>
            <w:tcW w:w="3955" w:type="dxa"/>
            <w:vMerge w:val="restart"/>
            <w:vAlign w:val="center"/>
          </w:tcPr>
          <w:p w14:paraId="20EC40E9" w14:textId="77777777" w:rsidR="00180B41" w:rsidRPr="00C845D3" w:rsidRDefault="00180B41" w:rsidP="0018149D">
            <w:pPr>
              <w:jc w:val="center"/>
            </w:pPr>
            <w:r>
              <w:t>Predicted ATAC-seq peaks for chicken</w:t>
            </w:r>
            <w:r>
              <w:rPr>
                <w:i/>
                <w:iCs/>
              </w:rPr>
              <w:t xml:space="preserve"> </w:t>
            </w:r>
            <w:r>
              <w:t>using trained model in TACIT</w:t>
            </w:r>
          </w:p>
        </w:tc>
        <w:tc>
          <w:tcPr>
            <w:tcW w:w="1170" w:type="dxa"/>
            <w:vAlign w:val="center"/>
          </w:tcPr>
          <w:p w14:paraId="2282FCFE" w14:textId="77777777" w:rsidR="00180B41" w:rsidRDefault="00180B41" w:rsidP="0018149D">
            <w:pPr>
              <w:jc w:val="center"/>
            </w:pPr>
            <w:r>
              <w:t>TRUE</w:t>
            </w:r>
          </w:p>
        </w:tc>
        <w:tc>
          <w:tcPr>
            <w:tcW w:w="2070" w:type="dxa"/>
          </w:tcPr>
          <w:p w14:paraId="163067A7" w14:textId="0C36BF85" w:rsidR="00180B41" w:rsidRDefault="00887D7E" w:rsidP="0018149D">
            <w:pPr>
              <w:jc w:val="center"/>
            </w:pPr>
            <w:r>
              <w:t>256</w:t>
            </w:r>
            <w:r w:rsidR="00180B41">
              <w:t xml:space="preserve"> (</w:t>
            </w:r>
            <w:r>
              <w:t>146</w:t>
            </w:r>
            <w:r w:rsidR="00180B41">
              <w:t>*)</w:t>
            </w:r>
          </w:p>
        </w:tc>
        <w:tc>
          <w:tcPr>
            <w:tcW w:w="2155" w:type="dxa"/>
          </w:tcPr>
          <w:p w14:paraId="5A05412A" w14:textId="14B2CE33" w:rsidR="00180B41" w:rsidRDefault="00887D7E" w:rsidP="0018149D">
            <w:pPr>
              <w:jc w:val="center"/>
            </w:pPr>
            <w:r>
              <w:t>1155</w:t>
            </w:r>
            <w:r w:rsidR="00180B41">
              <w:t xml:space="preserve"> (</w:t>
            </w:r>
            <w:r>
              <w:t>658</w:t>
            </w:r>
            <w:r w:rsidR="00180B41">
              <w:t>*)</w:t>
            </w:r>
          </w:p>
        </w:tc>
      </w:tr>
      <w:tr w:rsidR="00180B41" w14:paraId="3D0B72A0" w14:textId="77777777" w:rsidTr="0018149D">
        <w:trPr>
          <w:trHeight w:val="359"/>
        </w:trPr>
        <w:tc>
          <w:tcPr>
            <w:tcW w:w="3955" w:type="dxa"/>
            <w:vMerge/>
          </w:tcPr>
          <w:p w14:paraId="5AC4BB08" w14:textId="77777777" w:rsidR="00180B41" w:rsidRDefault="00180B41" w:rsidP="0018149D">
            <w:pPr>
              <w:jc w:val="center"/>
            </w:pPr>
          </w:p>
        </w:tc>
        <w:tc>
          <w:tcPr>
            <w:tcW w:w="1170" w:type="dxa"/>
            <w:vAlign w:val="center"/>
          </w:tcPr>
          <w:p w14:paraId="48480928" w14:textId="77777777" w:rsidR="00180B41" w:rsidRDefault="00180B41" w:rsidP="0018149D">
            <w:pPr>
              <w:jc w:val="center"/>
            </w:pPr>
            <w:r>
              <w:t>FALSE</w:t>
            </w:r>
          </w:p>
        </w:tc>
        <w:tc>
          <w:tcPr>
            <w:tcW w:w="2070" w:type="dxa"/>
          </w:tcPr>
          <w:p w14:paraId="0E9428EA" w14:textId="4DFD3975" w:rsidR="00180B41" w:rsidRDefault="00180B41" w:rsidP="0018149D">
            <w:pPr>
              <w:jc w:val="center"/>
            </w:pPr>
            <w:r>
              <w:t>1</w:t>
            </w:r>
            <w:r w:rsidR="00887D7E">
              <w:t>113</w:t>
            </w:r>
            <w:r>
              <w:t xml:space="preserve"> (</w:t>
            </w:r>
            <w:r w:rsidR="00887D7E">
              <w:t>1096</w:t>
            </w:r>
            <w:r>
              <w:t>*)</w:t>
            </w:r>
          </w:p>
        </w:tc>
        <w:tc>
          <w:tcPr>
            <w:tcW w:w="2155" w:type="dxa"/>
          </w:tcPr>
          <w:p w14:paraId="64F24344" w14:textId="5066A52C" w:rsidR="00180B41" w:rsidRDefault="00887D7E" w:rsidP="0018149D">
            <w:pPr>
              <w:jc w:val="center"/>
            </w:pPr>
            <w:r>
              <w:t>5064</w:t>
            </w:r>
            <w:r w:rsidR="00180B41">
              <w:t xml:space="preserve"> (</w:t>
            </w:r>
            <w:r>
              <w:t>4965</w:t>
            </w:r>
            <w:r w:rsidR="00180B41">
              <w:t>*)</w:t>
            </w:r>
          </w:p>
        </w:tc>
      </w:tr>
    </w:tbl>
    <w:p w14:paraId="7C9208F2" w14:textId="019377F4" w:rsidR="009B581F" w:rsidRDefault="009B581F"/>
    <w:p w14:paraId="2CC99585" w14:textId="0482E46F" w:rsidR="004A172F" w:rsidRPr="004A172F" w:rsidRDefault="004A172F">
      <w:pPr>
        <w:rPr>
          <w:b/>
          <w:bCs/>
        </w:rPr>
      </w:pPr>
      <w:r w:rsidRPr="004A172F">
        <w:rPr>
          <w:b/>
          <w:bCs/>
        </w:rPr>
        <w:t>Other additional files:</w:t>
      </w:r>
    </w:p>
    <w:p w14:paraId="66C30446" w14:textId="77777777" w:rsidR="004A172F" w:rsidRDefault="004A172F" w:rsidP="004A172F">
      <w:pPr>
        <w:rPr>
          <w:rFonts w:eastAsia="Times New Roman"/>
          <w:color w:val="000000"/>
          <w:kern w:val="0"/>
          <w:szCs w:val="24"/>
          <w14:ligatures w14:val="none"/>
        </w:rPr>
      </w:pPr>
      <w:r w:rsidRPr="004A172F">
        <w:rPr>
          <w:rFonts w:eastAsia="Times New Roman"/>
          <w:b/>
          <w:bCs/>
          <w:color w:val="000000"/>
          <w:kern w:val="0"/>
          <w:szCs w:val="24"/>
          <w14:ligatures w14:val="none"/>
        </w:rPr>
        <w:t>Additional file 2</w:t>
      </w:r>
      <w:r w:rsidRPr="00BD1C60">
        <w:rPr>
          <w:rFonts w:eastAsia="Times New Roman"/>
          <w:color w:val="000000"/>
          <w:kern w:val="0"/>
          <w:szCs w:val="24"/>
          <w14:ligatures w14:val="none"/>
        </w:rPr>
        <w:t xml:space="preserve">: </w:t>
      </w:r>
    </w:p>
    <w:p w14:paraId="12BE1781" w14:textId="77777777" w:rsidR="004A172F" w:rsidRDefault="004A172F" w:rsidP="004A172F">
      <w:pPr>
        <w:rPr>
          <w:rFonts w:eastAsia="Times New Roman"/>
          <w:color w:val="000000"/>
          <w:kern w:val="0"/>
          <w:szCs w:val="24"/>
          <w14:ligatures w14:val="none"/>
        </w:rPr>
      </w:pPr>
      <w:r>
        <w:rPr>
          <w:rFonts w:eastAsia="Times New Roman"/>
          <w:color w:val="000000"/>
          <w:kern w:val="0"/>
          <w:szCs w:val="24"/>
          <w14:ligatures w14:val="none"/>
        </w:rPr>
        <w:t>Table 1:</w:t>
      </w:r>
      <w:r w:rsidRPr="00BD1C60">
        <w:rPr>
          <w:rFonts w:eastAsia="Times New Roman"/>
          <w:color w:val="000000"/>
          <w:kern w:val="0"/>
          <w:szCs w:val="24"/>
          <w14:ligatures w14:val="none"/>
        </w:rPr>
        <w:t xml:space="preserve"> Run statistics for two independent runs for each of the fourteen groups in bayou. The table notes the estimated values, effective sample sizes, and Gelman’s R statistic for each of log likelihood (</w:t>
      </w:r>
      <w:proofErr w:type="spellStart"/>
      <w:r w:rsidRPr="00BD1C60">
        <w:rPr>
          <w:rFonts w:eastAsia="Times New Roman"/>
          <w:color w:val="000000"/>
          <w:kern w:val="0"/>
          <w:szCs w:val="24"/>
          <w14:ligatures w14:val="none"/>
        </w:rPr>
        <w:t>lnL</w:t>
      </w:r>
      <w:proofErr w:type="spellEnd"/>
      <w:r w:rsidRPr="00BD1C60">
        <w:rPr>
          <w:rFonts w:eastAsia="Times New Roman"/>
          <w:color w:val="000000"/>
          <w:kern w:val="0"/>
          <w:szCs w:val="24"/>
          <w14:ligatures w14:val="none"/>
        </w:rPr>
        <w:t xml:space="preserve">), prior density, alpha parameter, sigma-squared parameter, number of shifts (n), and number of optima (theta). </w:t>
      </w:r>
    </w:p>
    <w:p w14:paraId="7A22BE6D" w14:textId="77777777" w:rsidR="004A172F" w:rsidRDefault="004A172F" w:rsidP="004A172F">
      <w:pPr>
        <w:rPr>
          <w:rFonts w:eastAsia="Times New Roman"/>
          <w:color w:val="000000"/>
          <w:kern w:val="0"/>
          <w:szCs w:val="24"/>
          <w14:ligatures w14:val="none"/>
        </w:rPr>
      </w:pPr>
      <w:r>
        <w:rPr>
          <w:rFonts w:eastAsia="Times New Roman"/>
          <w:color w:val="000000"/>
          <w:kern w:val="0"/>
          <w:szCs w:val="24"/>
          <w14:ligatures w14:val="none"/>
        </w:rPr>
        <w:t>Table 2:</w:t>
      </w:r>
      <w:r w:rsidRPr="00BD1C60">
        <w:rPr>
          <w:rFonts w:eastAsia="Times New Roman"/>
          <w:color w:val="000000"/>
          <w:kern w:val="0"/>
          <w:szCs w:val="24"/>
          <w14:ligatures w14:val="none"/>
        </w:rPr>
        <w:t xml:space="preserve"> Taxa showing shifts in tarsus length size detected from bayou and the posterior probabilities and theta supporting shifts of each group from the two runs. </w:t>
      </w:r>
    </w:p>
    <w:p w14:paraId="575E62FD" w14:textId="0C910809" w:rsidR="004A172F" w:rsidRDefault="004A172F" w:rsidP="004A172F">
      <w:pPr>
        <w:rPr>
          <w:rFonts w:eastAsia="Times New Roman"/>
          <w:color w:val="000000"/>
          <w:kern w:val="0"/>
          <w:szCs w:val="24"/>
          <w14:ligatures w14:val="none"/>
        </w:rPr>
      </w:pPr>
      <w:r>
        <w:rPr>
          <w:rFonts w:eastAsia="Times New Roman"/>
          <w:color w:val="000000"/>
          <w:kern w:val="0"/>
          <w:szCs w:val="24"/>
          <w14:ligatures w14:val="none"/>
        </w:rPr>
        <w:t>Table 3:</w:t>
      </w:r>
      <w:r w:rsidRPr="00BD1C60">
        <w:rPr>
          <w:rFonts w:eastAsia="Times New Roman"/>
          <w:color w:val="000000"/>
          <w:kern w:val="0"/>
          <w:szCs w:val="24"/>
          <w14:ligatures w14:val="none"/>
        </w:rPr>
        <w:t xml:space="preserve"> Subset of AVONET dataset showing data used for this study and the assignment to the fourteen groups used in this study.</w:t>
      </w:r>
    </w:p>
    <w:p w14:paraId="6A1BF518" w14:textId="7AF3E130" w:rsidR="005E5F49" w:rsidRDefault="005E5F49" w:rsidP="004A172F">
      <w:pPr>
        <w:rPr>
          <w:rFonts w:eastAsia="Times New Roman"/>
          <w:color w:val="000000"/>
          <w:kern w:val="0"/>
          <w:szCs w:val="24"/>
          <w14:ligatures w14:val="none"/>
        </w:rPr>
      </w:pPr>
      <w:r w:rsidRPr="004A172F">
        <w:rPr>
          <w:rFonts w:eastAsia="Times New Roman"/>
          <w:b/>
          <w:bCs/>
          <w:color w:val="000000"/>
          <w:kern w:val="0"/>
          <w:szCs w:val="24"/>
          <w14:ligatures w14:val="none"/>
        </w:rPr>
        <w:t xml:space="preserve">Additional file </w:t>
      </w:r>
      <w:r>
        <w:rPr>
          <w:rFonts w:eastAsia="Times New Roman"/>
          <w:b/>
          <w:bCs/>
          <w:color w:val="000000"/>
          <w:kern w:val="0"/>
          <w:szCs w:val="24"/>
          <w14:ligatures w14:val="none"/>
        </w:rPr>
        <w:t>3:</w:t>
      </w:r>
    </w:p>
    <w:p w14:paraId="4842AF73" w14:textId="77777777" w:rsidR="005E5F49" w:rsidRDefault="005E5F49" w:rsidP="004A172F">
      <w:r>
        <w:t xml:space="preserve">Table 1: </w:t>
      </w:r>
      <w:r w:rsidR="004A172F" w:rsidRPr="007210D5">
        <w:t>Measurements of femur, tibiotarsus, and tarsome</w:t>
      </w:r>
      <w:r w:rsidR="004A172F">
        <w:t>ta</w:t>
      </w:r>
      <w:r w:rsidR="004A172F" w:rsidRPr="007210D5">
        <w:t xml:space="preserve">tarsus for specimens of the four focal groups (penguins, kingfishers, bulbuls, and swallows) and their outgroups. </w:t>
      </w:r>
    </w:p>
    <w:p w14:paraId="5B0867F0" w14:textId="59910F0A" w:rsidR="004A172F" w:rsidRPr="00BE45C4" w:rsidRDefault="005E5F49" w:rsidP="004A172F">
      <w:r>
        <w:t xml:space="preserve">Table 2: </w:t>
      </w:r>
      <w:r w:rsidR="004A172F" w:rsidRPr="007210D5">
        <w:t>The respective tarsus length and mass from AVONET for each species</w:t>
      </w:r>
      <w:r>
        <w:t xml:space="preserve"> used for Bayou</w:t>
      </w:r>
      <w:r w:rsidR="004A172F" w:rsidRPr="007210D5">
        <w:t>.</w:t>
      </w:r>
    </w:p>
    <w:p w14:paraId="6C884ED5" w14:textId="31983A08" w:rsidR="004A172F" w:rsidRPr="0050791B" w:rsidRDefault="0050791B" w:rsidP="004A172F">
      <w:pPr>
        <w:spacing w:line="240" w:lineRule="auto"/>
        <w:rPr>
          <w:rFonts w:eastAsia="Times New Roman"/>
          <w:b/>
          <w:bCs/>
          <w:color w:val="000000"/>
          <w:kern w:val="0"/>
          <w:szCs w:val="24"/>
          <w14:ligatures w14:val="none"/>
        </w:rPr>
      </w:pPr>
      <w:r w:rsidRPr="004A172F">
        <w:rPr>
          <w:rFonts w:eastAsia="Times New Roman"/>
          <w:b/>
          <w:bCs/>
          <w:color w:val="000000"/>
          <w:kern w:val="0"/>
          <w:szCs w:val="24"/>
          <w14:ligatures w14:val="none"/>
        </w:rPr>
        <w:t xml:space="preserve">Additional file </w:t>
      </w:r>
      <w:r>
        <w:rPr>
          <w:rFonts w:eastAsia="Times New Roman"/>
          <w:b/>
          <w:bCs/>
          <w:color w:val="000000"/>
          <w:kern w:val="0"/>
          <w:szCs w:val="24"/>
          <w14:ligatures w14:val="none"/>
        </w:rPr>
        <w:t xml:space="preserve">4: </w:t>
      </w:r>
      <w:r w:rsidR="004A172F" w:rsidRPr="00BC2D8A">
        <w:rPr>
          <w:rFonts w:eastAsia="Times New Roman"/>
          <w:color w:val="000000"/>
          <w:kern w:val="0"/>
          <w:szCs w:val="24"/>
          <w14:ligatures w14:val="none"/>
        </w:rPr>
        <w:t xml:space="preserve">Accession Numbers and basic genomic statistics for genomes used in the 79-way Cactus alignment. Genome Statistics are reported from NCBI for genomes downloaded from NCBI. </w:t>
      </w:r>
    </w:p>
    <w:p w14:paraId="444529C1" w14:textId="48EC408A" w:rsidR="004A172F" w:rsidRDefault="0050791B" w:rsidP="004A172F">
      <w:pPr>
        <w:spacing w:before="240"/>
      </w:pPr>
      <w:r w:rsidRPr="004A172F">
        <w:rPr>
          <w:rFonts w:eastAsia="Times New Roman"/>
          <w:b/>
          <w:bCs/>
          <w:color w:val="000000"/>
          <w:kern w:val="0"/>
          <w:szCs w:val="24"/>
          <w14:ligatures w14:val="none"/>
        </w:rPr>
        <w:t xml:space="preserve">Additional file </w:t>
      </w:r>
      <w:r>
        <w:rPr>
          <w:rFonts w:eastAsia="Times New Roman"/>
          <w:b/>
          <w:bCs/>
          <w:color w:val="000000"/>
          <w:kern w:val="0"/>
          <w:szCs w:val="24"/>
          <w14:ligatures w14:val="none"/>
        </w:rPr>
        <w:t>5</w:t>
      </w:r>
      <w:r w:rsidR="004A172F" w:rsidRPr="00BC2D8A">
        <w:rPr>
          <w:rFonts w:eastAsia="Times New Roman"/>
          <w:color w:val="000000"/>
          <w:kern w:val="0"/>
          <w:szCs w:val="24"/>
          <w14:ligatures w14:val="none"/>
        </w:rPr>
        <w:t>:</w:t>
      </w:r>
      <w:r w:rsidR="004A172F">
        <w:rPr>
          <w:rFonts w:eastAsia="Times New Roman"/>
          <w:color w:val="000000"/>
          <w:kern w:val="0"/>
          <w:szCs w:val="24"/>
          <w14:ligatures w14:val="none"/>
        </w:rPr>
        <w:t xml:space="preserve"> List of d</w:t>
      </w:r>
      <w:r w:rsidR="004A172F">
        <w:t xml:space="preserve">atasets used in the generation of </w:t>
      </w:r>
      <w:proofErr w:type="spellStart"/>
      <w:r w:rsidR="004A172F">
        <w:t>ATACseq</w:t>
      </w:r>
      <w:proofErr w:type="spellEnd"/>
      <w:r w:rsidR="004A172F">
        <w:t xml:space="preserve"> panel. SRA accession numbers for each replicate from corresponding studies are listed in the SRA accession column. The total reads mapped shows the number of reads mapped to the galGal7b genome. </w:t>
      </w:r>
    </w:p>
    <w:p w14:paraId="6C1C9037" w14:textId="77777777" w:rsidR="0050791B" w:rsidRDefault="0050791B" w:rsidP="001A1F0D">
      <w:pPr>
        <w:spacing w:after="0" w:line="240" w:lineRule="auto"/>
        <w:rPr>
          <w:rFonts w:eastAsia="Times New Roman"/>
          <w:color w:val="000000"/>
          <w:kern w:val="0"/>
          <w:szCs w:val="24"/>
          <w14:ligatures w14:val="none"/>
        </w:rPr>
      </w:pPr>
      <w:r w:rsidRPr="004A172F">
        <w:rPr>
          <w:rFonts w:eastAsia="Times New Roman"/>
          <w:b/>
          <w:bCs/>
          <w:color w:val="000000"/>
          <w:kern w:val="0"/>
          <w:szCs w:val="24"/>
          <w14:ligatures w14:val="none"/>
        </w:rPr>
        <w:t xml:space="preserve">Additional file </w:t>
      </w:r>
      <w:r>
        <w:rPr>
          <w:rFonts w:eastAsia="Times New Roman"/>
          <w:b/>
          <w:bCs/>
          <w:color w:val="000000"/>
          <w:kern w:val="0"/>
          <w:szCs w:val="24"/>
          <w14:ligatures w14:val="none"/>
        </w:rPr>
        <w:t>6:</w:t>
      </w:r>
      <w:r w:rsidR="001A1F0D" w:rsidRPr="001A1F0D">
        <w:rPr>
          <w:rFonts w:eastAsia="Times New Roman"/>
          <w:color w:val="000000"/>
          <w:kern w:val="0"/>
          <w:szCs w:val="24"/>
          <w14:ligatures w14:val="none"/>
        </w:rPr>
        <w:t xml:space="preserve"> </w:t>
      </w:r>
    </w:p>
    <w:p w14:paraId="6ED37167" w14:textId="66B3B61E" w:rsidR="0050791B" w:rsidRDefault="0050791B" w:rsidP="001A1F0D">
      <w:pPr>
        <w:spacing w:after="0" w:line="240" w:lineRule="auto"/>
        <w:rPr>
          <w:rFonts w:eastAsia="Times New Roman"/>
          <w:color w:val="000000"/>
          <w:kern w:val="0"/>
          <w:szCs w:val="24"/>
          <w14:ligatures w14:val="none"/>
        </w:rPr>
      </w:pPr>
      <w:r>
        <w:rPr>
          <w:rFonts w:eastAsia="Times New Roman"/>
          <w:color w:val="000000"/>
          <w:kern w:val="0"/>
          <w:szCs w:val="24"/>
          <w14:ligatures w14:val="none"/>
        </w:rPr>
        <w:t xml:space="preserve">Table 1: </w:t>
      </w:r>
      <w:r w:rsidR="001A1F0D" w:rsidRPr="001A1F0D">
        <w:rPr>
          <w:rFonts w:eastAsia="Times New Roman"/>
          <w:color w:val="000000"/>
          <w:kern w:val="0"/>
          <w:szCs w:val="24"/>
          <w14:ligatures w14:val="none"/>
        </w:rPr>
        <w:t>GO (Gene Ontology) terms and fold enrichment for genes near accelerated elements in the short-</w:t>
      </w:r>
      <w:r w:rsidR="00E02B3B">
        <w:rPr>
          <w:rFonts w:eastAsia="Times New Roman"/>
          <w:color w:val="000000"/>
          <w:kern w:val="0"/>
          <w:szCs w:val="24"/>
          <w14:ligatures w14:val="none"/>
        </w:rPr>
        <w:t>tarsus</w:t>
      </w:r>
      <w:r w:rsidR="001A1F0D" w:rsidRPr="001A1F0D">
        <w:rPr>
          <w:rFonts w:eastAsia="Times New Roman"/>
          <w:color w:val="000000"/>
          <w:kern w:val="0"/>
          <w:szCs w:val="24"/>
          <w14:ligatures w14:val="none"/>
        </w:rPr>
        <w:t xml:space="preserve"> broad </w:t>
      </w:r>
      <w:r>
        <w:rPr>
          <w:rFonts w:eastAsia="Times New Roman"/>
          <w:color w:val="000000"/>
          <w:kern w:val="0"/>
          <w:szCs w:val="24"/>
          <w14:ligatures w14:val="none"/>
        </w:rPr>
        <w:t>dataset.</w:t>
      </w:r>
    </w:p>
    <w:p w14:paraId="32230D1E" w14:textId="175E7E16" w:rsidR="001A1F0D" w:rsidRDefault="0050791B" w:rsidP="001A1F0D">
      <w:pPr>
        <w:spacing w:after="0" w:line="240" w:lineRule="auto"/>
        <w:rPr>
          <w:rFonts w:eastAsia="Times New Roman"/>
          <w:color w:val="000000"/>
          <w:kern w:val="0"/>
          <w:szCs w:val="24"/>
          <w14:ligatures w14:val="none"/>
        </w:rPr>
      </w:pPr>
      <w:r>
        <w:rPr>
          <w:rFonts w:eastAsia="Times New Roman"/>
          <w:color w:val="000000"/>
          <w:kern w:val="0"/>
          <w:szCs w:val="24"/>
          <w14:ligatures w14:val="none"/>
        </w:rPr>
        <w:t xml:space="preserve">Table 2: </w:t>
      </w:r>
      <w:r w:rsidRPr="001A1F0D">
        <w:rPr>
          <w:rFonts w:eastAsia="Times New Roman"/>
          <w:color w:val="000000"/>
          <w:kern w:val="0"/>
          <w:szCs w:val="24"/>
          <w14:ligatures w14:val="none"/>
        </w:rPr>
        <w:t xml:space="preserve">GO (Gene Ontology) terms and fold enrichment for genes near accelerated elements in </w:t>
      </w:r>
      <w:r w:rsidR="001A1F0D" w:rsidRPr="001A1F0D">
        <w:rPr>
          <w:rFonts w:eastAsia="Times New Roman"/>
          <w:color w:val="000000"/>
          <w:kern w:val="0"/>
          <w:szCs w:val="24"/>
          <w14:ligatures w14:val="none"/>
        </w:rPr>
        <w:t>short-</w:t>
      </w:r>
      <w:r w:rsidR="00E02B3B">
        <w:rPr>
          <w:rFonts w:eastAsia="Times New Roman"/>
          <w:color w:val="000000"/>
          <w:kern w:val="0"/>
          <w:szCs w:val="24"/>
          <w14:ligatures w14:val="none"/>
        </w:rPr>
        <w:t>tarsus</w:t>
      </w:r>
      <w:r w:rsidR="001A1F0D" w:rsidRPr="001A1F0D">
        <w:rPr>
          <w:rFonts w:eastAsia="Times New Roman"/>
          <w:color w:val="000000"/>
          <w:kern w:val="0"/>
          <w:szCs w:val="24"/>
          <w14:ligatures w14:val="none"/>
        </w:rPr>
        <w:t xml:space="preserve"> specific dataset.</w:t>
      </w:r>
    </w:p>
    <w:p w14:paraId="07B3B98B" w14:textId="3579F2D8" w:rsidR="00DB36F9" w:rsidRDefault="00DB36F9" w:rsidP="001A1F0D">
      <w:pPr>
        <w:spacing w:after="0" w:line="240" w:lineRule="auto"/>
        <w:rPr>
          <w:rFonts w:eastAsia="Times New Roman"/>
          <w:color w:val="000000"/>
          <w:kern w:val="0"/>
          <w:szCs w:val="24"/>
          <w14:ligatures w14:val="none"/>
        </w:rPr>
      </w:pPr>
    </w:p>
    <w:p w14:paraId="7A5F9C9E" w14:textId="77777777" w:rsidR="0050791B" w:rsidRDefault="0050791B" w:rsidP="00904F7E">
      <w:pPr>
        <w:spacing w:after="0" w:line="240" w:lineRule="auto"/>
        <w:rPr>
          <w:rFonts w:eastAsia="Times New Roman"/>
          <w:color w:val="000000"/>
          <w:kern w:val="0"/>
          <w:szCs w:val="24"/>
          <w14:ligatures w14:val="none"/>
        </w:rPr>
      </w:pPr>
      <w:r w:rsidRPr="004A172F">
        <w:rPr>
          <w:rFonts w:eastAsia="Times New Roman"/>
          <w:b/>
          <w:bCs/>
          <w:color w:val="000000"/>
          <w:kern w:val="0"/>
          <w:szCs w:val="24"/>
          <w14:ligatures w14:val="none"/>
        </w:rPr>
        <w:lastRenderedPageBreak/>
        <w:t xml:space="preserve">Additional file </w:t>
      </w:r>
      <w:r>
        <w:rPr>
          <w:rFonts w:eastAsia="Times New Roman"/>
          <w:b/>
          <w:bCs/>
          <w:color w:val="000000"/>
          <w:kern w:val="0"/>
          <w:szCs w:val="24"/>
          <w14:ligatures w14:val="none"/>
        </w:rPr>
        <w:t>7:</w:t>
      </w:r>
      <w:r w:rsidRPr="001A1F0D">
        <w:rPr>
          <w:rFonts w:eastAsia="Times New Roman"/>
          <w:color w:val="000000"/>
          <w:kern w:val="0"/>
          <w:szCs w:val="24"/>
          <w14:ligatures w14:val="none"/>
        </w:rPr>
        <w:t xml:space="preserve"> </w:t>
      </w:r>
      <w:r w:rsidR="00904F7E">
        <w:rPr>
          <w:rFonts w:eastAsia="Times New Roman"/>
          <w:color w:val="000000"/>
          <w:kern w:val="0"/>
          <w:szCs w:val="24"/>
          <w14:ligatures w14:val="none"/>
        </w:rPr>
        <w:t xml:space="preserve">GO </w:t>
      </w:r>
      <w:r w:rsidR="00904F7E" w:rsidRPr="001A1F0D">
        <w:rPr>
          <w:rFonts w:eastAsia="Times New Roman"/>
          <w:color w:val="000000"/>
          <w:kern w:val="0"/>
          <w:szCs w:val="24"/>
          <w14:ligatures w14:val="none"/>
        </w:rPr>
        <w:t xml:space="preserve">(Gene Ontology) terms and fold enrichment for </w:t>
      </w:r>
      <w:r w:rsidR="00904F7E">
        <w:rPr>
          <w:rFonts w:eastAsia="Times New Roman"/>
          <w:color w:val="000000"/>
          <w:kern w:val="0"/>
          <w:szCs w:val="24"/>
          <w14:ligatures w14:val="none"/>
        </w:rPr>
        <w:t xml:space="preserve">protein coding genes with evidence of selection in </w:t>
      </w:r>
    </w:p>
    <w:p w14:paraId="20EC01BE" w14:textId="77777777" w:rsidR="0050791B" w:rsidRDefault="0050791B" w:rsidP="00904F7E">
      <w:pPr>
        <w:spacing w:after="0" w:line="240" w:lineRule="auto"/>
        <w:rPr>
          <w:rFonts w:eastAsia="Times New Roman"/>
          <w:color w:val="000000"/>
          <w:kern w:val="0"/>
          <w:szCs w:val="24"/>
          <w14:ligatures w14:val="none"/>
        </w:rPr>
      </w:pPr>
      <w:r>
        <w:rPr>
          <w:rFonts w:eastAsia="Times New Roman"/>
          <w:color w:val="000000"/>
          <w:kern w:val="0"/>
          <w:szCs w:val="24"/>
          <w14:ligatures w14:val="none"/>
        </w:rPr>
        <w:t xml:space="preserve">Table 1: </w:t>
      </w:r>
      <w:r w:rsidR="00904F7E" w:rsidRPr="001A1F0D">
        <w:rPr>
          <w:rFonts w:eastAsia="Times New Roman"/>
          <w:color w:val="000000"/>
          <w:kern w:val="0"/>
          <w:szCs w:val="24"/>
          <w14:ligatures w14:val="none"/>
        </w:rPr>
        <w:t>short-</w:t>
      </w:r>
      <w:r w:rsidR="00904F7E">
        <w:rPr>
          <w:rFonts w:eastAsia="Times New Roman"/>
          <w:color w:val="000000"/>
          <w:kern w:val="0"/>
          <w:szCs w:val="24"/>
          <w14:ligatures w14:val="none"/>
        </w:rPr>
        <w:t>tarsus</w:t>
      </w:r>
      <w:r w:rsidR="00904F7E" w:rsidRPr="001A1F0D">
        <w:rPr>
          <w:rFonts w:eastAsia="Times New Roman"/>
          <w:color w:val="000000"/>
          <w:kern w:val="0"/>
          <w:szCs w:val="24"/>
          <w14:ligatures w14:val="none"/>
        </w:rPr>
        <w:t xml:space="preserve"> </w:t>
      </w:r>
      <w:r w:rsidR="001903BF">
        <w:rPr>
          <w:rFonts w:eastAsia="Times New Roman"/>
          <w:color w:val="000000"/>
          <w:kern w:val="0"/>
          <w:szCs w:val="24"/>
          <w14:ligatures w14:val="none"/>
        </w:rPr>
        <w:t>species</w:t>
      </w:r>
      <w:r>
        <w:rPr>
          <w:rFonts w:eastAsia="Times New Roman"/>
          <w:color w:val="000000"/>
          <w:kern w:val="0"/>
          <w:szCs w:val="24"/>
          <w14:ligatures w14:val="none"/>
        </w:rPr>
        <w:t xml:space="preserve"> all</w:t>
      </w:r>
      <w:r w:rsidR="001903BF">
        <w:rPr>
          <w:rFonts w:eastAsia="Times New Roman"/>
          <w:color w:val="000000"/>
          <w:kern w:val="0"/>
          <w:szCs w:val="24"/>
          <w14:ligatures w14:val="none"/>
        </w:rPr>
        <w:t xml:space="preserve">, </w:t>
      </w:r>
    </w:p>
    <w:p w14:paraId="4A1C3228" w14:textId="77777777" w:rsidR="0050791B" w:rsidRDefault="0050791B" w:rsidP="00904F7E">
      <w:pPr>
        <w:spacing w:after="0" w:line="240" w:lineRule="auto"/>
        <w:rPr>
          <w:rFonts w:eastAsia="Times New Roman"/>
          <w:color w:val="000000"/>
          <w:kern w:val="0"/>
          <w:szCs w:val="24"/>
          <w14:ligatures w14:val="none"/>
        </w:rPr>
      </w:pPr>
      <w:r>
        <w:rPr>
          <w:rFonts w:eastAsia="Times New Roman"/>
          <w:color w:val="000000"/>
          <w:kern w:val="0"/>
          <w:szCs w:val="24"/>
          <w14:ligatures w14:val="none"/>
        </w:rPr>
        <w:t>Table 2:</w:t>
      </w:r>
      <w:r w:rsidR="00904F7E" w:rsidRPr="001A1F0D">
        <w:rPr>
          <w:rFonts w:eastAsia="Times New Roman"/>
          <w:color w:val="000000"/>
          <w:kern w:val="0"/>
          <w:szCs w:val="24"/>
          <w14:ligatures w14:val="none"/>
        </w:rPr>
        <w:t xml:space="preserve"> </w:t>
      </w:r>
      <w:r w:rsidR="001903BF">
        <w:rPr>
          <w:rFonts w:eastAsia="Times New Roman"/>
          <w:color w:val="000000"/>
          <w:kern w:val="0"/>
          <w:szCs w:val="24"/>
          <w14:ligatures w14:val="none"/>
        </w:rPr>
        <w:t xml:space="preserve">bulbuls, </w:t>
      </w:r>
    </w:p>
    <w:p w14:paraId="7DD72D06" w14:textId="0E2ECF9A" w:rsidR="0050791B" w:rsidRDefault="0050791B" w:rsidP="00904F7E">
      <w:pPr>
        <w:spacing w:after="0" w:line="240" w:lineRule="auto"/>
        <w:rPr>
          <w:rFonts w:eastAsia="Times New Roman"/>
          <w:color w:val="000000"/>
          <w:kern w:val="0"/>
          <w:szCs w:val="24"/>
          <w14:ligatures w14:val="none"/>
        </w:rPr>
      </w:pPr>
      <w:r>
        <w:rPr>
          <w:rFonts w:eastAsia="Times New Roman"/>
          <w:color w:val="000000"/>
          <w:kern w:val="0"/>
          <w:szCs w:val="24"/>
          <w14:ligatures w14:val="none"/>
        </w:rPr>
        <w:t xml:space="preserve">Table 3: </w:t>
      </w:r>
      <w:r w:rsidR="001903BF">
        <w:rPr>
          <w:rFonts w:eastAsia="Times New Roman"/>
          <w:color w:val="000000"/>
          <w:kern w:val="0"/>
          <w:szCs w:val="24"/>
          <w14:ligatures w14:val="none"/>
        </w:rPr>
        <w:t>swallows</w:t>
      </w:r>
      <w:r>
        <w:rPr>
          <w:rFonts w:eastAsia="Times New Roman"/>
          <w:color w:val="000000"/>
          <w:kern w:val="0"/>
          <w:szCs w:val="24"/>
          <w14:ligatures w14:val="none"/>
        </w:rPr>
        <w:t>,</w:t>
      </w:r>
    </w:p>
    <w:p w14:paraId="69175475" w14:textId="77777777" w:rsidR="0050791B" w:rsidRDefault="0050791B" w:rsidP="00904F7E">
      <w:pPr>
        <w:spacing w:after="0" w:line="240" w:lineRule="auto"/>
        <w:rPr>
          <w:rFonts w:eastAsia="Times New Roman"/>
          <w:color w:val="000000"/>
          <w:kern w:val="0"/>
          <w:szCs w:val="24"/>
          <w14:ligatures w14:val="none"/>
        </w:rPr>
      </w:pPr>
      <w:r>
        <w:rPr>
          <w:rFonts w:eastAsia="Times New Roman"/>
          <w:color w:val="000000"/>
          <w:kern w:val="0"/>
          <w:szCs w:val="24"/>
          <w14:ligatures w14:val="none"/>
        </w:rPr>
        <w:t>Table 4:</w:t>
      </w:r>
      <w:r w:rsidR="001903BF">
        <w:rPr>
          <w:rFonts w:eastAsia="Times New Roman"/>
          <w:color w:val="000000"/>
          <w:kern w:val="0"/>
          <w:szCs w:val="24"/>
          <w14:ligatures w14:val="none"/>
        </w:rPr>
        <w:t xml:space="preserve"> penguins, and </w:t>
      </w:r>
    </w:p>
    <w:p w14:paraId="5B46B232" w14:textId="1C25DBC6" w:rsidR="00904F7E" w:rsidRDefault="0050791B" w:rsidP="00904F7E">
      <w:pPr>
        <w:spacing w:after="0" w:line="240" w:lineRule="auto"/>
        <w:rPr>
          <w:rFonts w:eastAsia="Times New Roman"/>
          <w:color w:val="000000"/>
          <w:kern w:val="0"/>
          <w:szCs w:val="24"/>
          <w14:ligatures w14:val="none"/>
        </w:rPr>
      </w:pPr>
      <w:r>
        <w:rPr>
          <w:rFonts w:eastAsia="Times New Roman"/>
          <w:color w:val="000000"/>
          <w:kern w:val="0"/>
          <w:szCs w:val="24"/>
          <w14:ligatures w14:val="none"/>
        </w:rPr>
        <w:t xml:space="preserve">Table 5: </w:t>
      </w:r>
      <w:r w:rsidR="001903BF">
        <w:rPr>
          <w:rFonts w:eastAsia="Times New Roman"/>
          <w:color w:val="000000"/>
          <w:kern w:val="0"/>
          <w:szCs w:val="24"/>
          <w14:ligatures w14:val="none"/>
        </w:rPr>
        <w:t>kingfishers</w:t>
      </w:r>
      <w:r w:rsidR="00904F7E" w:rsidRPr="001A1F0D">
        <w:rPr>
          <w:rFonts w:eastAsia="Times New Roman"/>
          <w:color w:val="000000"/>
          <w:kern w:val="0"/>
          <w:szCs w:val="24"/>
          <w14:ligatures w14:val="none"/>
        </w:rPr>
        <w:t>.</w:t>
      </w:r>
    </w:p>
    <w:p w14:paraId="293E5DFB" w14:textId="77777777" w:rsidR="00995BF3" w:rsidRDefault="00995BF3">
      <w:pPr>
        <w:rPr>
          <w:rFonts w:eastAsia="Times New Roman"/>
          <w:color w:val="000000"/>
          <w:kern w:val="0"/>
          <w:szCs w:val="24"/>
          <w14:ligatures w14:val="none"/>
        </w:rPr>
      </w:pPr>
    </w:p>
    <w:p w14:paraId="5B96DC0F" w14:textId="77777777" w:rsidR="0050791B" w:rsidRDefault="0050791B" w:rsidP="0050791B">
      <w:pPr>
        <w:spacing w:after="0"/>
        <w:rPr>
          <w:rFonts w:eastAsia="Times New Roman"/>
          <w:color w:val="000000"/>
          <w:kern w:val="0"/>
          <w:szCs w:val="24"/>
          <w14:ligatures w14:val="none"/>
        </w:rPr>
      </w:pPr>
      <w:r w:rsidRPr="004A172F">
        <w:rPr>
          <w:rFonts w:eastAsia="Times New Roman"/>
          <w:b/>
          <w:bCs/>
          <w:color w:val="000000"/>
          <w:kern w:val="0"/>
          <w:szCs w:val="24"/>
          <w14:ligatures w14:val="none"/>
        </w:rPr>
        <w:t xml:space="preserve">Additional file </w:t>
      </w:r>
      <w:r>
        <w:rPr>
          <w:rFonts w:eastAsia="Times New Roman"/>
          <w:b/>
          <w:bCs/>
          <w:color w:val="000000"/>
          <w:kern w:val="0"/>
          <w:szCs w:val="24"/>
          <w14:ligatures w14:val="none"/>
        </w:rPr>
        <w:t>8:</w:t>
      </w:r>
      <w:r w:rsidR="00995BF3" w:rsidRPr="00995BF3">
        <w:rPr>
          <w:rFonts w:eastAsia="Times New Roman"/>
          <w:color w:val="000000"/>
          <w:kern w:val="0"/>
          <w:szCs w:val="24"/>
          <w14:ligatures w14:val="none"/>
        </w:rPr>
        <w:t xml:space="preserve"> GO (Gene Ontology) terms and fold enrichment for genes near accelerated elements showing signal of selection using modified MK test in the </w:t>
      </w:r>
    </w:p>
    <w:p w14:paraId="00700215" w14:textId="77777777" w:rsidR="0050791B" w:rsidRDefault="0050791B" w:rsidP="0050791B">
      <w:pPr>
        <w:spacing w:after="0"/>
        <w:rPr>
          <w:rFonts w:eastAsia="Times New Roman"/>
          <w:color w:val="000000"/>
          <w:kern w:val="0"/>
          <w:szCs w:val="24"/>
          <w14:ligatures w14:val="none"/>
        </w:rPr>
      </w:pPr>
      <w:r>
        <w:rPr>
          <w:rFonts w:eastAsia="Times New Roman"/>
          <w:color w:val="000000"/>
          <w:kern w:val="0"/>
          <w:szCs w:val="24"/>
          <w14:ligatures w14:val="none"/>
        </w:rPr>
        <w:t xml:space="preserve">Table 1: </w:t>
      </w:r>
      <w:r w:rsidR="00995BF3" w:rsidRPr="00995BF3">
        <w:rPr>
          <w:rFonts w:eastAsia="Times New Roman"/>
          <w:color w:val="000000"/>
          <w:kern w:val="0"/>
          <w:szCs w:val="24"/>
          <w14:ligatures w14:val="none"/>
        </w:rPr>
        <w:t xml:space="preserve">bulbuls and </w:t>
      </w:r>
    </w:p>
    <w:p w14:paraId="6A9407B5" w14:textId="4F4F542E" w:rsidR="00995BF3" w:rsidRDefault="0050791B" w:rsidP="0050791B">
      <w:pPr>
        <w:spacing w:after="0"/>
        <w:rPr>
          <w:rFonts w:eastAsia="Times New Roman"/>
          <w:color w:val="000000"/>
          <w:kern w:val="0"/>
          <w:szCs w:val="24"/>
          <w14:ligatures w14:val="none"/>
        </w:rPr>
      </w:pPr>
      <w:r>
        <w:rPr>
          <w:rFonts w:eastAsia="Times New Roman"/>
          <w:color w:val="000000"/>
          <w:kern w:val="0"/>
          <w:szCs w:val="24"/>
          <w14:ligatures w14:val="none"/>
        </w:rPr>
        <w:t>Table 2: s</w:t>
      </w:r>
      <w:r w:rsidR="00995BF3" w:rsidRPr="00995BF3">
        <w:rPr>
          <w:rFonts w:eastAsia="Times New Roman"/>
          <w:color w:val="000000"/>
          <w:kern w:val="0"/>
          <w:szCs w:val="24"/>
          <w14:ligatures w14:val="none"/>
        </w:rPr>
        <w:t>wallows.</w:t>
      </w:r>
    </w:p>
    <w:sectPr w:rsidR="00995B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91A87"/>
    <w:multiLevelType w:val="hybridMultilevel"/>
    <w:tmpl w:val="09F41C10"/>
    <w:lvl w:ilvl="0" w:tplc="BB4285AE">
      <w:start w:val="1"/>
      <w:numFmt w:val="bullet"/>
      <w:lvlText w:val=""/>
      <w:lvlJc w:val="left"/>
      <w:pPr>
        <w:ind w:left="1080" w:hanging="360"/>
      </w:pPr>
      <w:rPr>
        <w:rFonts w:ascii="Symbol" w:hAnsi="Symbol"/>
      </w:rPr>
    </w:lvl>
    <w:lvl w:ilvl="1" w:tplc="FA448F2C">
      <w:start w:val="1"/>
      <w:numFmt w:val="bullet"/>
      <w:lvlText w:val=""/>
      <w:lvlJc w:val="left"/>
      <w:pPr>
        <w:ind w:left="1440" w:hanging="360"/>
      </w:pPr>
      <w:rPr>
        <w:rFonts w:ascii="Symbol" w:hAnsi="Symbol"/>
      </w:rPr>
    </w:lvl>
    <w:lvl w:ilvl="2" w:tplc="8FFE8380">
      <w:start w:val="1"/>
      <w:numFmt w:val="bullet"/>
      <w:lvlText w:val=""/>
      <w:lvlJc w:val="left"/>
      <w:pPr>
        <w:ind w:left="1080" w:hanging="360"/>
      </w:pPr>
      <w:rPr>
        <w:rFonts w:ascii="Symbol" w:hAnsi="Symbol"/>
      </w:rPr>
    </w:lvl>
    <w:lvl w:ilvl="3" w:tplc="4EA20302">
      <w:start w:val="1"/>
      <w:numFmt w:val="bullet"/>
      <w:lvlText w:val=""/>
      <w:lvlJc w:val="left"/>
      <w:pPr>
        <w:ind w:left="1080" w:hanging="360"/>
      </w:pPr>
      <w:rPr>
        <w:rFonts w:ascii="Symbol" w:hAnsi="Symbol"/>
      </w:rPr>
    </w:lvl>
    <w:lvl w:ilvl="4" w:tplc="DF240452">
      <w:start w:val="1"/>
      <w:numFmt w:val="bullet"/>
      <w:lvlText w:val=""/>
      <w:lvlJc w:val="left"/>
      <w:pPr>
        <w:ind w:left="1080" w:hanging="360"/>
      </w:pPr>
      <w:rPr>
        <w:rFonts w:ascii="Symbol" w:hAnsi="Symbol"/>
      </w:rPr>
    </w:lvl>
    <w:lvl w:ilvl="5" w:tplc="09BCB146">
      <w:start w:val="1"/>
      <w:numFmt w:val="bullet"/>
      <w:lvlText w:val=""/>
      <w:lvlJc w:val="left"/>
      <w:pPr>
        <w:ind w:left="1080" w:hanging="360"/>
      </w:pPr>
      <w:rPr>
        <w:rFonts w:ascii="Symbol" w:hAnsi="Symbol"/>
      </w:rPr>
    </w:lvl>
    <w:lvl w:ilvl="6" w:tplc="4DD8AE96">
      <w:start w:val="1"/>
      <w:numFmt w:val="bullet"/>
      <w:lvlText w:val=""/>
      <w:lvlJc w:val="left"/>
      <w:pPr>
        <w:ind w:left="1080" w:hanging="360"/>
      </w:pPr>
      <w:rPr>
        <w:rFonts w:ascii="Symbol" w:hAnsi="Symbol"/>
      </w:rPr>
    </w:lvl>
    <w:lvl w:ilvl="7" w:tplc="2E665704">
      <w:start w:val="1"/>
      <w:numFmt w:val="bullet"/>
      <w:lvlText w:val=""/>
      <w:lvlJc w:val="left"/>
      <w:pPr>
        <w:ind w:left="1080" w:hanging="360"/>
      </w:pPr>
      <w:rPr>
        <w:rFonts w:ascii="Symbol" w:hAnsi="Symbol"/>
      </w:rPr>
    </w:lvl>
    <w:lvl w:ilvl="8" w:tplc="85A6A3FA">
      <w:start w:val="1"/>
      <w:numFmt w:val="bullet"/>
      <w:lvlText w:val=""/>
      <w:lvlJc w:val="left"/>
      <w:pPr>
        <w:ind w:left="1080" w:hanging="360"/>
      </w:pPr>
      <w:rPr>
        <w:rFonts w:ascii="Symbol" w:hAnsi="Symbol"/>
      </w:rPr>
    </w:lvl>
  </w:abstractNum>
  <w:num w:numId="1" w16cid:durableId="1200556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508"/>
    <w:rsid w:val="0000343B"/>
    <w:rsid w:val="00023A35"/>
    <w:rsid w:val="000348D4"/>
    <w:rsid w:val="00050DC6"/>
    <w:rsid w:val="000624D6"/>
    <w:rsid w:val="000955B5"/>
    <w:rsid w:val="000E4760"/>
    <w:rsid w:val="000F41B4"/>
    <w:rsid w:val="00136F72"/>
    <w:rsid w:val="001447D7"/>
    <w:rsid w:val="00144AA7"/>
    <w:rsid w:val="00156B4B"/>
    <w:rsid w:val="00180B41"/>
    <w:rsid w:val="001903BF"/>
    <w:rsid w:val="001A1F0D"/>
    <w:rsid w:val="001F43B8"/>
    <w:rsid w:val="00201EB8"/>
    <w:rsid w:val="00287FD3"/>
    <w:rsid w:val="002E5BB9"/>
    <w:rsid w:val="00306C41"/>
    <w:rsid w:val="003105A6"/>
    <w:rsid w:val="0032032E"/>
    <w:rsid w:val="00361C6C"/>
    <w:rsid w:val="003854DB"/>
    <w:rsid w:val="003912EE"/>
    <w:rsid w:val="003B1648"/>
    <w:rsid w:val="003B6D1B"/>
    <w:rsid w:val="003C7B15"/>
    <w:rsid w:val="003D4A64"/>
    <w:rsid w:val="003E4C12"/>
    <w:rsid w:val="0040028A"/>
    <w:rsid w:val="00403BA0"/>
    <w:rsid w:val="0045530F"/>
    <w:rsid w:val="00466161"/>
    <w:rsid w:val="004915D3"/>
    <w:rsid w:val="0049293C"/>
    <w:rsid w:val="004A0342"/>
    <w:rsid w:val="004A172F"/>
    <w:rsid w:val="004C4CCB"/>
    <w:rsid w:val="004E0F76"/>
    <w:rsid w:val="0050791B"/>
    <w:rsid w:val="00534CEA"/>
    <w:rsid w:val="0054502D"/>
    <w:rsid w:val="0056599B"/>
    <w:rsid w:val="005E5F49"/>
    <w:rsid w:val="005F5489"/>
    <w:rsid w:val="00613176"/>
    <w:rsid w:val="00615DC3"/>
    <w:rsid w:val="00621403"/>
    <w:rsid w:val="00622CB1"/>
    <w:rsid w:val="0062414E"/>
    <w:rsid w:val="00631B6F"/>
    <w:rsid w:val="00671745"/>
    <w:rsid w:val="00692324"/>
    <w:rsid w:val="006934A0"/>
    <w:rsid w:val="006A58DC"/>
    <w:rsid w:val="006A5B72"/>
    <w:rsid w:val="006D7E93"/>
    <w:rsid w:val="006F4DAF"/>
    <w:rsid w:val="0071254A"/>
    <w:rsid w:val="007150BE"/>
    <w:rsid w:val="007210D5"/>
    <w:rsid w:val="00723213"/>
    <w:rsid w:val="007B71C3"/>
    <w:rsid w:val="008226BA"/>
    <w:rsid w:val="00823F4B"/>
    <w:rsid w:val="0083663D"/>
    <w:rsid w:val="00856ADE"/>
    <w:rsid w:val="00874B5F"/>
    <w:rsid w:val="00885C60"/>
    <w:rsid w:val="00887D7E"/>
    <w:rsid w:val="008A6E76"/>
    <w:rsid w:val="008C124A"/>
    <w:rsid w:val="008F4508"/>
    <w:rsid w:val="00904F7E"/>
    <w:rsid w:val="00934A9E"/>
    <w:rsid w:val="00934F1D"/>
    <w:rsid w:val="00965126"/>
    <w:rsid w:val="00971299"/>
    <w:rsid w:val="00995BF3"/>
    <w:rsid w:val="009A504E"/>
    <w:rsid w:val="009B338D"/>
    <w:rsid w:val="009B428B"/>
    <w:rsid w:val="009B581F"/>
    <w:rsid w:val="00A07A97"/>
    <w:rsid w:val="00A71538"/>
    <w:rsid w:val="00A940FF"/>
    <w:rsid w:val="00A95E38"/>
    <w:rsid w:val="00AD4657"/>
    <w:rsid w:val="00B401CE"/>
    <w:rsid w:val="00BB42F5"/>
    <w:rsid w:val="00BC2D8A"/>
    <w:rsid w:val="00BD1C60"/>
    <w:rsid w:val="00BD3135"/>
    <w:rsid w:val="00BE45C4"/>
    <w:rsid w:val="00C363B2"/>
    <w:rsid w:val="00C50229"/>
    <w:rsid w:val="00C74454"/>
    <w:rsid w:val="00CD390B"/>
    <w:rsid w:val="00CE0884"/>
    <w:rsid w:val="00CE399B"/>
    <w:rsid w:val="00D10839"/>
    <w:rsid w:val="00D30CF8"/>
    <w:rsid w:val="00D419FB"/>
    <w:rsid w:val="00D544AB"/>
    <w:rsid w:val="00D72F5E"/>
    <w:rsid w:val="00D93846"/>
    <w:rsid w:val="00D9605C"/>
    <w:rsid w:val="00D97095"/>
    <w:rsid w:val="00D97A5A"/>
    <w:rsid w:val="00DA3E91"/>
    <w:rsid w:val="00DB36F9"/>
    <w:rsid w:val="00DE669C"/>
    <w:rsid w:val="00E02B3B"/>
    <w:rsid w:val="00E324D1"/>
    <w:rsid w:val="00E53B0E"/>
    <w:rsid w:val="00E544BB"/>
    <w:rsid w:val="00EE33EE"/>
    <w:rsid w:val="00FB6E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B673"/>
  <w15:chartTrackingRefBased/>
  <w15:docId w15:val="{9A357792-D706-4B8B-A63A-2459F560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D390B"/>
    <w:pPr>
      <w:spacing w:before="100" w:beforeAutospacing="1" w:after="100" w:afterAutospacing="1" w:line="240" w:lineRule="auto"/>
    </w:pPr>
    <w:rPr>
      <w:rFonts w:eastAsia="Times New Roman"/>
      <w:kern w:val="0"/>
      <w:szCs w:val="24"/>
      <w14:ligatures w14:val="none"/>
    </w:rPr>
  </w:style>
  <w:style w:type="character" w:styleId="Hyperlink">
    <w:name w:val="Hyperlink"/>
    <w:basedOn w:val="DefaultParagraphFont"/>
    <w:uiPriority w:val="99"/>
    <w:semiHidden/>
    <w:unhideWhenUsed/>
    <w:rsid w:val="00CD390B"/>
    <w:rPr>
      <w:color w:val="0000FF"/>
      <w:u w:val="single"/>
    </w:rPr>
  </w:style>
  <w:style w:type="character" w:styleId="FollowedHyperlink">
    <w:name w:val="FollowedHyperlink"/>
    <w:basedOn w:val="DefaultParagraphFont"/>
    <w:uiPriority w:val="99"/>
    <w:semiHidden/>
    <w:unhideWhenUsed/>
    <w:rsid w:val="00CD390B"/>
    <w:rPr>
      <w:color w:val="800080"/>
      <w:u w:val="single"/>
    </w:rPr>
  </w:style>
  <w:style w:type="character" w:styleId="PlaceholderText">
    <w:name w:val="Placeholder Text"/>
    <w:basedOn w:val="DefaultParagraphFont"/>
    <w:uiPriority w:val="99"/>
    <w:semiHidden/>
    <w:rsid w:val="003D4A64"/>
    <w:rPr>
      <w:color w:val="808080"/>
    </w:rPr>
  </w:style>
  <w:style w:type="character" w:styleId="CommentReference">
    <w:name w:val="annotation reference"/>
    <w:basedOn w:val="DefaultParagraphFont"/>
    <w:uiPriority w:val="99"/>
    <w:semiHidden/>
    <w:unhideWhenUsed/>
    <w:rsid w:val="00180B41"/>
    <w:rPr>
      <w:sz w:val="16"/>
      <w:szCs w:val="16"/>
    </w:rPr>
  </w:style>
  <w:style w:type="paragraph" w:styleId="CommentText">
    <w:name w:val="annotation text"/>
    <w:basedOn w:val="Normal"/>
    <w:link w:val="CommentTextChar"/>
    <w:uiPriority w:val="99"/>
    <w:unhideWhenUsed/>
    <w:rsid w:val="00180B41"/>
    <w:pPr>
      <w:spacing w:line="240" w:lineRule="auto"/>
    </w:pPr>
    <w:rPr>
      <w:sz w:val="20"/>
      <w:szCs w:val="20"/>
    </w:rPr>
  </w:style>
  <w:style w:type="character" w:customStyle="1" w:styleId="CommentTextChar">
    <w:name w:val="Comment Text Char"/>
    <w:basedOn w:val="DefaultParagraphFont"/>
    <w:link w:val="CommentText"/>
    <w:uiPriority w:val="99"/>
    <w:rsid w:val="00180B41"/>
    <w:rPr>
      <w:sz w:val="20"/>
      <w:szCs w:val="20"/>
    </w:rPr>
  </w:style>
  <w:style w:type="table" w:styleId="TableGrid">
    <w:name w:val="Table Grid"/>
    <w:basedOn w:val="TableNormal"/>
    <w:uiPriority w:val="39"/>
    <w:rsid w:val="00180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82422">
      <w:bodyDiv w:val="1"/>
      <w:marLeft w:val="0"/>
      <w:marRight w:val="0"/>
      <w:marTop w:val="0"/>
      <w:marBottom w:val="0"/>
      <w:divBdr>
        <w:top w:val="none" w:sz="0" w:space="0" w:color="auto"/>
        <w:left w:val="none" w:sz="0" w:space="0" w:color="auto"/>
        <w:bottom w:val="none" w:sz="0" w:space="0" w:color="auto"/>
        <w:right w:val="none" w:sz="0" w:space="0" w:color="auto"/>
      </w:divBdr>
    </w:div>
    <w:div w:id="307828141">
      <w:bodyDiv w:val="1"/>
      <w:marLeft w:val="0"/>
      <w:marRight w:val="0"/>
      <w:marTop w:val="0"/>
      <w:marBottom w:val="0"/>
      <w:divBdr>
        <w:top w:val="none" w:sz="0" w:space="0" w:color="auto"/>
        <w:left w:val="none" w:sz="0" w:space="0" w:color="auto"/>
        <w:bottom w:val="none" w:sz="0" w:space="0" w:color="auto"/>
        <w:right w:val="none" w:sz="0" w:space="0" w:color="auto"/>
      </w:divBdr>
    </w:div>
    <w:div w:id="343825955">
      <w:bodyDiv w:val="1"/>
      <w:marLeft w:val="0"/>
      <w:marRight w:val="0"/>
      <w:marTop w:val="0"/>
      <w:marBottom w:val="0"/>
      <w:divBdr>
        <w:top w:val="none" w:sz="0" w:space="0" w:color="auto"/>
        <w:left w:val="none" w:sz="0" w:space="0" w:color="auto"/>
        <w:bottom w:val="none" w:sz="0" w:space="0" w:color="auto"/>
        <w:right w:val="none" w:sz="0" w:space="0" w:color="auto"/>
      </w:divBdr>
    </w:div>
    <w:div w:id="730734990">
      <w:bodyDiv w:val="1"/>
      <w:marLeft w:val="0"/>
      <w:marRight w:val="0"/>
      <w:marTop w:val="0"/>
      <w:marBottom w:val="0"/>
      <w:divBdr>
        <w:top w:val="none" w:sz="0" w:space="0" w:color="auto"/>
        <w:left w:val="none" w:sz="0" w:space="0" w:color="auto"/>
        <w:bottom w:val="none" w:sz="0" w:space="0" w:color="auto"/>
        <w:right w:val="none" w:sz="0" w:space="0" w:color="auto"/>
      </w:divBdr>
      <w:divsChild>
        <w:div w:id="1278755042">
          <w:marLeft w:val="480"/>
          <w:marRight w:val="0"/>
          <w:marTop w:val="0"/>
          <w:marBottom w:val="0"/>
          <w:divBdr>
            <w:top w:val="none" w:sz="0" w:space="0" w:color="auto"/>
            <w:left w:val="none" w:sz="0" w:space="0" w:color="auto"/>
            <w:bottom w:val="none" w:sz="0" w:space="0" w:color="auto"/>
            <w:right w:val="none" w:sz="0" w:space="0" w:color="auto"/>
          </w:divBdr>
        </w:div>
        <w:div w:id="1814105297">
          <w:marLeft w:val="480"/>
          <w:marRight w:val="0"/>
          <w:marTop w:val="0"/>
          <w:marBottom w:val="0"/>
          <w:divBdr>
            <w:top w:val="none" w:sz="0" w:space="0" w:color="auto"/>
            <w:left w:val="none" w:sz="0" w:space="0" w:color="auto"/>
            <w:bottom w:val="none" w:sz="0" w:space="0" w:color="auto"/>
            <w:right w:val="none" w:sz="0" w:space="0" w:color="auto"/>
          </w:divBdr>
        </w:div>
        <w:div w:id="865871973">
          <w:marLeft w:val="480"/>
          <w:marRight w:val="0"/>
          <w:marTop w:val="0"/>
          <w:marBottom w:val="0"/>
          <w:divBdr>
            <w:top w:val="none" w:sz="0" w:space="0" w:color="auto"/>
            <w:left w:val="none" w:sz="0" w:space="0" w:color="auto"/>
            <w:bottom w:val="none" w:sz="0" w:space="0" w:color="auto"/>
            <w:right w:val="none" w:sz="0" w:space="0" w:color="auto"/>
          </w:divBdr>
        </w:div>
      </w:divsChild>
    </w:div>
    <w:div w:id="1182428665">
      <w:bodyDiv w:val="1"/>
      <w:marLeft w:val="0"/>
      <w:marRight w:val="0"/>
      <w:marTop w:val="0"/>
      <w:marBottom w:val="0"/>
      <w:divBdr>
        <w:top w:val="none" w:sz="0" w:space="0" w:color="auto"/>
        <w:left w:val="none" w:sz="0" w:space="0" w:color="auto"/>
        <w:bottom w:val="none" w:sz="0" w:space="0" w:color="auto"/>
        <w:right w:val="none" w:sz="0" w:space="0" w:color="auto"/>
      </w:divBdr>
    </w:div>
    <w:div w:id="1218198958">
      <w:bodyDiv w:val="1"/>
      <w:marLeft w:val="0"/>
      <w:marRight w:val="0"/>
      <w:marTop w:val="0"/>
      <w:marBottom w:val="0"/>
      <w:divBdr>
        <w:top w:val="none" w:sz="0" w:space="0" w:color="auto"/>
        <w:left w:val="none" w:sz="0" w:space="0" w:color="auto"/>
        <w:bottom w:val="none" w:sz="0" w:space="0" w:color="auto"/>
        <w:right w:val="none" w:sz="0" w:space="0" w:color="auto"/>
      </w:divBdr>
    </w:div>
    <w:div w:id="1228106790">
      <w:bodyDiv w:val="1"/>
      <w:marLeft w:val="0"/>
      <w:marRight w:val="0"/>
      <w:marTop w:val="0"/>
      <w:marBottom w:val="0"/>
      <w:divBdr>
        <w:top w:val="none" w:sz="0" w:space="0" w:color="auto"/>
        <w:left w:val="none" w:sz="0" w:space="0" w:color="auto"/>
        <w:bottom w:val="none" w:sz="0" w:space="0" w:color="auto"/>
        <w:right w:val="none" w:sz="0" w:space="0" w:color="auto"/>
      </w:divBdr>
      <w:divsChild>
        <w:div w:id="1378510305">
          <w:marLeft w:val="480"/>
          <w:marRight w:val="0"/>
          <w:marTop w:val="0"/>
          <w:marBottom w:val="0"/>
          <w:divBdr>
            <w:top w:val="none" w:sz="0" w:space="0" w:color="auto"/>
            <w:left w:val="none" w:sz="0" w:space="0" w:color="auto"/>
            <w:bottom w:val="none" w:sz="0" w:space="0" w:color="auto"/>
            <w:right w:val="none" w:sz="0" w:space="0" w:color="auto"/>
          </w:divBdr>
        </w:div>
        <w:div w:id="354310400">
          <w:marLeft w:val="480"/>
          <w:marRight w:val="0"/>
          <w:marTop w:val="0"/>
          <w:marBottom w:val="0"/>
          <w:divBdr>
            <w:top w:val="none" w:sz="0" w:space="0" w:color="auto"/>
            <w:left w:val="none" w:sz="0" w:space="0" w:color="auto"/>
            <w:bottom w:val="none" w:sz="0" w:space="0" w:color="auto"/>
            <w:right w:val="none" w:sz="0" w:space="0" w:color="auto"/>
          </w:divBdr>
        </w:div>
        <w:div w:id="131795265">
          <w:marLeft w:val="480"/>
          <w:marRight w:val="0"/>
          <w:marTop w:val="0"/>
          <w:marBottom w:val="0"/>
          <w:divBdr>
            <w:top w:val="none" w:sz="0" w:space="0" w:color="auto"/>
            <w:left w:val="none" w:sz="0" w:space="0" w:color="auto"/>
            <w:bottom w:val="none" w:sz="0" w:space="0" w:color="auto"/>
            <w:right w:val="none" w:sz="0" w:space="0" w:color="auto"/>
          </w:divBdr>
        </w:div>
        <w:div w:id="1245766">
          <w:marLeft w:val="480"/>
          <w:marRight w:val="0"/>
          <w:marTop w:val="0"/>
          <w:marBottom w:val="0"/>
          <w:divBdr>
            <w:top w:val="none" w:sz="0" w:space="0" w:color="auto"/>
            <w:left w:val="none" w:sz="0" w:space="0" w:color="auto"/>
            <w:bottom w:val="none" w:sz="0" w:space="0" w:color="auto"/>
            <w:right w:val="none" w:sz="0" w:space="0" w:color="auto"/>
          </w:divBdr>
        </w:div>
      </w:divsChild>
    </w:div>
    <w:div w:id="1238829971">
      <w:bodyDiv w:val="1"/>
      <w:marLeft w:val="0"/>
      <w:marRight w:val="0"/>
      <w:marTop w:val="0"/>
      <w:marBottom w:val="0"/>
      <w:divBdr>
        <w:top w:val="none" w:sz="0" w:space="0" w:color="auto"/>
        <w:left w:val="none" w:sz="0" w:space="0" w:color="auto"/>
        <w:bottom w:val="none" w:sz="0" w:space="0" w:color="auto"/>
        <w:right w:val="none" w:sz="0" w:space="0" w:color="auto"/>
      </w:divBdr>
      <w:divsChild>
        <w:div w:id="518471008">
          <w:marLeft w:val="480"/>
          <w:marRight w:val="0"/>
          <w:marTop w:val="0"/>
          <w:marBottom w:val="0"/>
          <w:divBdr>
            <w:top w:val="none" w:sz="0" w:space="0" w:color="auto"/>
            <w:left w:val="none" w:sz="0" w:space="0" w:color="auto"/>
            <w:bottom w:val="none" w:sz="0" w:space="0" w:color="auto"/>
            <w:right w:val="none" w:sz="0" w:space="0" w:color="auto"/>
          </w:divBdr>
        </w:div>
        <w:div w:id="765613147">
          <w:marLeft w:val="480"/>
          <w:marRight w:val="0"/>
          <w:marTop w:val="0"/>
          <w:marBottom w:val="0"/>
          <w:divBdr>
            <w:top w:val="none" w:sz="0" w:space="0" w:color="auto"/>
            <w:left w:val="none" w:sz="0" w:space="0" w:color="auto"/>
            <w:bottom w:val="none" w:sz="0" w:space="0" w:color="auto"/>
            <w:right w:val="none" w:sz="0" w:space="0" w:color="auto"/>
          </w:divBdr>
        </w:div>
        <w:div w:id="1146897814">
          <w:marLeft w:val="480"/>
          <w:marRight w:val="0"/>
          <w:marTop w:val="0"/>
          <w:marBottom w:val="0"/>
          <w:divBdr>
            <w:top w:val="none" w:sz="0" w:space="0" w:color="auto"/>
            <w:left w:val="none" w:sz="0" w:space="0" w:color="auto"/>
            <w:bottom w:val="none" w:sz="0" w:space="0" w:color="auto"/>
            <w:right w:val="none" w:sz="0" w:space="0" w:color="auto"/>
          </w:divBdr>
        </w:div>
        <w:div w:id="829979318">
          <w:marLeft w:val="480"/>
          <w:marRight w:val="0"/>
          <w:marTop w:val="0"/>
          <w:marBottom w:val="0"/>
          <w:divBdr>
            <w:top w:val="none" w:sz="0" w:space="0" w:color="auto"/>
            <w:left w:val="none" w:sz="0" w:space="0" w:color="auto"/>
            <w:bottom w:val="none" w:sz="0" w:space="0" w:color="auto"/>
            <w:right w:val="none" w:sz="0" w:space="0" w:color="auto"/>
          </w:divBdr>
        </w:div>
      </w:divsChild>
    </w:div>
    <w:div w:id="1249461248">
      <w:bodyDiv w:val="1"/>
      <w:marLeft w:val="0"/>
      <w:marRight w:val="0"/>
      <w:marTop w:val="0"/>
      <w:marBottom w:val="0"/>
      <w:divBdr>
        <w:top w:val="none" w:sz="0" w:space="0" w:color="auto"/>
        <w:left w:val="none" w:sz="0" w:space="0" w:color="auto"/>
        <w:bottom w:val="none" w:sz="0" w:space="0" w:color="auto"/>
        <w:right w:val="none" w:sz="0" w:space="0" w:color="auto"/>
      </w:divBdr>
      <w:divsChild>
        <w:div w:id="1790978155">
          <w:marLeft w:val="640"/>
          <w:marRight w:val="0"/>
          <w:marTop w:val="0"/>
          <w:marBottom w:val="0"/>
          <w:divBdr>
            <w:top w:val="none" w:sz="0" w:space="0" w:color="auto"/>
            <w:left w:val="none" w:sz="0" w:space="0" w:color="auto"/>
            <w:bottom w:val="none" w:sz="0" w:space="0" w:color="auto"/>
            <w:right w:val="none" w:sz="0" w:space="0" w:color="auto"/>
          </w:divBdr>
        </w:div>
        <w:div w:id="2003316821">
          <w:marLeft w:val="640"/>
          <w:marRight w:val="0"/>
          <w:marTop w:val="0"/>
          <w:marBottom w:val="0"/>
          <w:divBdr>
            <w:top w:val="none" w:sz="0" w:space="0" w:color="auto"/>
            <w:left w:val="none" w:sz="0" w:space="0" w:color="auto"/>
            <w:bottom w:val="none" w:sz="0" w:space="0" w:color="auto"/>
            <w:right w:val="none" w:sz="0" w:space="0" w:color="auto"/>
          </w:divBdr>
        </w:div>
        <w:div w:id="1013411115">
          <w:marLeft w:val="640"/>
          <w:marRight w:val="0"/>
          <w:marTop w:val="0"/>
          <w:marBottom w:val="0"/>
          <w:divBdr>
            <w:top w:val="none" w:sz="0" w:space="0" w:color="auto"/>
            <w:left w:val="none" w:sz="0" w:space="0" w:color="auto"/>
            <w:bottom w:val="none" w:sz="0" w:space="0" w:color="auto"/>
            <w:right w:val="none" w:sz="0" w:space="0" w:color="auto"/>
          </w:divBdr>
        </w:div>
      </w:divsChild>
    </w:div>
    <w:div w:id="1249995245">
      <w:bodyDiv w:val="1"/>
      <w:marLeft w:val="0"/>
      <w:marRight w:val="0"/>
      <w:marTop w:val="0"/>
      <w:marBottom w:val="0"/>
      <w:divBdr>
        <w:top w:val="none" w:sz="0" w:space="0" w:color="auto"/>
        <w:left w:val="none" w:sz="0" w:space="0" w:color="auto"/>
        <w:bottom w:val="none" w:sz="0" w:space="0" w:color="auto"/>
        <w:right w:val="none" w:sz="0" w:space="0" w:color="auto"/>
      </w:divBdr>
    </w:div>
    <w:div w:id="1624001160">
      <w:bodyDiv w:val="1"/>
      <w:marLeft w:val="0"/>
      <w:marRight w:val="0"/>
      <w:marTop w:val="0"/>
      <w:marBottom w:val="0"/>
      <w:divBdr>
        <w:top w:val="none" w:sz="0" w:space="0" w:color="auto"/>
        <w:left w:val="none" w:sz="0" w:space="0" w:color="auto"/>
        <w:bottom w:val="none" w:sz="0" w:space="0" w:color="auto"/>
        <w:right w:val="none" w:sz="0" w:space="0" w:color="auto"/>
      </w:divBdr>
      <w:divsChild>
        <w:div w:id="1092699973">
          <w:marLeft w:val="480"/>
          <w:marRight w:val="0"/>
          <w:marTop w:val="0"/>
          <w:marBottom w:val="0"/>
          <w:divBdr>
            <w:top w:val="none" w:sz="0" w:space="0" w:color="auto"/>
            <w:left w:val="none" w:sz="0" w:space="0" w:color="auto"/>
            <w:bottom w:val="none" w:sz="0" w:space="0" w:color="auto"/>
            <w:right w:val="none" w:sz="0" w:space="0" w:color="auto"/>
          </w:divBdr>
        </w:div>
        <w:div w:id="1166700959">
          <w:marLeft w:val="480"/>
          <w:marRight w:val="0"/>
          <w:marTop w:val="0"/>
          <w:marBottom w:val="0"/>
          <w:divBdr>
            <w:top w:val="none" w:sz="0" w:space="0" w:color="auto"/>
            <w:left w:val="none" w:sz="0" w:space="0" w:color="auto"/>
            <w:bottom w:val="none" w:sz="0" w:space="0" w:color="auto"/>
            <w:right w:val="none" w:sz="0" w:space="0" w:color="auto"/>
          </w:divBdr>
        </w:div>
        <w:div w:id="2036925874">
          <w:marLeft w:val="480"/>
          <w:marRight w:val="0"/>
          <w:marTop w:val="0"/>
          <w:marBottom w:val="0"/>
          <w:divBdr>
            <w:top w:val="none" w:sz="0" w:space="0" w:color="auto"/>
            <w:left w:val="none" w:sz="0" w:space="0" w:color="auto"/>
            <w:bottom w:val="none" w:sz="0" w:space="0" w:color="auto"/>
            <w:right w:val="none" w:sz="0" w:space="0" w:color="auto"/>
          </w:divBdr>
        </w:div>
        <w:div w:id="342556945">
          <w:marLeft w:val="480"/>
          <w:marRight w:val="0"/>
          <w:marTop w:val="0"/>
          <w:marBottom w:val="0"/>
          <w:divBdr>
            <w:top w:val="none" w:sz="0" w:space="0" w:color="auto"/>
            <w:left w:val="none" w:sz="0" w:space="0" w:color="auto"/>
            <w:bottom w:val="none" w:sz="0" w:space="0" w:color="auto"/>
            <w:right w:val="none" w:sz="0" w:space="0" w:color="auto"/>
          </w:divBdr>
        </w:div>
      </w:divsChild>
    </w:div>
    <w:div w:id="1834712072">
      <w:bodyDiv w:val="1"/>
      <w:marLeft w:val="0"/>
      <w:marRight w:val="0"/>
      <w:marTop w:val="0"/>
      <w:marBottom w:val="0"/>
      <w:divBdr>
        <w:top w:val="none" w:sz="0" w:space="0" w:color="auto"/>
        <w:left w:val="none" w:sz="0" w:space="0" w:color="auto"/>
        <w:bottom w:val="none" w:sz="0" w:space="0" w:color="auto"/>
        <w:right w:val="none" w:sz="0" w:space="0" w:color="auto"/>
      </w:divBdr>
      <w:divsChild>
        <w:div w:id="1997999473">
          <w:marLeft w:val="480"/>
          <w:marRight w:val="0"/>
          <w:marTop w:val="0"/>
          <w:marBottom w:val="0"/>
          <w:divBdr>
            <w:top w:val="none" w:sz="0" w:space="0" w:color="auto"/>
            <w:left w:val="none" w:sz="0" w:space="0" w:color="auto"/>
            <w:bottom w:val="none" w:sz="0" w:space="0" w:color="auto"/>
            <w:right w:val="none" w:sz="0" w:space="0" w:color="auto"/>
          </w:divBdr>
        </w:div>
        <w:div w:id="621960752">
          <w:marLeft w:val="480"/>
          <w:marRight w:val="0"/>
          <w:marTop w:val="0"/>
          <w:marBottom w:val="0"/>
          <w:divBdr>
            <w:top w:val="none" w:sz="0" w:space="0" w:color="auto"/>
            <w:left w:val="none" w:sz="0" w:space="0" w:color="auto"/>
            <w:bottom w:val="none" w:sz="0" w:space="0" w:color="auto"/>
            <w:right w:val="none" w:sz="0" w:space="0" w:color="auto"/>
          </w:divBdr>
        </w:div>
        <w:div w:id="2012878418">
          <w:marLeft w:val="480"/>
          <w:marRight w:val="0"/>
          <w:marTop w:val="0"/>
          <w:marBottom w:val="0"/>
          <w:divBdr>
            <w:top w:val="none" w:sz="0" w:space="0" w:color="auto"/>
            <w:left w:val="none" w:sz="0" w:space="0" w:color="auto"/>
            <w:bottom w:val="none" w:sz="0" w:space="0" w:color="auto"/>
            <w:right w:val="none" w:sz="0" w:space="0" w:color="auto"/>
          </w:divBdr>
        </w:div>
        <w:div w:id="1358894955">
          <w:marLeft w:val="480"/>
          <w:marRight w:val="0"/>
          <w:marTop w:val="0"/>
          <w:marBottom w:val="0"/>
          <w:divBdr>
            <w:top w:val="none" w:sz="0" w:space="0" w:color="auto"/>
            <w:left w:val="none" w:sz="0" w:space="0" w:color="auto"/>
            <w:bottom w:val="none" w:sz="0" w:space="0" w:color="auto"/>
            <w:right w:val="none" w:sz="0" w:space="0" w:color="auto"/>
          </w:divBdr>
        </w:div>
      </w:divsChild>
    </w:div>
    <w:div w:id="1890916873">
      <w:bodyDiv w:val="1"/>
      <w:marLeft w:val="0"/>
      <w:marRight w:val="0"/>
      <w:marTop w:val="0"/>
      <w:marBottom w:val="0"/>
      <w:divBdr>
        <w:top w:val="none" w:sz="0" w:space="0" w:color="auto"/>
        <w:left w:val="none" w:sz="0" w:space="0" w:color="auto"/>
        <w:bottom w:val="none" w:sz="0" w:space="0" w:color="auto"/>
        <w:right w:val="none" w:sz="0" w:space="0" w:color="auto"/>
      </w:divBdr>
      <w:divsChild>
        <w:div w:id="1792241462">
          <w:marLeft w:val="480"/>
          <w:marRight w:val="0"/>
          <w:marTop w:val="0"/>
          <w:marBottom w:val="0"/>
          <w:divBdr>
            <w:top w:val="none" w:sz="0" w:space="0" w:color="auto"/>
            <w:left w:val="none" w:sz="0" w:space="0" w:color="auto"/>
            <w:bottom w:val="none" w:sz="0" w:space="0" w:color="auto"/>
            <w:right w:val="none" w:sz="0" w:space="0" w:color="auto"/>
          </w:divBdr>
        </w:div>
        <w:div w:id="683629444">
          <w:marLeft w:val="480"/>
          <w:marRight w:val="0"/>
          <w:marTop w:val="0"/>
          <w:marBottom w:val="0"/>
          <w:divBdr>
            <w:top w:val="none" w:sz="0" w:space="0" w:color="auto"/>
            <w:left w:val="none" w:sz="0" w:space="0" w:color="auto"/>
            <w:bottom w:val="none" w:sz="0" w:space="0" w:color="auto"/>
            <w:right w:val="none" w:sz="0" w:space="0" w:color="auto"/>
          </w:divBdr>
        </w:div>
        <w:div w:id="187769624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CFDFC5-EB90-418D-B4AF-453226C8BDF2}">
  <we:reference id="wa104382081" version="1.55.1.0" store="en-US" storeType="OMEX"/>
  <we:alternateReferences>
    <we:reference id="wa104382081" version="1.55.1.0" store="en-US" storeType="OMEX"/>
  </we:alternateReferences>
  <we:properties>
    <we:property name="MENDELEY_CITATIONS" value="[{&quot;citationID&quot;:&quot;MENDELEY_CITATION_698cf827-89ff-474f-97d4-f2ed70d5bfd3&quot;,&quot;properties&quot;:{&quot;noteIndex&quot;:0},&quot;isEdited&quot;:false,&quot;manualOverride&quot;:{&quot;isManuallyOverridden&quot;:true,&quot;citeprocText&quot;:&quot;(1)&quot;,&quot;manualOverrideText&quot;:&quot;Sackton et al., (2019)&quot;},&quot;citationTag&quot;:&quot;MENDELEY_CITATION_v3_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&quot;,&quot;citationItems&quot;:[{&quot;id&quot;:&quot;02abb56f-1f78-3f57-aa09-d488fe794e39&quot;,&quot;itemData&quot;:{&quot;type&quot;:&quot;article-journal&quot;,&quot;id&quot;:&quot;02abb56f-1f78-3f57-aa09-d488fe794e39&quot;,&quot;title&quot;:&quot;Convergent regulatory evolution and the origin of flightlessness in palaeognathous birds&quot;,&quot;author&quot;:[{&quot;family&quot;:&quot;Sackton&quot;,&quot;given&quot;:&quot;Timothy B.&quot;,&quot;parse-names&quot;:false,&quot;dropping-particle&quot;:&quot;&quot;,&quot;non-dropping-particle&quot;:&quot;&quot;},{&quot;family&quot;:&quot;Grayson&quot;,&quot;given&quot;:&quot;Phil&quot;,&quot;parse-names&quot;:false,&quot;dropping-particle&quot;:&quot;&quot;,&quot;non-dropping-particle&quot;:&quot;&quot;},{&quot;family&quot;:&quot;Cloutier&quot;,&quot;given&quot;:&quot;Alison&quot;,&quot;parse-names&quot;:false,&quot;dropping-particle&quot;:&quot;&quot;,&quot;non-dropping-particle&quot;:&quot;&quot;},{&quot;family&quot;:&quot;Hu&quot;,&quot;given&quot;:&quot;Zhirui&quot;,&quot;parse-names&quot;:false,&quot;dropping-particle&quot;:&quot;&quot;,&quot;non-dropping-particle&quot;:&quot;&quot;},{&quot;family&quot;:&quot;Liu&quot;,&quot;given&quot;:&quot;Jun S.&quot;,&quot;parse-names&quot;:false,&quot;dropping-particle&quot;:&quot;&quot;,&quot;non-dropping-particle&quot;:&quot;&quot;},{&quot;family&quot;:&quot;Wheeler&quot;,&quot;given&quot;:&quot;Nicole E.&quot;,&quot;parse-names&quot;:false,&quot;dropping-particle&quot;:&quot;&quot;,&quot;non-dropping-particle&quot;:&quot;&quot;},{&quot;family&quot;:&quot;Gardner&quot;,&quot;given&quot;:&quot;Paul P.&quot;,&quot;parse-names&quot;:false,&quot;dropping-particle&quot;:&quot;&quot;,&quot;non-dropping-particle&quot;:&quot;&quot;},{&quot;family&quot;:&quot;Clarke&quot;,&quot;given&quot;:&quot;Julia A.&quot;,&quot;parse-names&quot;:false,&quot;dropping-particle&quot;:&quot;&quot;,&quot;non-dropping-particle&quot;:&quot;&quot;},{&quot;family&quot;:&quot;Baker&quot;,&quot;given&quot;:&quot;Allan J.&quot;,&quot;parse-names&quot;:false,&quot;dropping-particle&quot;:&quot;&quot;,&quot;non-dropping-particle&quot;:&quot;&quot;},{&quot;family&quot;:&quot;Clamp&quot;,&quot;given&quot;:&quot;Michele&quot;,&quot;parse-names&quot;:false,&quot;dropping-particle&quot;:&quot;&quot;,&quot;non-dropping-particle&quot;:&quot;&quot;},{&quot;family&quot;:&quot;Edwards&quot;,&quot;given&quot;:&quot;Scott&quot;,&quot;parse-names&quot;:false,&quot;dropping-particle&quot;:&quot;V.&quot;,&quot;non-dropping-particle&quot;:&quot;&quot;}],&quot;container-title&quot;:&quot;Science&quot;,&quot;container-title-short&quot;:&quot;Science (1979)&quot;,&quot;DOI&quot;:&quot;10.1101/262584&quot;,&quot;URL&quot;:&quot;https://www.biorxiv.org/content/early/2018/02/08/262584&quot;,&quot;issued&quot;:{&quot;date-parts&quot;:[[2019]]},&quot;page&quot;:&quot;74-78&quot;,&quot;abstract&quot;:&quot;The relative roles of regulatory and protein evolution in the origin and loss of convergent phenotypic traits is a core question in evolutionary biology. Here we combine phylogenomic, epigenomic and developmental data to show that convergent evolution of regulatory regions, but not protein-coding genes, is associated with flightlessness in palaeognathous birds, a classic example of a convergent phenotype. Eleven new genomes, including a draft genome from an extinct moa, resolve palaeognath phylogeny and show that the incidence of independent, convergent accelerations among 284,000 conserved non-exonic elements is significantly more frequent in ratites than other bird lineages. Ratite-specific acceleration of conserved regions and measures of open chromatin across eight tissues in the developing chick identify candidate regulatory regions that may have modified or lost function in ratites. Enhancer activity assays conducted in the early developing chicken forelimb confirm that volant versions of a conserved element in the first intron of the TEAD1 gene display conserved enhancer activity, whereas an accelerated flightless version fails to drive reporter gene expression. Our results show that convergent molecular changes associated with loss of flight are largely regulatory in nature.&quot;,&quot;volume&quot;:&quot;364&quot;},&quot;isTemporary&quot;:false}]},{&quot;citationID&quot;:&quot;MENDELEY_CITATION_8bf1f318-321b-4153-b671-12aa6dd9c8ef&quot;,&quot;properties&quot;:{&quot;noteIndex&quot;:0},&quot;isEdited&quot;:false,&quot;manualOverride&quot;:{&quot;isManuallyOverridden&quot;:true,&quot;citeprocText&quot;:&quot;(2)&quot;,&quot;manualOverrideText&quot;:&quot;Cahill et al., (2021)&quot;},&quot;citationTag&quot;:&quot;MENDELEY_CITATION_v3_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&quot;,&quot;citationItems&quot;:[{&quot;id&quot;:&quot;56e8518d-6f00-305b-9035-187930baae83&quot;,&quot;itemData&quot;:{&quot;type&quot;:&quot;article-journal&quot;,&quot;id&quot;:&quot;56e8518d-6f00-305b-9035-187930baae83&quot;,&quot;title&quot;:&quot;Positive selection in noncoding genomic regions of vocal learning birds is associated with genes implicated in vocal learning and speech functions in humans&quot;,&quot;author&quot;:[{&quot;family&quot;:&quot;Cahill&quot;,&quot;given&quot;:&quot;James A.&quot;,&quot;parse-names&quot;:false,&quot;dropping-particle&quot;:&quot;&quot;,&quot;non-dropping-particle&quot;:&quot;&quot;},{&quot;family&quot;:&quot;Armstrong&quot;,&quot;given&quot;:&quot;Joel&quot;,&quot;parse-names&quot;:false,&quot;dropping-particle&quot;:&quot;&quot;,&quot;non-dropping-particle&quot;:&quot;&quot;},{&quot;family&quot;:&quot;Deran&quot;,&quot;given&quot;:&quot;Alden&quot;,&quot;parse-names&quot;:false,&quot;dropping-particle&quot;:&quot;&quot;,&quot;non-dropping-particle&quot;:&quot;&quot;},{&quot;family&quot;:&quot;Khoury&quot;,&quot;given&quot;:&quot;Carolyn J.&quot;,&quot;parse-names&quot;:false,&quot;dropping-particle&quot;:&quot;&quot;,&quot;non-dropping-particle&quot;:&quot;&quot;},{&quot;family&quot;:&quot;Paten&quot;,&quot;given&quot;:&quot;Benedict&quot;,&quot;parse-names&quot;:false,&quot;dropping-particle&quot;:&quot;&quot;,&quot;non-dropping-particle&quot;:&quot;&quot;},{&quot;family&quot;:&quot;Haussler&quot;,&quot;given&quot;:&quot;David&quot;,&quot;parse-names&quot;:false,&quot;dropping-particle&quot;:&quot;&quot;,&quot;non-dropping-particle&quot;:&quot;&quot;},{&quot;family&quot;:&quot;Jarvis&quot;,&quot;given&quot;:&quot;Erich D.&quot;,&quot;parse-names&quot;:false,&quot;dropping-particle&quot;:&quot;&quot;,&quot;non-dropping-particle&quot;:&quot;&quot;}],&quot;container-title&quot;:&quot;Genome Research&quot;,&quot;container-title-short&quot;:&quot;Genome Res&quot;,&quot;accessed&quot;:{&quot;date-parts&quot;:[[2023,4,19]]},&quot;DOI&quot;:&quot;10.1101/GR.275989.121&quot;,&quot;ISSN&quot;:&quot;1088-9051&quot;,&quot;PMID&quot;:&quot;34667117&quot;,&quot;URL&quot;:&quot;https://genome-cshlp-org.ezp-prod1.hul.harvard.edu/content/31/11/2035.full&quot;,&quot;issued&quot;:{&quot;date-parts&quot;:[[2021,11,1]]},&quot;page&quot;:&quot;2035-2049&quot;,&quot;abstract&quot;:&quot;Vocal learning, the ability to imitate sounds from conspecifics and the environment, is a key component of human spoken language and learned song in three independently evolved avian groups—oscine songbirds, parrots, and hummingbirds. Humans and each of these three bird clades exhibit specialized behavioral, neuroanatomical, and brain gene expression convergence related to vocal learning, speech, and song. To understand the evolutionary basis of vocal learning gene specializations and convergence, we searched for and identified accelerated genomic regions (ARs), a marker of positive selection, specific to vocal learning birds. We found avian vocal learner-specific ARs, and they were enriched in noncoding regions near genes with known speech functions or brain gene expression specializations in humans and vocal learning birds, including FOXP2, NEUROD6, ZEB2, and MEF2C, and near genes with major neurodevelopmental functions, including NR2F1, NRP2, and BCL11B. We also found enrichment near the SFARI class S genes associated with syndromic vocal communication forms of autism spectrum disorders. These findings reveal strong candidate noncoding regions near genes for the evolutionary adaptations that distinguish vocal learning species from their close vocal nonlearning relatives and provide further evidence of molecular convergence between birdsong and human spoken language.&quot;,&quot;publisher&quot;:&quot;Cold Spring Harbor Laboratory Press&quot;,&quot;issue&quot;:&quot;11&quot;,&quot;volume&quot;:&quot;31&quot;},&quot;isTemporary&quot;:false}]},{&quot;citationID&quot;:&quot;MENDELEY_CITATION_8ad21bc3-fe93-472c-af05-684c9e65d278&quot;,&quot;properties&quot;:{&quot;noteIndex&quot;:0},&quot;isEdited&quot;:false,&quot;manualOverride&quot;:{&quot;isManuallyOverridden&quot;:true,&quot;citeprocText&quot;:&quot;(1)&quot;,&quot;manualOverrideText&quot;:&quot;Sackton et al., (2019)&quot;},&quot;citationTag&quot;:&quot;MENDELEY_CITATION_v3_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&quot;,&quot;citationItems&quot;:[{&quot;id&quot;:&quot;02abb56f-1f78-3f57-aa09-d488fe794e39&quot;,&quot;itemData&quot;:{&quot;type&quot;:&quot;article-journal&quot;,&quot;id&quot;:&quot;02abb56f-1f78-3f57-aa09-d488fe794e39&quot;,&quot;title&quot;:&quot;Convergent regulatory evolution and the origin of flightlessness in palaeognathous birds&quot;,&quot;author&quot;:[{&quot;family&quot;:&quot;Sackton&quot;,&quot;given&quot;:&quot;Timothy B.&quot;,&quot;parse-names&quot;:false,&quot;dropping-particle&quot;:&quot;&quot;,&quot;non-dropping-particle&quot;:&quot;&quot;},{&quot;family&quot;:&quot;Grayson&quot;,&quot;given&quot;:&quot;Phil&quot;,&quot;parse-names&quot;:false,&quot;dropping-particle&quot;:&quot;&quot;,&quot;non-dropping-particle&quot;:&quot;&quot;},{&quot;family&quot;:&quot;Cloutier&quot;,&quot;given&quot;:&quot;Alison&quot;,&quot;parse-names&quot;:false,&quot;dropping-particle&quot;:&quot;&quot;,&quot;non-dropping-particle&quot;:&quot;&quot;},{&quot;family&quot;:&quot;Hu&quot;,&quot;given&quot;:&quot;Zhirui&quot;,&quot;parse-names&quot;:false,&quot;dropping-particle&quot;:&quot;&quot;,&quot;non-dropping-particle&quot;:&quot;&quot;},{&quot;family&quot;:&quot;Liu&quot;,&quot;given&quot;:&quot;Jun S.&quot;,&quot;parse-names&quot;:false,&quot;dropping-particle&quot;:&quot;&quot;,&quot;non-dropping-particle&quot;:&quot;&quot;},{&quot;family&quot;:&quot;Wheeler&quot;,&quot;given&quot;:&quot;Nicole E.&quot;,&quot;parse-names&quot;:false,&quot;dropping-particle&quot;:&quot;&quot;,&quot;non-dropping-particle&quot;:&quot;&quot;},{&quot;family&quot;:&quot;Gardner&quot;,&quot;given&quot;:&quot;Paul P.&quot;,&quot;parse-names&quot;:false,&quot;dropping-particle&quot;:&quot;&quot;,&quot;non-dropping-particle&quot;:&quot;&quot;},{&quot;family&quot;:&quot;Clarke&quot;,&quot;given&quot;:&quot;Julia A.&quot;,&quot;parse-names&quot;:false,&quot;dropping-particle&quot;:&quot;&quot;,&quot;non-dropping-particle&quot;:&quot;&quot;},{&quot;family&quot;:&quot;Baker&quot;,&quot;given&quot;:&quot;Allan J.&quot;,&quot;parse-names&quot;:false,&quot;dropping-particle&quot;:&quot;&quot;,&quot;non-dropping-particle&quot;:&quot;&quot;},{&quot;family&quot;:&quot;Clamp&quot;,&quot;given&quot;:&quot;Michele&quot;,&quot;parse-names&quot;:false,&quot;dropping-particle&quot;:&quot;&quot;,&quot;non-dropping-particle&quot;:&quot;&quot;},{&quot;family&quot;:&quot;Edwards&quot;,&quot;given&quot;:&quot;Scott&quot;,&quot;parse-names&quot;:false,&quot;dropping-particle&quot;:&quot;V.&quot;,&quot;non-dropping-particle&quot;:&quot;&quot;}],&quot;container-title&quot;:&quot;Science&quot;,&quot;container-title-short&quot;:&quot;Science (1979)&quot;,&quot;DOI&quot;:&quot;10.1101/262584&quot;,&quot;URL&quot;:&quot;https://www.biorxiv.org/content/early/2018/02/08/262584&quot;,&quot;issued&quot;:{&quot;date-parts&quot;:[[2019]]},&quot;page&quot;:&quot;74-78&quot;,&quot;abstract&quot;:&quot;The relative roles of regulatory and protein evolution in the origin and loss of convergent phenotypic traits is a core question in evolutionary biology. Here we combine phylogenomic, epigenomic and developmental data to show that convergent evolution of regulatory regions, but not protein-coding genes, is associated with flightlessness in palaeognathous birds, a classic example of a convergent phenotype. Eleven new genomes, including a draft genome from an extinct moa, resolve palaeognath phylogeny and show that the incidence of independent, convergent accelerations among 284,000 conserved non-exonic elements is significantly more frequent in ratites than other bird lineages. Ratite-specific acceleration of conserved regions and measures of open chromatin across eight tissues in the developing chick identify candidate regulatory regions that may have modified or lost function in ratites. Enhancer activity assays conducted in the early developing chicken forelimb confirm that volant versions of a conserved element in the first intron of the TEAD1 gene display conserved enhancer activity, whereas an accelerated flightless version fails to drive reporter gene expression. Our results show that convergent molecular changes associated with loss of flight are largely regulatory in nature.&quot;,&quot;volume&quot;:&quot;364&quot;},&quot;isTemporary&quot;:false}]},{&quot;citationID&quot;:&quot;MENDELEY_CITATION_efa1b698-5b94-4673-ab94-b2e43d0bcddc&quot;,&quot;properties&quot;:{&quot;noteIndex&quot;:0},&quot;isEdited&quot;:false,&quot;manualOverride&quot;:{&quot;isManuallyOverridden&quot;:true,&quot;citeprocText&quot;:&quot;(2)&quot;,&quot;manualOverrideText&quot;:&quot;Cahill et al., (2021)&quot;},&quot;citationTag&quot;:&quot;MENDELEY_CITATION_v3_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&quot;,&quot;citationItems&quot;:[{&quot;id&quot;:&quot;56e8518d-6f00-305b-9035-187930baae83&quot;,&quot;itemData&quot;:{&quot;type&quot;:&quot;article-journal&quot;,&quot;id&quot;:&quot;56e8518d-6f00-305b-9035-187930baae83&quot;,&quot;title&quot;:&quot;Positive selection in noncoding genomic regions of vocal learning birds is associated with genes implicated in vocal learning and speech functions in humans&quot;,&quot;author&quot;:[{&quot;family&quot;:&quot;Cahill&quot;,&quot;given&quot;:&quot;James A.&quot;,&quot;parse-names&quot;:false,&quot;dropping-particle&quot;:&quot;&quot;,&quot;non-dropping-particle&quot;:&quot;&quot;},{&quot;family&quot;:&quot;Armstrong&quot;,&quot;given&quot;:&quot;Joel&quot;,&quot;parse-names&quot;:false,&quot;dropping-particle&quot;:&quot;&quot;,&quot;non-dropping-particle&quot;:&quot;&quot;},{&quot;family&quot;:&quot;Deran&quot;,&quot;given&quot;:&quot;Alden&quot;,&quot;parse-names&quot;:false,&quot;dropping-particle&quot;:&quot;&quot;,&quot;non-dropping-particle&quot;:&quot;&quot;},{&quot;family&quot;:&quot;Khoury&quot;,&quot;given&quot;:&quot;Carolyn J.&quot;,&quot;parse-names&quot;:false,&quot;dropping-particle&quot;:&quot;&quot;,&quot;non-dropping-particle&quot;:&quot;&quot;},{&quot;family&quot;:&quot;Paten&quot;,&quot;given&quot;:&quot;Benedict&quot;,&quot;parse-names&quot;:false,&quot;dropping-particle&quot;:&quot;&quot;,&quot;non-dropping-particle&quot;:&quot;&quot;},{&quot;family&quot;:&quot;Haussler&quot;,&quot;given&quot;:&quot;David&quot;,&quot;parse-names&quot;:false,&quot;dropping-particle&quot;:&quot;&quot;,&quot;non-dropping-particle&quot;:&quot;&quot;},{&quot;family&quot;:&quot;Jarvis&quot;,&quot;given&quot;:&quot;Erich D.&quot;,&quot;parse-names&quot;:false,&quot;dropping-particle&quot;:&quot;&quot;,&quot;non-dropping-particle&quot;:&quot;&quot;}],&quot;container-title&quot;:&quot;Genome Research&quot;,&quot;container-title-short&quot;:&quot;Genome Res&quot;,&quot;accessed&quot;:{&quot;date-parts&quot;:[[2023,4,19]]},&quot;DOI&quot;:&quot;10.1101/GR.275989.121&quot;,&quot;ISSN&quot;:&quot;1088-9051&quot;,&quot;PMID&quot;:&quot;34667117&quot;,&quot;URL&quot;:&quot;https://genome-cshlp-org.ezp-prod1.hul.harvard.edu/content/31/11/2035.full&quot;,&quot;issued&quot;:{&quot;date-parts&quot;:[[2021,11,1]]},&quot;page&quot;:&quot;2035-2049&quot;,&quot;abstract&quot;:&quot;Vocal learning, the ability to imitate sounds from conspecifics and the environment, is a key component of human spoken language and learned song in three independently evolved avian groups—oscine songbirds, parrots, and hummingbirds. Humans and each of these three bird clades exhibit specialized behavioral, neuroanatomical, and brain gene expression convergence related to vocal learning, speech, and song. To understand the evolutionary basis of vocal learning gene specializations and convergence, we searched for and identified accelerated genomic regions (ARs), a marker of positive selection, specific to vocal learning birds. We found avian vocal learner-specific ARs, and they were enriched in noncoding regions near genes with known speech functions or brain gene expression specializations in humans and vocal learning birds, including FOXP2, NEUROD6, ZEB2, and MEF2C, and near genes with major neurodevelopmental functions, including NR2F1, NRP2, and BCL11B. We also found enrichment near the SFARI class S genes associated with syndromic vocal communication forms of autism spectrum disorders. These findings reveal strong candidate noncoding regions near genes for the evolutionary adaptations that distinguish vocal learning species from their close vocal nonlearning relatives and provide further evidence of molecular convergence between birdsong and human spoken language.&quot;,&quot;publisher&quot;:&quot;Cold Spring Harbor Laboratory Press&quot;,&quot;issue&quot;:&quot;11&quot;,&quot;volume&quot;:&quot;31&quot;},&quot;isTemporary&quot;:false}]},{&quot;citationID&quot;:&quot;MENDELEY_CITATION_909ced29-b377-4ffc-9b84-c280b1925a14&quot;,&quot;properties&quot;:{&quot;noteIndex&quot;:0},&quot;isEdited&quot;:false,&quot;manualOverride&quot;:{&quot;isManuallyOverridden&quot;:true,&quot;citeprocText&quot;:&quot;(1)&quot;,&quot;manualOverrideText&quot;:&quot;Sackton et al., (2019)&quot;},&quot;citationTag&quot;:&quot;MENDELEY_CITATION_v3_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&quot;,&quot;citationItems&quot;:[{&quot;id&quot;:&quot;02abb56f-1f78-3f57-aa09-d488fe794e39&quot;,&quot;itemData&quot;:{&quot;type&quot;:&quot;article-journal&quot;,&quot;id&quot;:&quot;02abb56f-1f78-3f57-aa09-d488fe794e39&quot;,&quot;title&quot;:&quot;Convergent regulatory evolution and the origin of flightlessness in palaeognathous birds&quot;,&quot;author&quot;:[{&quot;family&quot;:&quot;Sackton&quot;,&quot;given&quot;:&quot;Timothy B.&quot;,&quot;parse-names&quot;:false,&quot;dropping-particle&quot;:&quot;&quot;,&quot;non-dropping-particle&quot;:&quot;&quot;},{&quot;family&quot;:&quot;Grayson&quot;,&quot;given&quot;:&quot;Phil&quot;,&quot;parse-names&quot;:false,&quot;dropping-particle&quot;:&quot;&quot;,&quot;non-dropping-particle&quot;:&quot;&quot;},{&quot;family&quot;:&quot;Cloutier&quot;,&quot;given&quot;:&quot;Alison&quot;,&quot;parse-names&quot;:false,&quot;dropping-particle&quot;:&quot;&quot;,&quot;non-dropping-particle&quot;:&quot;&quot;},{&quot;family&quot;:&quot;Hu&quot;,&quot;given&quot;:&quot;Zhirui&quot;,&quot;parse-names&quot;:false,&quot;dropping-particle&quot;:&quot;&quot;,&quot;non-dropping-particle&quot;:&quot;&quot;},{&quot;family&quot;:&quot;Liu&quot;,&quot;given&quot;:&quot;Jun S.&quot;,&quot;parse-names&quot;:false,&quot;dropping-particle&quot;:&quot;&quot;,&quot;non-dropping-particle&quot;:&quot;&quot;},{&quot;family&quot;:&quot;Wheeler&quot;,&quot;given&quot;:&quot;Nicole E.&quot;,&quot;parse-names&quot;:false,&quot;dropping-particle&quot;:&quot;&quot;,&quot;non-dropping-particle&quot;:&quot;&quot;},{&quot;family&quot;:&quot;Gardner&quot;,&quot;given&quot;:&quot;Paul P.&quot;,&quot;parse-names&quot;:false,&quot;dropping-particle&quot;:&quot;&quot;,&quot;non-dropping-particle&quot;:&quot;&quot;},{&quot;family&quot;:&quot;Clarke&quot;,&quot;given&quot;:&quot;Julia A.&quot;,&quot;parse-names&quot;:false,&quot;dropping-particle&quot;:&quot;&quot;,&quot;non-dropping-particle&quot;:&quot;&quot;},{&quot;family&quot;:&quot;Baker&quot;,&quot;given&quot;:&quot;Allan J.&quot;,&quot;parse-names&quot;:false,&quot;dropping-particle&quot;:&quot;&quot;,&quot;non-dropping-particle&quot;:&quot;&quot;},{&quot;family&quot;:&quot;Clamp&quot;,&quot;given&quot;:&quot;Michele&quot;,&quot;parse-names&quot;:false,&quot;dropping-particle&quot;:&quot;&quot;,&quot;non-dropping-particle&quot;:&quot;&quot;},{&quot;family&quot;:&quot;Edwards&quot;,&quot;given&quot;:&quot;Scott&quot;,&quot;parse-names&quot;:false,&quot;dropping-particle&quot;:&quot;V.&quot;,&quot;non-dropping-particle&quot;:&quot;&quot;}],&quot;container-title&quot;:&quot;Science&quot;,&quot;container-title-short&quot;:&quot;Science (1979)&quot;,&quot;DOI&quot;:&quot;10.1101/262584&quot;,&quot;URL&quot;:&quot;https://www.biorxiv.org/content/early/2018/02/08/262584&quot;,&quot;issued&quot;:{&quot;date-parts&quot;:[[2019]]},&quot;page&quot;:&quot;74-78&quot;,&quot;abstract&quot;:&quot;The relative roles of regulatory and protein evolution in the origin and loss of convergent phenotypic traits is a core question in evolutionary biology. Here we combine phylogenomic, epigenomic and developmental data to show that convergent evolution of regulatory regions, but not protein-coding genes, is associated with flightlessness in palaeognathous birds, a classic example of a convergent phenotype. Eleven new genomes, including a draft genome from an extinct moa, resolve palaeognath phylogeny and show that the incidence of independent, convergent accelerations among 284,000 conserved non-exonic elements is significantly more frequent in ratites than other bird lineages. Ratite-specific acceleration of conserved regions and measures of open chromatin across eight tissues in the developing chick identify candidate regulatory regions that may have modified or lost function in ratites. Enhancer activity assays conducted in the early developing chicken forelimb confirm that volant versions of a conserved element in the first intron of the TEAD1 gene display conserved enhancer activity, whereas an accelerated flightless version fails to drive reporter gene expression. Our results show that convergent molecular changes associated with loss of flight are largely regulatory in nature.&quot;,&quot;volume&quot;:&quot;364&quot;},&quot;isTemporary&quot;:false}]},{&quot;citationID&quot;:&quot;MENDELEY_CITATION_ecbc3252-0ec9-4ecc-a8b5-452615d19d4c&quot;,&quot;properties&quot;:{&quot;noteIndex&quot;:0},&quot;isEdited&quot;:false,&quot;manualOverride&quot;:{&quot;isManuallyOverridden&quot;:true,&quot;citeprocText&quot;:&quot;(2)&quot;,&quot;manualOverrideText&quot;:&quot;Cahill et al., (2021)&quot;},&quot;citationTag&quot;:&quot;MENDELEY_CITATION_v3_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&quot;,&quot;citationItems&quot;:[{&quot;id&quot;:&quot;56e8518d-6f00-305b-9035-187930baae83&quot;,&quot;itemData&quot;:{&quot;type&quot;:&quot;article-journal&quot;,&quot;id&quot;:&quot;56e8518d-6f00-305b-9035-187930baae83&quot;,&quot;title&quot;:&quot;Positive selection in noncoding genomic regions of vocal learning birds is associated with genes implicated in vocal learning and speech functions in humans&quot;,&quot;author&quot;:[{&quot;family&quot;:&quot;Cahill&quot;,&quot;given&quot;:&quot;James A.&quot;,&quot;parse-names&quot;:false,&quot;dropping-particle&quot;:&quot;&quot;,&quot;non-dropping-particle&quot;:&quot;&quot;},{&quot;family&quot;:&quot;Armstrong&quot;,&quot;given&quot;:&quot;Joel&quot;,&quot;parse-names&quot;:false,&quot;dropping-particle&quot;:&quot;&quot;,&quot;non-dropping-particle&quot;:&quot;&quot;},{&quot;family&quot;:&quot;Deran&quot;,&quot;given&quot;:&quot;Alden&quot;,&quot;parse-names&quot;:false,&quot;dropping-particle&quot;:&quot;&quot;,&quot;non-dropping-particle&quot;:&quot;&quot;},{&quot;family&quot;:&quot;Khoury&quot;,&quot;given&quot;:&quot;Carolyn J.&quot;,&quot;parse-names&quot;:false,&quot;dropping-particle&quot;:&quot;&quot;,&quot;non-dropping-particle&quot;:&quot;&quot;},{&quot;family&quot;:&quot;Paten&quot;,&quot;given&quot;:&quot;Benedict&quot;,&quot;parse-names&quot;:false,&quot;dropping-particle&quot;:&quot;&quot;,&quot;non-dropping-particle&quot;:&quot;&quot;},{&quot;family&quot;:&quot;Haussler&quot;,&quot;given&quot;:&quot;David&quot;,&quot;parse-names&quot;:false,&quot;dropping-particle&quot;:&quot;&quot;,&quot;non-dropping-particle&quot;:&quot;&quot;},{&quot;family&quot;:&quot;Jarvis&quot;,&quot;given&quot;:&quot;Erich D.&quot;,&quot;parse-names&quot;:false,&quot;dropping-particle&quot;:&quot;&quot;,&quot;non-dropping-particle&quot;:&quot;&quot;}],&quot;container-title&quot;:&quot;Genome Research&quot;,&quot;container-title-short&quot;:&quot;Genome Res&quot;,&quot;accessed&quot;:{&quot;date-parts&quot;:[[2023,4,19]]},&quot;DOI&quot;:&quot;10.1101/GR.275989.121&quot;,&quot;ISSN&quot;:&quot;1088-9051&quot;,&quot;PMID&quot;:&quot;34667117&quot;,&quot;URL&quot;:&quot;https://genome-cshlp-org.ezp-prod1.hul.harvard.edu/content/31/11/2035.full&quot;,&quot;issued&quot;:{&quot;date-parts&quot;:[[2021,11,1]]},&quot;page&quot;:&quot;2035-2049&quot;,&quot;abstract&quot;:&quot;Vocal learning, the ability to imitate sounds from conspecifics and the environment, is a key component of human spoken language and learned song in three independently evolved avian groups—oscine songbirds, parrots, and hummingbirds. Humans and each of these three bird clades exhibit specialized behavioral, neuroanatomical, and brain gene expression convergence related to vocal learning, speech, and song. To understand the evolutionary basis of vocal learning gene specializations and convergence, we searched for and identified accelerated genomic regions (ARs), a marker of positive selection, specific to vocal learning birds. We found avian vocal learner-specific ARs, and they were enriched in noncoding regions near genes with known speech functions or brain gene expression specializations in humans and vocal learning birds, including FOXP2, NEUROD6, ZEB2, and MEF2C, and near genes with major neurodevelopmental functions, including NR2F1, NRP2, and BCL11B. We also found enrichment near the SFARI class S genes associated with syndromic vocal communication forms of autism spectrum disorders. These findings reveal strong candidate noncoding regions near genes for the evolutionary adaptations that distinguish vocal learning species from their close vocal nonlearning relatives and provide further evidence of molecular convergence between birdsong and human spoken language.&quot;,&quot;publisher&quot;:&quot;Cold Spring Harbor Laboratory Press&quot;,&quot;issue&quot;:&quot;11&quot;,&quot;volume&quot;:&quot;31&quot;},&quot;isTemporary&quot;:false}]},{&quot;citationID&quot;:&quot;MENDELEY_CITATION_e2586d3e-3e58-40f6-bbe6-0aa404e5e374&quot;,&quot;properties&quot;:{&quot;noteIndex&quot;:0},&quot;isEdited&quot;:false,&quot;manualOverride&quot;:{&quot;isManuallyOverridden&quot;:false,&quot;citeprocText&quot;:&quot;(3)&quot;,&quot;manualOverrideText&quot;:&quot;&quot;},&quot;citationTag&quot;:&quot;MENDELEY_CITATION_v3_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&quot;,&quot;citationItems&quot;:[{&quot;id&quot;:&quot;83eeb7b2-ea14-3f10-9856-fa2d98601e67&quot;,&quot;itemData&quot;:{&quot;type&quot;:&quot;article-journal&quot;,&quot;id&quot;:&quot;83eeb7b2-ea14-3f10-9856-fa2d98601e67&quot;,&quot;title&quot;:&quot;Progressive Cactus is a multiple-genome aligner for the thousand-genome era&quot;,&quot;author&quot;:[{&quot;family&quot;:&quot;Armstrong&quot;,&quot;given&quot;:&quot;Joel&quot;,&quot;parse-names&quot;:false,&quot;dropping-particle&quot;:&quot;&quot;,&quot;non-dropping-particle&quot;:&quot;&quot;},{&quot;family&quot;:&quot;Hickey&quot;,&quot;given&quot;:&quot;Glenn&quot;,&quot;parse-names&quot;:false,&quot;dropping-particle&quot;:&quot;&quot;,&quot;non-dropping-particle&quot;:&quot;&quot;},{&quot;family&quot;:&quot;Diekhans&quot;,&quot;given&quot;:&quot;Mark&quot;,&quot;parse-names&quot;:false,&quot;dropping-particle&quot;:&quot;&quot;,&quot;non-dropping-particle&quot;:&quot;&quot;},{&quot;family&quot;:&quot;Fiddes&quot;,&quot;given&quot;:&quot;Ian T.&quot;,&quot;parse-names&quot;:false,&quot;dropping-particle&quot;:&quot;&quot;,&quot;non-dropping-particle&quot;:&quot;&quot;},{&quot;family&quot;:&quot;Novak&quot;,&quot;given&quot;:&quot;Adam M.&quot;,&quot;parse-names&quot;:false,&quot;dropping-particle&quot;:&quot;&quot;,&quot;non-dropping-particle&quot;:&quot;&quot;},{&quot;family&quot;:&quot;Deran&quot;,&quot;given&quot;:&quot;Alden&quot;,&quot;parse-names&quot;:false,&quot;dropping-particle&quot;:&quot;&quot;,&quot;non-dropping-particle&quot;:&quot;&quot;},{&quot;family&quot;:&quot;Fang&quot;,&quot;given&quot;:&quot;Qi&quot;,&quot;parse-names&quot;:false,&quot;dropping-particle&quot;:&quot;&quot;,&quot;non-dropping-particle&quot;:&quot;&quot;},{&quot;family&quot;:&quot;Xie&quot;,&quot;given&quot;:&quot;Duo&quot;,&quot;parse-names&quot;:false,&quot;dropping-particle&quot;:&quot;&quot;,&quot;non-dropping-particle&quot;:&quot;&quot;},{&quot;family&quot;:&quot;Feng&quot;,&quot;given&quot;:&quot;Shaohong&quot;,&quot;parse-names&quot;:false,&quot;dropping-particle&quot;:&quot;&quot;,&quot;non-dropping-particle&quot;:&quot;&quot;},{&quot;family&quot;:&quot;Stiller&quot;,&quot;given&quot;:&quot;Josefin&quot;,&quot;parse-names&quot;:false,&quot;dropping-particle&quot;:&quot;&quot;,&quot;non-dropping-particle&quot;:&quot;&quot;},{&quot;family&quot;:&quot;Genereux&quot;,&quot;given&quot;:&quot;Diane&quot;,&quot;parse-names&quot;:false,&quot;dropping-particle&quot;:&quot;&quot;,&quot;non-dropping-particle&quot;:&quot;&quot;},{&quot;family&quot;:&quot;Johnson&quot;,&quot;given&quot;:&quot;Jeremy&quot;,&quot;parse-names&quot;:false,&quot;dropping-particle&quot;:&quot;&quot;,&quot;non-dropping-particle&quot;:&quot;&quot;},{&quot;family&quot;:&quot;Marinescu&quot;,&quot;given&quot;:&quot;Voichita Dana&quot;,&quot;parse-names&quot;:false,&quot;dropping-particle&quot;:&quot;&quot;,&quot;non-dropping-particle&quot;:&quot;&quot;},{&quot;family&quot;:&quot;Alföldi&quot;,&quot;given&quot;:&quot;Jessica&quot;,&quot;parse-names&quot;:false,&quot;dropping-particle&quot;:&quot;&quot;,&quot;non-dropping-particle&quot;:&quot;&quot;},{&quot;family&quot;:&quot;Harris&quot;,&quot;given&quot;:&quot;Robert S.&quot;,&quot;parse-names&quot;:false,&quot;dropping-particle&quot;:&quot;&quot;,&quot;non-dropping-particle&quot;:&quot;&quot;},{&quot;family&quot;:&quot;Lindblad-Toh&quot;,&quot;given&quot;:&quot;Kerstin&quot;,&quot;parse-names&quot;:false,&quot;dropping-particle&quot;:&quot;&quot;,&quot;non-dropping-particle&quot;:&quot;&quot;},{&quot;family&quot;:&quot;Haussler&quot;,&quot;given&quot;:&quot;David&quot;,&quot;parse-names&quot;:false,&quot;dropping-particle&quot;:&quot;&quot;,&quot;non-dropping-particle&quot;:&quot;&quot;},{&quot;family&quot;:&quot;Karlsson&quot;,&quot;given&quot;:&quot;Elinor&quot;,&quot;parse-names&quot;:false,&quot;dropping-particle&quot;:&quot;&quot;,&quot;non-dropping-particle&quot;:&quot;&quot;},{&quot;family&quot;:&quot;Jarvis&quot;,&quot;given&quot;:&quot;Erich D.&quot;,&quot;parse-names&quot;:false,&quot;dropping-particle&quot;:&quot;&quot;,&quot;non-dropping-particle&quot;:&quot;&quot;},{&quot;family&quot;:&quot;Zhang&quot;,&quot;given&quot;:&quot;Guojie&quot;,&quot;parse-names&quot;:false,&quot;dropping-particle&quot;:&quot;&quot;,&quot;non-dropping-particle&quot;:&quot;&quot;},{&quot;family&quot;:&quot;Paten&quot;,&quot;given&quot;:&quot;Benedict&quot;,&quot;parse-names&quot;:false,&quot;dropping-particle&quot;:&quot;&quot;,&quot;non-dropping-particle&quot;:&quot;&quot;}],&quot;container-title&quot;:&quot;Nature&quot;,&quot;container-title-short&quot;:&quot;Nature&quot;,&quot;accessed&quot;:{&quot;date-parts&quot;:[[2023,4,16]]},&quot;DOI&quot;:&quot;10.1038/S41586-020-2871-Y&quot;,&quot;ISSN&quot;:&quot;1476-4687&quot;,&quot;PMID&quot;:&quot;33177663&quot;,&quot;issued&quot;:{&quot;date-parts&quot;:[[2020,11,11]]},&quot;page&quot;:&quot;246-251&quot;,&quot;abstract&quot;:&quot;New genome assemblies have been arriving at a rapidly increasing pace, thanks to decreases in sequencing costs and improvements in third-generation sequencing technologies1–3. For example, the number of vertebrate genome assemblies currently in the NCBI (National Center for Biotechnology Information) database4 increased by more than 50% to 1,485 assemblies in the year from July 2018 to July 2019. In addition to this influx of assemblies from different species, new human de novo assemblies5 are being produced, which enable the analysis of not only small polymorphisms, but also complex, large-scale structural differences between human individuals and haplotypes. This coming era and its unprecedented amount of data offer the opportunity to uncover many insights into genome evolution but also present challenges in how to adapt current analysis methods to meet the increased scale. Cactus6, a reference-free multiple genome alignment program, has been shown to be highly accurate, but the existing implementation scales poorly with increasing numbers of genomes, and struggles in regions of highly duplicated sequences. Here we describe progressive extensions to Cactus to create Progressive Cactus, which enables the reference-free alignment of tens to thousands of large vertebrate genomes while maintaining high alignment quality. We describe results from an alignment of more than 600 amniote genomes, which is to our knowledge the largest multiple vertebrate genome alignment created so far. The Progressive Cactus program can create reference-free alignments of hundreds of large vertebrate genomes efficiently, and is used for the alignment of more than 600 amniote genomes.&quot;,&quot;publisher&quot;:&quot;Nature Publishing Group&quot;,&quot;issue&quot;:&quot;7833&quot;,&quot;volume&quot;:&quot;587&quot;},&quot;isTemporary&quot;:false}]},{&quot;citationID&quot;:&quot;MENDELEY_CITATION_10122104-0e77-4606-a44d-d99fe7abe6f7&quot;,&quot;properties&quot;:{&quot;noteIndex&quot;:0},&quot;isEdited&quot;:false,&quot;manualOverride&quot;:{&quot;isManuallyOverridden&quot;:true,&quot;citeprocText&quot;:&quot;(1)&quot;,&quot;manualOverrideText&quot;:&quot;Sackton et al., (2019)&quot;},&quot;citationTag&quot;:&quot;MENDELEY_CITATION_v3_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&quot;,&quot;citationItems&quot;:[{&quot;id&quot;:&quot;02abb56f-1f78-3f57-aa09-d488fe794e39&quot;,&quot;itemData&quot;:{&quot;type&quot;:&quot;article-journal&quot;,&quot;id&quot;:&quot;02abb56f-1f78-3f57-aa09-d488fe794e39&quot;,&quot;title&quot;:&quot;Convergent regulatory evolution and the origin of flightlessness in palaeognathous birds&quot;,&quot;author&quot;:[{&quot;family&quot;:&quot;Sackton&quot;,&quot;given&quot;:&quot;Timothy B.&quot;,&quot;parse-names&quot;:false,&quot;dropping-particle&quot;:&quot;&quot;,&quot;non-dropping-particle&quot;:&quot;&quot;},{&quot;family&quot;:&quot;Grayson&quot;,&quot;given&quot;:&quot;Phil&quot;,&quot;parse-names&quot;:false,&quot;dropping-particle&quot;:&quot;&quot;,&quot;non-dropping-particle&quot;:&quot;&quot;},{&quot;family&quot;:&quot;Cloutier&quot;,&quot;given&quot;:&quot;Alison&quot;,&quot;parse-names&quot;:false,&quot;dropping-particle&quot;:&quot;&quot;,&quot;non-dropping-particle&quot;:&quot;&quot;},{&quot;family&quot;:&quot;Hu&quot;,&quot;given&quot;:&quot;Zhirui&quot;,&quot;parse-names&quot;:false,&quot;dropping-particle&quot;:&quot;&quot;,&quot;non-dropping-particle&quot;:&quot;&quot;},{&quot;family&quot;:&quot;Liu&quot;,&quot;given&quot;:&quot;Jun S.&quot;,&quot;parse-names&quot;:false,&quot;dropping-particle&quot;:&quot;&quot;,&quot;non-dropping-particle&quot;:&quot;&quot;},{&quot;family&quot;:&quot;Wheeler&quot;,&quot;given&quot;:&quot;Nicole E.&quot;,&quot;parse-names&quot;:false,&quot;dropping-particle&quot;:&quot;&quot;,&quot;non-dropping-particle&quot;:&quot;&quot;},{&quot;family&quot;:&quot;Gardner&quot;,&quot;given&quot;:&quot;Paul P.&quot;,&quot;parse-names&quot;:false,&quot;dropping-particle&quot;:&quot;&quot;,&quot;non-dropping-particle&quot;:&quot;&quot;},{&quot;family&quot;:&quot;Clarke&quot;,&quot;given&quot;:&quot;Julia A.&quot;,&quot;parse-names&quot;:false,&quot;dropping-particle&quot;:&quot;&quot;,&quot;non-dropping-particle&quot;:&quot;&quot;},{&quot;family&quot;:&quot;Baker&quot;,&quot;given&quot;:&quot;Allan J.&quot;,&quot;parse-names&quot;:false,&quot;dropping-particle&quot;:&quot;&quot;,&quot;non-dropping-particle&quot;:&quot;&quot;},{&quot;family&quot;:&quot;Clamp&quot;,&quot;given&quot;:&quot;Michele&quot;,&quot;parse-names&quot;:false,&quot;dropping-particle&quot;:&quot;&quot;,&quot;non-dropping-particle&quot;:&quot;&quot;},{&quot;family&quot;:&quot;Edwards&quot;,&quot;given&quot;:&quot;Scott&quot;,&quot;parse-names&quot;:false,&quot;dropping-particle&quot;:&quot;V.&quot;,&quot;non-dropping-particle&quot;:&quot;&quot;}],&quot;container-title&quot;:&quot;Science&quot;,&quot;container-title-short&quot;:&quot;Science (1979)&quot;,&quot;DOI&quot;:&quot;10.1101/262584&quot;,&quot;URL&quot;:&quot;https://www.biorxiv.org/content/early/2018/02/08/262584&quot;,&quot;issued&quot;:{&quot;date-parts&quot;:[[2019]]},&quot;page&quot;:&quot;74-78&quot;,&quot;abstract&quot;:&quot;The relative roles of regulatory and protein evolution in the origin and loss of convergent phenotypic traits is a core question in evolutionary biology. Here we combine phylogenomic, epigenomic and developmental data to show that convergent evolution of regulatory regions, but not protein-coding genes, is associated with flightlessness in palaeognathous birds, a classic example of a convergent phenotype. Eleven new genomes, including a draft genome from an extinct moa, resolve palaeognath phylogeny and show that the incidence of independent, convergent accelerations among 284,000 conserved non-exonic elements is significantly more frequent in ratites than other bird lineages. Ratite-specific acceleration of conserved regions and measures of open chromatin across eight tissues in the developing chick identify candidate regulatory regions that may have modified or lost function in ratites. Enhancer activity assays conducted in the early developing chicken forelimb confirm that volant versions of a conserved element in the first intron of the TEAD1 gene display conserved enhancer activity, whereas an accelerated flightless version fails to drive reporter gene expression. Our results show that convergent molecular changes associated with loss of flight are largely regulatory in nature.&quot;,&quot;volume&quot;:&quot;364&quot;},&quot;isTemporary&quot;:false}]},{&quot;citationID&quot;:&quot;MENDELEY_CITATION_aa68913e-1385-4cd4-b6a5-749374328433&quot;,&quot;properties&quot;:{&quot;noteIndex&quot;:0},&quot;isEdited&quot;:false,&quot;manualOverride&quot;:{&quot;isManuallyOverridden&quot;:true,&quot;citeprocText&quot;:&quot;(2)&quot;,&quot;manualOverrideText&quot;:&quot;Cahill et al., (2021)&quot;},&quot;citationTag&quot;:&quot;MENDELEY_CITATION_v3_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&quot;,&quot;citationItems&quot;:[{&quot;id&quot;:&quot;56e8518d-6f00-305b-9035-187930baae83&quot;,&quot;itemData&quot;:{&quot;type&quot;:&quot;article-journal&quot;,&quot;id&quot;:&quot;56e8518d-6f00-305b-9035-187930baae83&quot;,&quot;title&quot;:&quot;Positive selection in noncoding genomic regions of vocal learning birds is associated with genes implicated in vocal learning and speech functions in humans&quot;,&quot;author&quot;:[{&quot;family&quot;:&quot;Cahill&quot;,&quot;given&quot;:&quot;James A.&quot;,&quot;parse-names&quot;:false,&quot;dropping-particle&quot;:&quot;&quot;,&quot;non-dropping-particle&quot;:&quot;&quot;},{&quot;family&quot;:&quot;Armstrong&quot;,&quot;given&quot;:&quot;Joel&quot;,&quot;parse-names&quot;:false,&quot;dropping-particle&quot;:&quot;&quot;,&quot;non-dropping-particle&quot;:&quot;&quot;},{&quot;family&quot;:&quot;Deran&quot;,&quot;given&quot;:&quot;Alden&quot;,&quot;parse-names&quot;:false,&quot;dropping-particle&quot;:&quot;&quot;,&quot;non-dropping-particle&quot;:&quot;&quot;},{&quot;family&quot;:&quot;Khoury&quot;,&quot;given&quot;:&quot;Carolyn J.&quot;,&quot;parse-names&quot;:false,&quot;dropping-particle&quot;:&quot;&quot;,&quot;non-dropping-particle&quot;:&quot;&quot;},{&quot;family&quot;:&quot;Paten&quot;,&quot;given&quot;:&quot;Benedict&quot;,&quot;parse-names&quot;:false,&quot;dropping-particle&quot;:&quot;&quot;,&quot;non-dropping-particle&quot;:&quot;&quot;},{&quot;family&quot;:&quot;Haussler&quot;,&quot;given&quot;:&quot;David&quot;,&quot;parse-names&quot;:false,&quot;dropping-particle&quot;:&quot;&quot;,&quot;non-dropping-particle&quot;:&quot;&quot;},{&quot;family&quot;:&quot;Jarvis&quot;,&quot;given&quot;:&quot;Erich D.&quot;,&quot;parse-names&quot;:false,&quot;dropping-particle&quot;:&quot;&quot;,&quot;non-dropping-particle&quot;:&quot;&quot;}],&quot;container-title&quot;:&quot;Genome Research&quot;,&quot;container-title-short&quot;:&quot;Genome Res&quot;,&quot;accessed&quot;:{&quot;date-parts&quot;:[[2023,4,19]]},&quot;DOI&quot;:&quot;10.1101/GR.275989.121&quot;,&quot;ISSN&quot;:&quot;1088-9051&quot;,&quot;PMID&quot;:&quot;34667117&quot;,&quot;URL&quot;:&quot;https://genome-cshlp-org.ezp-prod1.hul.harvard.edu/content/31/11/2035.full&quot;,&quot;issued&quot;:{&quot;date-parts&quot;:[[2021,11,1]]},&quot;page&quot;:&quot;2035-2049&quot;,&quot;abstract&quot;:&quot;Vocal learning, the ability to imitate sounds from conspecifics and the environment, is a key component of human spoken language and learned song in three independently evolved avian groups—oscine songbirds, parrots, and hummingbirds. Humans and each of these three bird clades exhibit specialized behavioral, neuroanatomical, and brain gene expression convergence related to vocal learning, speech, and song. To understand the evolutionary basis of vocal learning gene specializations and convergence, we searched for and identified accelerated genomic regions (ARs), a marker of positive selection, specific to vocal learning birds. We found avian vocal learner-specific ARs, and they were enriched in noncoding regions near genes with known speech functions or brain gene expression specializations in humans and vocal learning birds, including FOXP2, NEUROD6, ZEB2, and MEF2C, and near genes with major neurodevelopmental functions, including NR2F1, NRP2, and BCL11B. We also found enrichment near the SFARI class S genes associated with syndromic vocal communication forms of autism spectrum disorders. These findings reveal strong candidate noncoding regions near genes for the evolutionary adaptations that distinguish vocal learning species from their close vocal nonlearning relatives and provide further evidence of molecular convergence between birdsong and human spoken language.&quot;,&quot;publisher&quot;:&quot;Cold Spring Harbor Laboratory Press&quot;,&quot;issue&quot;:&quot;11&quot;,&quot;volume&quot;:&quot;31&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7FE15-506C-429F-9ADC-414E095E9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19</Pages>
  <Words>1250</Words>
  <Characters>7026</Characters>
  <Application>Microsoft Office Word</Application>
  <DocSecurity>0</DocSecurity>
  <Lines>111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Subir Shakya</dc:creator>
  <cp:keywords/>
  <dc:description/>
  <cp:lastModifiedBy>Shakya, Subir</cp:lastModifiedBy>
  <cp:revision>20</cp:revision>
  <dcterms:created xsi:type="dcterms:W3CDTF">2024-10-04T08:19:00Z</dcterms:created>
  <dcterms:modified xsi:type="dcterms:W3CDTF">2025-02-05T10:28:00Z</dcterms:modified>
</cp:coreProperties>
</file>