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499D6" w14:textId="135F249B" w:rsidR="009472C1" w:rsidRPr="00F26F9C" w:rsidRDefault="00E60008" w:rsidP="00F26F9C">
      <w:pPr>
        <w:widowControl/>
        <w:spacing w:line="480" w:lineRule="auto"/>
        <w:ind w:left="840" w:firstLine="420"/>
        <w:jc w:val="center"/>
        <w:rPr>
          <w:rFonts w:ascii="Times New Roman" w:hAnsi="Times New Roman" w:cs="Times New Roman"/>
          <w:b/>
          <w:sz w:val="36"/>
          <w:szCs w:val="36"/>
          <w:lang w:bidi="en-US"/>
        </w:rPr>
      </w:pPr>
      <w:r w:rsidRPr="00E60008">
        <w:rPr>
          <w:rFonts w:ascii="Times New Roman" w:hAnsi="Times New Roman" w:cs="Times New Roman" w:hint="eastAsia"/>
          <w:b/>
          <w:sz w:val="36"/>
          <w:szCs w:val="36"/>
          <w:lang w:bidi="en-US"/>
        </w:rPr>
        <w:t>Additional file</w:t>
      </w:r>
    </w:p>
    <w:p w14:paraId="0752B0A9" w14:textId="77777777" w:rsidR="00F26F9C" w:rsidRPr="00F26F9C" w:rsidRDefault="00F26F9C" w:rsidP="00F26F9C">
      <w:pPr>
        <w:jc w:val="center"/>
        <w:rPr>
          <w:rFonts w:ascii="Times New Roman" w:eastAsia="等线" w:hAnsi="Times New Roman" w:cs="Times New Roman"/>
          <w:b/>
          <w:bCs/>
          <w:sz w:val="36"/>
          <w:szCs w:val="36"/>
        </w:rPr>
      </w:pPr>
      <w:r w:rsidRPr="00F26F9C">
        <w:rPr>
          <w:rFonts w:ascii="Times New Roman" w:eastAsia="等线" w:hAnsi="Times New Roman" w:cs="Times New Roman"/>
          <w:b/>
          <w:bCs/>
          <w:sz w:val="36"/>
          <w:szCs w:val="36"/>
        </w:rPr>
        <w:t xml:space="preserve">Deep Learning-Based Dipeptidyl Peptidase IV Inhibitor Screening, Experimental Validation, and </w:t>
      </w:r>
      <w:proofErr w:type="spellStart"/>
      <w:r w:rsidRPr="00F26F9C">
        <w:rPr>
          <w:rFonts w:ascii="Times New Roman" w:eastAsia="等线" w:hAnsi="Times New Roman" w:cs="Times New Roman"/>
          <w:b/>
          <w:bCs/>
          <w:sz w:val="36"/>
          <w:szCs w:val="36"/>
        </w:rPr>
        <w:t>GaMD</w:t>
      </w:r>
      <w:proofErr w:type="spellEnd"/>
      <w:r w:rsidRPr="00F26F9C">
        <w:rPr>
          <w:rFonts w:ascii="Times New Roman" w:eastAsia="等线" w:hAnsi="Times New Roman" w:cs="Times New Roman"/>
          <w:b/>
          <w:bCs/>
          <w:sz w:val="36"/>
          <w:szCs w:val="36"/>
        </w:rPr>
        <w:t>/</w:t>
      </w:r>
      <w:proofErr w:type="spellStart"/>
      <w:r w:rsidRPr="00F26F9C">
        <w:rPr>
          <w:rFonts w:ascii="Times New Roman" w:eastAsia="等线" w:hAnsi="Times New Roman" w:cs="Times New Roman"/>
          <w:b/>
          <w:bCs/>
          <w:sz w:val="36"/>
          <w:szCs w:val="36"/>
        </w:rPr>
        <w:t>LiGaMD</w:t>
      </w:r>
      <w:proofErr w:type="spellEnd"/>
      <w:r w:rsidRPr="00F26F9C">
        <w:rPr>
          <w:rFonts w:ascii="Times New Roman" w:eastAsia="等线" w:hAnsi="Times New Roman" w:cs="Times New Roman"/>
          <w:b/>
          <w:bCs/>
          <w:sz w:val="36"/>
          <w:szCs w:val="36"/>
        </w:rPr>
        <w:t xml:space="preserve"> Analysis</w:t>
      </w:r>
    </w:p>
    <w:p w14:paraId="0A50063C" w14:textId="77777777" w:rsidR="00F26F9C" w:rsidRPr="00F26F9C" w:rsidRDefault="00F26F9C" w:rsidP="00F26F9C">
      <w:pPr>
        <w:jc w:val="center"/>
        <w:rPr>
          <w:rFonts w:ascii="Times New Roman" w:eastAsia="等线" w:hAnsi="Times New Roman" w:cs="Times New Roman"/>
        </w:rPr>
      </w:pPr>
      <w:r w:rsidRPr="00F26F9C">
        <w:rPr>
          <w:rFonts w:ascii="Times New Roman" w:eastAsia="等线" w:hAnsi="Times New Roman" w:cs="Times New Roman"/>
        </w:rPr>
        <w:t>Yi He</w:t>
      </w:r>
      <w:proofErr w:type="gramStart"/>
      <w:r w:rsidRPr="00F26F9C">
        <w:rPr>
          <w:rFonts w:ascii="Times New Roman" w:eastAsia="等线" w:hAnsi="Times New Roman" w:cs="Times New Roman"/>
          <w:vertAlign w:val="superscript"/>
        </w:rPr>
        <w:t>1,†</w:t>
      </w:r>
      <w:proofErr w:type="gramEnd"/>
      <w:r w:rsidRPr="00F26F9C">
        <w:rPr>
          <w:rFonts w:ascii="Times New Roman" w:eastAsia="等线" w:hAnsi="Times New Roman" w:cs="Times New Roman"/>
        </w:rPr>
        <w:t>, Yan Zhang</w:t>
      </w:r>
      <w:proofErr w:type="gramStart"/>
      <w:r w:rsidRPr="00F26F9C">
        <w:rPr>
          <w:rFonts w:ascii="Times New Roman" w:eastAsia="等线" w:hAnsi="Times New Roman" w:cs="Times New Roman"/>
          <w:vertAlign w:val="superscript"/>
        </w:rPr>
        <w:t>1,†</w:t>
      </w:r>
      <w:proofErr w:type="gramEnd"/>
      <w:r w:rsidRPr="00F26F9C">
        <w:rPr>
          <w:rFonts w:ascii="Times New Roman" w:eastAsia="等线" w:hAnsi="Times New Roman" w:cs="Times New Roman"/>
        </w:rPr>
        <w:t>, Minghao Liu</w:t>
      </w:r>
      <w:r w:rsidRPr="00F26F9C">
        <w:rPr>
          <w:rFonts w:ascii="Times New Roman" w:eastAsia="等线" w:hAnsi="Times New Roman" w:cs="Times New Roman"/>
          <w:vertAlign w:val="superscript"/>
        </w:rPr>
        <w:t>1</w:t>
      </w:r>
      <w:r w:rsidRPr="00F26F9C">
        <w:rPr>
          <w:rFonts w:ascii="Times New Roman" w:eastAsia="等线" w:hAnsi="Times New Roman" w:cs="Times New Roman"/>
        </w:rPr>
        <w:t>, Jiaying Li</w:t>
      </w:r>
      <w:r w:rsidRPr="00F26F9C">
        <w:rPr>
          <w:rFonts w:ascii="Times New Roman" w:eastAsia="等线" w:hAnsi="Times New Roman" w:cs="Times New Roman"/>
          <w:vertAlign w:val="superscript"/>
        </w:rPr>
        <w:t>1</w:t>
      </w:r>
      <w:r w:rsidRPr="00F26F9C">
        <w:rPr>
          <w:rFonts w:ascii="Times New Roman" w:eastAsia="等线" w:hAnsi="Times New Roman" w:cs="Times New Roman"/>
        </w:rPr>
        <w:t xml:space="preserve">, </w:t>
      </w:r>
      <w:proofErr w:type="spellStart"/>
      <w:r w:rsidRPr="00F26F9C">
        <w:rPr>
          <w:rFonts w:ascii="Times New Roman" w:eastAsia="等线" w:hAnsi="Times New Roman" w:cs="Times New Roman"/>
        </w:rPr>
        <w:t>Wannan</w:t>
      </w:r>
      <w:proofErr w:type="spellEnd"/>
      <w:r w:rsidRPr="00F26F9C">
        <w:rPr>
          <w:rFonts w:ascii="Times New Roman" w:eastAsia="等线" w:hAnsi="Times New Roman" w:cs="Times New Roman"/>
        </w:rPr>
        <w:t xml:space="preserve"> Li</w:t>
      </w:r>
      <w:proofErr w:type="gramStart"/>
      <w:r w:rsidRPr="00F26F9C">
        <w:rPr>
          <w:rFonts w:ascii="Times New Roman" w:eastAsia="等线" w:hAnsi="Times New Roman" w:cs="Times New Roman"/>
          <w:vertAlign w:val="superscript"/>
        </w:rPr>
        <w:t>1,*</w:t>
      </w:r>
      <w:proofErr w:type="gramEnd"/>
      <w:r w:rsidRPr="00F26F9C">
        <w:rPr>
          <w:rFonts w:ascii="Times New Roman" w:eastAsia="等线" w:hAnsi="Times New Roman" w:cs="Times New Roman"/>
        </w:rPr>
        <w:t>, Weiwei Han</w:t>
      </w:r>
      <w:proofErr w:type="gramStart"/>
      <w:r w:rsidRPr="00F26F9C">
        <w:rPr>
          <w:rFonts w:ascii="Times New Roman" w:eastAsia="等线" w:hAnsi="Times New Roman" w:cs="Times New Roman"/>
          <w:vertAlign w:val="superscript"/>
        </w:rPr>
        <w:t>1,*</w:t>
      </w:r>
      <w:proofErr w:type="gramEnd"/>
    </w:p>
    <w:p w14:paraId="3B0BE02C" w14:textId="77777777" w:rsidR="00F26F9C" w:rsidRPr="00F26F9C" w:rsidRDefault="00F26F9C" w:rsidP="00F26F9C">
      <w:pPr>
        <w:jc w:val="center"/>
        <w:rPr>
          <w:rFonts w:ascii="Times New Roman" w:eastAsia="等线" w:hAnsi="Times New Roman" w:cs="Times New Roman"/>
        </w:rPr>
      </w:pPr>
      <w:r w:rsidRPr="00F26F9C">
        <w:rPr>
          <w:rFonts w:ascii="Times New Roman" w:eastAsia="等线" w:hAnsi="Times New Roman" w:cs="Times New Roman"/>
        </w:rPr>
        <w:t xml:space="preserve">Affiliation: </w:t>
      </w:r>
      <w:r w:rsidRPr="00F26F9C">
        <w:rPr>
          <w:rFonts w:ascii="Times New Roman" w:eastAsia="等线" w:hAnsi="Times New Roman" w:cs="Times New Roman"/>
          <w:vertAlign w:val="superscript"/>
        </w:rPr>
        <w:t>1</w:t>
      </w:r>
      <w:r w:rsidRPr="00F26F9C">
        <w:rPr>
          <w:rFonts w:ascii="Times New Roman" w:eastAsia="等线" w:hAnsi="Times New Roman" w:cs="Times New Roman"/>
        </w:rPr>
        <w:t xml:space="preserve"> Key Laboratory for Molecular Enzymology and Engineering of Ministry of Education, Edmond Fischer Cell Signaling Laboratory, College of Life Sciences, Jilin University, 2699 </w:t>
      </w:r>
      <w:proofErr w:type="spellStart"/>
      <w:r w:rsidRPr="00F26F9C">
        <w:rPr>
          <w:rFonts w:ascii="Times New Roman" w:eastAsia="等线" w:hAnsi="Times New Roman" w:cs="Times New Roman"/>
        </w:rPr>
        <w:t>Qianjin</w:t>
      </w:r>
      <w:proofErr w:type="spellEnd"/>
      <w:r w:rsidRPr="00F26F9C">
        <w:rPr>
          <w:rFonts w:ascii="Times New Roman" w:eastAsia="等线" w:hAnsi="Times New Roman" w:cs="Times New Roman"/>
        </w:rPr>
        <w:t xml:space="preserve"> Street, Changchun 130012, China</w:t>
      </w:r>
    </w:p>
    <w:p w14:paraId="51A3D08D" w14:textId="77777777" w:rsidR="00F26F9C" w:rsidRPr="00F26F9C" w:rsidRDefault="00F26F9C" w:rsidP="00F26F9C">
      <w:pPr>
        <w:jc w:val="center"/>
        <w:rPr>
          <w:rFonts w:ascii="Times New Roman" w:eastAsia="等线" w:hAnsi="Times New Roman" w:cs="Times New Roman"/>
        </w:rPr>
      </w:pPr>
      <w:r w:rsidRPr="00F26F9C">
        <w:rPr>
          <w:rFonts w:ascii="Times New Roman" w:eastAsia="等线" w:hAnsi="Times New Roman" w:cs="Times New Roman"/>
        </w:rPr>
        <w:t>* Corresponding author.</w:t>
      </w:r>
    </w:p>
    <w:p w14:paraId="14847F87" w14:textId="77777777" w:rsidR="00F26F9C" w:rsidRPr="00F26F9C" w:rsidRDefault="00F26F9C" w:rsidP="00F26F9C">
      <w:pPr>
        <w:jc w:val="center"/>
        <w:rPr>
          <w:rFonts w:ascii="Times New Roman" w:eastAsia="等线" w:hAnsi="Times New Roman" w:cs="Times New Roman"/>
        </w:rPr>
      </w:pPr>
      <w:r w:rsidRPr="00F26F9C">
        <w:rPr>
          <w:rFonts w:ascii="Times New Roman" w:eastAsia="等线" w:hAnsi="Times New Roman" w:cs="Times New Roman"/>
        </w:rPr>
        <w:t>E-mail address: weiweihan@jlu.edu.cn (W. Han), liwannan@jlu.edu.cn (W. Li).</w:t>
      </w:r>
    </w:p>
    <w:p w14:paraId="70515E61" w14:textId="0E7D48D9" w:rsidR="00D13B5F" w:rsidRDefault="00F26F9C" w:rsidP="00F26F9C">
      <w:pPr>
        <w:spacing w:line="240" w:lineRule="auto"/>
        <w:jc w:val="center"/>
        <w:rPr>
          <w:rFonts w:ascii="Times New Roman" w:eastAsia="等线" w:hAnsi="Times New Roman" w:cs="Times New Roman"/>
        </w:rPr>
      </w:pPr>
      <w:r w:rsidRPr="00F26F9C">
        <w:rPr>
          <w:rFonts w:ascii="Times New Roman" w:eastAsia="等线" w:hAnsi="Times New Roman" w:cs="Times New Roman"/>
        </w:rPr>
        <w:t>† These authors contributed equally to this work.</w:t>
      </w:r>
    </w:p>
    <w:p w14:paraId="77606F84" w14:textId="77777777" w:rsidR="00D13B5F" w:rsidRDefault="00D13B5F">
      <w:pPr>
        <w:widowControl/>
        <w:rPr>
          <w:rFonts w:ascii="Times New Roman" w:eastAsia="等线" w:hAnsi="Times New Roman" w:cs="Times New Roman"/>
        </w:rPr>
      </w:pPr>
      <w:r>
        <w:rPr>
          <w:rFonts w:ascii="Times New Roman" w:eastAsia="等线" w:hAnsi="Times New Roman" w:cs="Times New Roman"/>
        </w:rPr>
        <w:br w:type="page"/>
      </w:r>
    </w:p>
    <w:p w14:paraId="2F3B6AB2" w14:textId="21D374E0" w:rsidR="00D13B5F" w:rsidRPr="00D13B5F" w:rsidRDefault="00D13B5F" w:rsidP="00D13B5F">
      <w:pPr>
        <w:widowControl/>
        <w:spacing w:line="480" w:lineRule="auto"/>
        <w:ind w:left="840" w:firstLine="420"/>
        <w:jc w:val="center"/>
        <w:rPr>
          <w:rFonts w:ascii="Times New Roman" w:hAnsi="Times New Roman" w:cs="Times New Roman" w:hint="eastAsia"/>
          <w:b/>
          <w:sz w:val="36"/>
          <w:szCs w:val="36"/>
          <w:lang w:bidi="en-US"/>
        </w:rPr>
      </w:pPr>
      <w:r w:rsidRPr="00E60008">
        <w:rPr>
          <w:rFonts w:ascii="Times New Roman" w:hAnsi="Times New Roman" w:cs="Times New Roman" w:hint="eastAsia"/>
          <w:b/>
          <w:sz w:val="36"/>
          <w:szCs w:val="36"/>
          <w:lang w:bidi="en-US"/>
        </w:rPr>
        <w:lastRenderedPageBreak/>
        <w:t>Additional file</w:t>
      </w:r>
    </w:p>
    <w:p w14:paraId="7EE4D72E" w14:textId="0D69CF1E" w:rsidR="00D13B5F" w:rsidRPr="00D13B5F" w:rsidRDefault="00D13B5F" w:rsidP="00D13B5F">
      <w:pPr>
        <w:rPr>
          <w:rFonts w:ascii="Times New Roman" w:eastAsia="等线" w:hAnsi="Times New Roman" w:cs="Times New Roman"/>
        </w:rPr>
      </w:pPr>
      <w:r w:rsidRPr="00D13B5F">
        <w:rPr>
          <w:rFonts w:ascii="Times New Roman" w:eastAsia="等线" w:hAnsi="Times New Roman" w:cs="Times New Roman" w:hint="eastAsia"/>
        </w:rPr>
        <w:t xml:space="preserve">Figure S1. </w:t>
      </w:r>
      <w:r w:rsidRPr="00D13B5F">
        <w:rPr>
          <w:rFonts w:ascii="Times New Roman" w:eastAsia="等线" w:hAnsi="Times New Roman" w:cs="Times New Roman"/>
        </w:rPr>
        <w:t>PDB download of human DPP4 crystal structure and weight combination diagram</w:t>
      </w:r>
      <w:r w:rsidRPr="00D13B5F">
        <w:rPr>
          <w:rFonts w:ascii="Times New Roman" w:eastAsia="等线" w:hAnsi="Times New Roman" w:cs="Times New Roman" w:hint="eastAsia"/>
        </w:rPr>
        <w:t>.</w:t>
      </w:r>
    </w:p>
    <w:p w14:paraId="2C1FF739" w14:textId="77777777" w:rsidR="00D13B5F" w:rsidRPr="00D13B5F" w:rsidRDefault="00D13B5F" w:rsidP="00D13B5F">
      <w:pPr>
        <w:rPr>
          <w:rFonts w:ascii="Times New Roman" w:eastAsia="等线" w:hAnsi="Times New Roman" w:cs="Times New Roman"/>
        </w:rPr>
      </w:pPr>
      <w:r w:rsidRPr="00D13B5F">
        <w:rPr>
          <w:rFonts w:ascii="Times New Roman" w:eastAsia="等线" w:hAnsi="Times New Roman" w:cs="Times New Roman"/>
        </w:rPr>
        <w:t>Figure S2. 100 Vina molecular docking cluster diagram</w:t>
      </w:r>
      <w:r w:rsidRPr="00D13B5F">
        <w:rPr>
          <w:rFonts w:ascii="Times New Roman" w:eastAsia="等线" w:hAnsi="Times New Roman" w:cs="Times New Roman" w:hint="eastAsia"/>
        </w:rPr>
        <w:t>.</w:t>
      </w:r>
    </w:p>
    <w:p w14:paraId="615C14C1" w14:textId="77777777" w:rsidR="00D13B5F" w:rsidRPr="00D13B5F" w:rsidRDefault="00D13B5F" w:rsidP="00D13B5F">
      <w:pPr>
        <w:rPr>
          <w:rFonts w:ascii="Times New Roman" w:eastAsia="等线" w:hAnsi="Times New Roman" w:cs="Times New Roman"/>
        </w:rPr>
      </w:pPr>
      <w:r w:rsidRPr="00D13B5F">
        <w:rPr>
          <w:rFonts w:ascii="Times New Roman" w:eastAsia="等线" w:hAnsi="Times New Roman" w:cs="Times New Roman"/>
        </w:rPr>
        <w:t>Figure S3. Kernel density estimation (KDE) plots (left) and scatter plots (right) of predicted values for active and decoy molecules using (</w:t>
      </w:r>
      <w:proofErr w:type="gramStart"/>
      <w:r w:rsidRPr="00D13B5F">
        <w:rPr>
          <w:rFonts w:ascii="Times New Roman" w:eastAsia="等线" w:hAnsi="Times New Roman" w:cs="Times New Roman"/>
        </w:rPr>
        <w:t>A,B</w:t>
      </w:r>
      <w:proofErr w:type="gramEnd"/>
      <w:r w:rsidRPr="00D13B5F">
        <w:rPr>
          <w:rFonts w:ascii="Times New Roman" w:eastAsia="等线" w:hAnsi="Times New Roman" w:cs="Times New Roman"/>
        </w:rPr>
        <w:t>)</w:t>
      </w:r>
      <w:proofErr w:type="spellStart"/>
      <w:proofErr w:type="gramStart"/>
      <w:r w:rsidRPr="00D13B5F">
        <w:rPr>
          <w:rFonts w:ascii="Times New Roman" w:eastAsia="等线" w:hAnsi="Times New Roman" w:cs="Times New Roman"/>
        </w:rPr>
        <w:t>ConPLeX</w:t>
      </w:r>
      <w:proofErr w:type="spellEnd"/>
      <w:r w:rsidRPr="00D13B5F">
        <w:rPr>
          <w:rFonts w:ascii="Times New Roman" w:eastAsia="等线" w:hAnsi="Times New Roman" w:cs="Times New Roman"/>
        </w:rPr>
        <w:t xml:space="preserve"> ,</w:t>
      </w:r>
      <w:proofErr w:type="gramEnd"/>
      <w:r w:rsidRPr="00D13B5F">
        <w:rPr>
          <w:rFonts w:ascii="Times New Roman" w:eastAsia="等线" w:hAnsi="Times New Roman" w:cs="Times New Roman"/>
        </w:rPr>
        <w:t xml:space="preserve"> (</w:t>
      </w:r>
      <w:proofErr w:type="gramStart"/>
      <w:r w:rsidRPr="00D13B5F">
        <w:rPr>
          <w:rFonts w:ascii="Times New Roman" w:eastAsia="等线" w:hAnsi="Times New Roman" w:cs="Times New Roman"/>
        </w:rPr>
        <w:t>C,D</w:t>
      </w:r>
      <w:proofErr w:type="gramEnd"/>
      <w:r w:rsidRPr="00D13B5F">
        <w:rPr>
          <w:rFonts w:ascii="Times New Roman" w:eastAsia="等线" w:hAnsi="Times New Roman" w:cs="Times New Roman"/>
        </w:rPr>
        <w:t>)KPGT, and (</w:t>
      </w:r>
      <w:proofErr w:type="gramStart"/>
      <w:r w:rsidRPr="00D13B5F">
        <w:rPr>
          <w:rFonts w:ascii="Times New Roman" w:eastAsia="等线" w:hAnsi="Times New Roman" w:cs="Times New Roman"/>
        </w:rPr>
        <w:t>E,F</w:t>
      </w:r>
      <w:proofErr w:type="gramEnd"/>
      <w:r w:rsidRPr="00D13B5F">
        <w:rPr>
          <w:rFonts w:ascii="Times New Roman" w:eastAsia="等线" w:hAnsi="Times New Roman" w:cs="Times New Roman"/>
        </w:rPr>
        <w:t>)Vina.</w:t>
      </w:r>
    </w:p>
    <w:p w14:paraId="24952228" w14:textId="77777777" w:rsidR="00D13B5F" w:rsidRPr="00D13B5F" w:rsidRDefault="00D13B5F" w:rsidP="00D13B5F">
      <w:pPr>
        <w:rPr>
          <w:rFonts w:ascii="Times New Roman" w:eastAsia="等线" w:hAnsi="Times New Roman" w:cs="Times New Roman"/>
        </w:rPr>
      </w:pPr>
      <w:r w:rsidRPr="00D13B5F">
        <w:rPr>
          <w:rFonts w:ascii="Times New Roman" w:eastAsia="等线" w:hAnsi="Times New Roman" w:cs="Times New Roman"/>
        </w:rPr>
        <w:t>Figure S4. Dictionary of Secondary Structure of Proteins</w:t>
      </w:r>
      <w:r w:rsidRPr="00D13B5F">
        <w:rPr>
          <w:rFonts w:ascii="Times New Roman" w:eastAsia="等线" w:hAnsi="Times New Roman" w:cs="Times New Roman" w:hint="eastAsia"/>
        </w:rPr>
        <w:t>.</w:t>
      </w:r>
    </w:p>
    <w:p w14:paraId="084C1D8B" w14:textId="77777777" w:rsidR="00D13B5F" w:rsidRPr="00D13B5F" w:rsidRDefault="00D13B5F" w:rsidP="00D13B5F">
      <w:pPr>
        <w:rPr>
          <w:rFonts w:ascii="Times New Roman" w:eastAsia="等线" w:hAnsi="Times New Roman" w:cs="Times New Roman"/>
        </w:rPr>
      </w:pPr>
      <w:r w:rsidRPr="00D13B5F">
        <w:rPr>
          <w:rFonts w:ascii="Times New Roman" w:eastAsia="等线" w:hAnsi="Times New Roman" w:cs="Times New Roman"/>
        </w:rPr>
        <w:t xml:space="preserve">Figure S5. Time-dependent distance measurements between Glu206 and Ser592 were used to monitor the conformational dynamics of the DPP4 propeller flap during </w:t>
      </w:r>
      <w:proofErr w:type="spellStart"/>
      <w:r w:rsidRPr="00D13B5F">
        <w:rPr>
          <w:rFonts w:ascii="Times New Roman" w:eastAsia="等线" w:hAnsi="Times New Roman" w:cs="Times New Roman"/>
        </w:rPr>
        <w:t>GaMD</w:t>
      </w:r>
      <w:proofErr w:type="spellEnd"/>
      <w:r w:rsidRPr="00D13B5F">
        <w:rPr>
          <w:rFonts w:ascii="Times New Roman" w:eastAsia="等线" w:hAnsi="Times New Roman" w:cs="Times New Roman"/>
        </w:rPr>
        <w:t xml:space="preserve"> simulations.</w:t>
      </w:r>
    </w:p>
    <w:p w14:paraId="6B161C22" w14:textId="77777777" w:rsidR="00D13B5F" w:rsidRPr="00D13B5F" w:rsidRDefault="00D13B5F" w:rsidP="00D13B5F">
      <w:pPr>
        <w:rPr>
          <w:rFonts w:ascii="Times New Roman" w:eastAsia="等线" w:hAnsi="Times New Roman" w:cs="Times New Roman"/>
        </w:rPr>
      </w:pPr>
      <w:r w:rsidRPr="00D13B5F">
        <w:rPr>
          <w:rFonts w:ascii="Times New Roman" w:eastAsia="等线" w:hAnsi="Times New Roman" w:cs="Times New Roman"/>
        </w:rPr>
        <w:t xml:space="preserve">Figure S6. Representative binding conformations of four ligands at their PMF minima identified from </w:t>
      </w:r>
      <w:proofErr w:type="spellStart"/>
      <w:r w:rsidRPr="00D13B5F">
        <w:rPr>
          <w:rFonts w:ascii="Times New Roman" w:eastAsia="等线" w:hAnsi="Times New Roman" w:cs="Times New Roman"/>
        </w:rPr>
        <w:t>LiGaMD</w:t>
      </w:r>
      <w:proofErr w:type="spellEnd"/>
      <w:r w:rsidRPr="00D13B5F">
        <w:rPr>
          <w:rFonts w:ascii="Times New Roman" w:eastAsia="等线" w:hAnsi="Times New Roman" w:cs="Times New Roman"/>
        </w:rPr>
        <w:t xml:space="preserve"> simulations.</w:t>
      </w:r>
    </w:p>
    <w:p w14:paraId="4A423EDC" w14:textId="77777777" w:rsidR="00D13B5F" w:rsidRPr="00D13B5F" w:rsidRDefault="00D13B5F" w:rsidP="00D13B5F">
      <w:pPr>
        <w:rPr>
          <w:rFonts w:ascii="Times New Roman" w:eastAsia="等线" w:hAnsi="Times New Roman" w:cs="Times New Roman"/>
        </w:rPr>
      </w:pPr>
    </w:p>
    <w:p w14:paraId="6A725729" w14:textId="77777777" w:rsidR="00D13B5F" w:rsidRPr="00D13B5F" w:rsidRDefault="00D13B5F" w:rsidP="00D13B5F">
      <w:pPr>
        <w:rPr>
          <w:rFonts w:ascii="Times New Roman" w:eastAsia="等线" w:hAnsi="Times New Roman" w:cs="Times New Roman"/>
        </w:rPr>
      </w:pPr>
      <w:r w:rsidRPr="00D13B5F">
        <w:rPr>
          <w:rFonts w:ascii="Times New Roman" w:eastAsia="等线" w:hAnsi="Times New Roman" w:cs="Times New Roman"/>
        </w:rPr>
        <w:t>Table S1. Small molecule DPP4 screening model</w:t>
      </w:r>
      <w:r w:rsidRPr="00D13B5F">
        <w:rPr>
          <w:rFonts w:ascii="Times New Roman" w:eastAsia="等线" w:hAnsi="Times New Roman" w:cs="Times New Roman" w:hint="eastAsia"/>
        </w:rPr>
        <w:t>.</w:t>
      </w:r>
    </w:p>
    <w:p w14:paraId="486CBC36" w14:textId="77777777" w:rsidR="00F26F9C" w:rsidRPr="00D13B5F" w:rsidRDefault="00F26F9C" w:rsidP="00F26F9C">
      <w:pPr>
        <w:spacing w:line="240" w:lineRule="auto"/>
        <w:jc w:val="center"/>
        <w:rPr>
          <w:rFonts w:ascii="Times New Roman" w:eastAsia="等线" w:hAnsi="Times New Roman" w:cs="Times New Roman"/>
        </w:rPr>
      </w:pPr>
    </w:p>
    <w:p w14:paraId="604B7F8F" w14:textId="039CF975" w:rsidR="00C42CD6" w:rsidRPr="00F26F9C" w:rsidRDefault="00F26F9C" w:rsidP="00F26F9C">
      <w:pPr>
        <w:widowControl/>
        <w:rPr>
          <w:rFonts w:ascii="Times New Roman" w:eastAsia="等线" w:hAnsi="Times New Roman" w:cs="Times New Roman"/>
        </w:rPr>
      </w:pPr>
      <w:r>
        <w:rPr>
          <w:rFonts w:ascii="Times New Roman" w:eastAsia="等线" w:hAnsi="Times New Roman" w:cs="Times New Roman"/>
        </w:rPr>
        <w:br w:type="page"/>
      </w:r>
    </w:p>
    <w:p w14:paraId="07F8E010" w14:textId="69383E71" w:rsidR="006232D4" w:rsidRDefault="006232D4" w:rsidP="006232D4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5C1B0CD8" wp14:editId="1ECD009F">
            <wp:extent cx="3049761" cy="3118964"/>
            <wp:effectExtent l="0" t="0" r="0" b="5715"/>
            <wp:docPr id="943697627" name="图片 18017460" descr="图片包含 游戏机, 食物, 花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697627" name="图片 18017460" descr="图片包含 游戏机, 食物, 花&#10;&#10;描述已自动生成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21918" r="25264" b="14"/>
                    <a:stretch/>
                  </pic:blipFill>
                  <pic:spPr bwMode="auto">
                    <a:xfrm>
                      <a:off x="0" y="0"/>
                      <a:ext cx="3055317" cy="3124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B5293C" w14:textId="3428EBF4" w:rsidR="009D608E" w:rsidRPr="00EC0CCD" w:rsidRDefault="006232D4" w:rsidP="00B06A4D">
      <w:pPr>
        <w:jc w:val="center"/>
        <w:rPr>
          <w:rFonts w:ascii="Times New Roman" w:eastAsia="等线" w:hAnsi="Times New Roman"/>
          <w:color w:val="000000" w:themeColor="text1"/>
          <w:kern w:val="24"/>
          <w:szCs w:val="22"/>
        </w:rPr>
      </w:pPr>
      <w:r w:rsidRPr="00EC0CCD">
        <w:rPr>
          <w:rFonts w:ascii="Times New Roman" w:eastAsia="等线" w:hAnsi="Times New Roman"/>
          <w:color w:val="000000" w:themeColor="text1"/>
          <w:kern w:val="24"/>
          <w:szCs w:val="22"/>
        </w:rPr>
        <w:t>Figure S1</w:t>
      </w:r>
      <w:r w:rsidR="001718BB" w:rsidRPr="00EC0CCD">
        <w:rPr>
          <w:rFonts w:ascii="Times New Roman" w:eastAsia="等线" w:hAnsi="Times New Roman" w:hint="eastAsia"/>
          <w:color w:val="000000" w:themeColor="text1"/>
          <w:kern w:val="24"/>
          <w:szCs w:val="22"/>
        </w:rPr>
        <w:t xml:space="preserve">. </w:t>
      </w:r>
      <w:r w:rsidRPr="00EC0CCD">
        <w:rPr>
          <w:rFonts w:ascii="Times New Roman" w:eastAsia="等线" w:hAnsi="Times New Roman"/>
          <w:color w:val="000000" w:themeColor="text1"/>
          <w:kern w:val="24"/>
          <w:szCs w:val="22"/>
        </w:rPr>
        <w:t>PDB download of human DPP4 crystal structure and weight combination diagram</w:t>
      </w:r>
    </w:p>
    <w:p w14:paraId="6F0250B1" w14:textId="3713CC81" w:rsidR="006232D4" w:rsidRPr="000A58ED" w:rsidRDefault="009D608E" w:rsidP="000A58ED">
      <w:pPr>
        <w:widowControl/>
        <w:rPr>
          <w:rFonts w:ascii="Times New Roman" w:eastAsia="等线" w:hAnsi="Times New Roman"/>
          <w:color w:val="000000" w:themeColor="text1"/>
          <w:kern w:val="24"/>
          <w:sz w:val="20"/>
          <w:szCs w:val="20"/>
        </w:rPr>
      </w:pPr>
      <w:r>
        <w:rPr>
          <w:rFonts w:ascii="Times New Roman" w:eastAsia="等线" w:hAnsi="Times New Roman"/>
          <w:color w:val="000000" w:themeColor="text1"/>
          <w:kern w:val="24"/>
          <w:sz w:val="20"/>
          <w:szCs w:val="20"/>
        </w:rPr>
        <w:br w:type="page"/>
      </w:r>
    </w:p>
    <w:p w14:paraId="4CBE814E" w14:textId="6A3CEDFF" w:rsidR="006232D4" w:rsidRPr="006232D4" w:rsidRDefault="003D7132" w:rsidP="006232D4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918A36A" wp14:editId="2ED51996">
            <wp:extent cx="5202106" cy="3757494"/>
            <wp:effectExtent l="0" t="0" r="0" b="0"/>
            <wp:docPr id="2147688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684" cy="375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E53409" w14:textId="3BE4C15F" w:rsidR="009D608E" w:rsidRDefault="006232D4" w:rsidP="00B06A4D">
      <w:pPr>
        <w:spacing w:line="240" w:lineRule="auto"/>
        <w:jc w:val="center"/>
        <w:rPr>
          <w:rFonts w:ascii="Times New Roman" w:hAnsi="Times New Roman" w:cs="Times New Roman"/>
          <w:szCs w:val="22"/>
        </w:rPr>
      </w:pPr>
      <w:r w:rsidRPr="00EC0CCD">
        <w:rPr>
          <w:rFonts w:ascii="Times New Roman" w:hAnsi="Times New Roman" w:cs="Times New Roman" w:hint="eastAsia"/>
          <w:szCs w:val="22"/>
        </w:rPr>
        <w:t>Figure S2.</w:t>
      </w:r>
      <w:r w:rsidR="001718BB" w:rsidRPr="00EC0CCD">
        <w:rPr>
          <w:rFonts w:ascii="Times New Roman" w:hAnsi="Times New Roman" w:cs="Times New Roman" w:hint="eastAsia"/>
          <w:szCs w:val="22"/>
        </w:rPr>
        <w:t xml:space="preserve"> </w:t>
      </w:r>
      <w:r w:rsidRPr="00EC0CCD">
        <w:rPr>
          <w:rFonts w:ascii="Times New Roman" w:hAnsi="Times New Roman" w:cs="Times New Roman" w:hint="eastAsia"/>
          <w:szCs w:val="22"/>
        </w:rPr>
        <w:t xml:space="preserve">100 Vina molecular docking cluster </w:t>
      </w:r>
      <w:r w:rsidRPr="00EC0CCD">
        <w:rPr>
          <w:rFonts w:ascii="Times New Roman" w:hAnsi="Times New Roman" w:cs="Times New Roman"/>
          <w:szCs w:val="22"/>
        </w:rPr>
        <w:t>diagram</w:t>
      </w:r>
    </w:p>
    <w:p w14:paraId="4B3A5DF9" w14:textId="19340462" w:rsidR="00CB30BD" w:rsidRDefault="00CB30BD">
      <w:pPr>
        <w:widowControl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br w:type="page"/>
      </w:r>
    </w:p>
    <w:p w14:paraId="7B98DECB" w14:textId="75AD35A0" w:rsidR="00CB30BD" w:rsidRDefault="00CB30BD" w:rsidP="00B06A4D">
      <w:pPr>
        <w:spacing w:line="240" w:lineRule="auto"/>
        <w:jc w:val="center"/>
        <w:rPr>
          <w:rFonts w:ascii="Times New Roman" w:hAnsi="Times New Roman" w:cs="Times New Roman"/>
          <w:szCs w:val="22"/>
        </w:rPr>
      </w:pPr>
      <w:r w:rsidRPr="00CB30BD">
        <w:rPr>
          <w:rFonts w:ascii="Times New Roman" w:hAnsi="Times New Roman" w:cs="Times New Roman"/>
          <w:noProof/>
          <w:szCs w:val="22"/>
        </w:rPr>
        <w:lastRenderedPageBreak/>
        <w:drawing>
          <wp:inline distT="0" distB="0" distL="0" distR="0" wp14:anchorId="10EF327D" wp14:editId="1E2B94F1">
            <wp:extent cx="5274310" cy="3840480"/>
            <wp:effectExtent l="0" t="0" r="2540" b="762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D922F" w14:textId="531E9852" w:rsidR="00CB30BD" w:rsidRDefault="00CB30BD" w:rsidP="00B06A4D">
      <w:pPr>
        <w:spacing w:line="240" w:lineRule="auto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Figure S3</w:t>
      </w:r>
      <w:r w:rsidRPr="00CB30BD">
        <w:rPr>
          <w:rFonts w:ascii="Times New Roman" w:hAnsi="Times New Roman" w:cs="Times New Roman"/>
          <w:szCs w:val="22"/>
        </w:rPr>
        <w:t>. Kernel density estimation (KDE) plots (left) and scatter plots (right) of predicted values for active and decoy molecules using (</w:t>
      </w:r>
      <w:proofErr w:type="gramStart"/>
      <w:r w:rsidRPr="00CB30BD">
        <w:rPr>
          <w:rFonts w:ascii="Times New Roman" w:hAnsi="Times New Roman" w:cs="Times New Roman"/>
          <w:szCs w:val="22"/>
        </w:rPr>
        <w:t>A,B</w:t>
      </w:r>
      <w:proofErr w:type="gramEnd"/>
      <w:r w:rsidRPr="00CB30BD">
        <w:rPr>
          <w:rFonts w:ascii="Times New Roman" w:hAnsi="Times New Roman" w:cs="Times New Roman"/>
          <w:szCs w:val="22"/>
        </w:rPr>
        <w:t>)</w:t>
      </w:r>
      <w:proofErr w:type="spellStart"/>
      <w:proofErr w:type="gramStart"/>
      <w:r w:rsidRPr="00CB30BD">
        <w:rPr>
          <w:rFonts w:ascii="Times New Roman" w:hAnsi="Times New Roman" w:cs="Times New Roman"/>
          <w:szCs w:val="22"/>
        </w:rPr>
        <w:t>ConPLeX</w:t>
      </w:r>
      <w:proofErr w:type="spellEnd"/>
      <w:r w:rsidRPr="00CB30BD">
        <w:rPr>
          <w:rFonts w:ascii="Times New Roman" w:hAnsi="Times New Roman" w:cs="Times New Roman"/>
          <w:szCs w:val="22"/>
        </w:rPr>
        <w:t xml:space="preserve"> ,</w:t>
      </w:r>
      <w:proofErr w:type="gramEnd"/>
      <w:r w:rsidRPr="00CB30BD">
        <w:rPr>
          <w:rFonts w:ascii="Times New Roman" w:hAnsi="Times New Roman" w:cs="Times New Roman"/>
          <w:szCs w:val="22"/>
        </w:rPr>
        <w:t xml:space="preserve"> (</w:t>
      </w:r>
      <w:proofErr w:type="gramStart"/>
      <w:r w:rsidRPr="00CB30BD">
        <w:rPr>
          <w:rFonts w:ascii="Times New Roman" w:hAnsi="Times New Roman" w:cs="Times New Roman"/>
          <w:szCs w:val="22"/>
        </w:rPr>
        <w:t>C,D</w:t>
      </w:r>
      <w:proofErr w:type="gramEnd"/>
      <w:r w:rsidRPr="00CB30BD">
        <w:rPr>
          <w:rFonts w:ascii="Times New Roman" w:hAnsi="Times New Roman" w:cs="Times New Roman"/>
          <w:szCs w:val="22"/>
        </w:rPr>
        <w:t>)KPGT, and (</w:t>
      </w:r>
      <w:proofErr w:type="gramStart"/>
      <w:r w:rsidRPr="00CB30BD">
        <w:rPr>
          <w:rFonts w:ascii="Times New Roman" w:hAnsi="Times New Roman" w:cs="Times New Roman"/>
          <w:szCs w:val="22"/>
        </w:rPr>
        <w:t>E,F</w:t>
      </w:r>
      <w:proofErr w:type="gramEnd"/>
      <w:r w:rsidRPr="00CB30BD">
        <w:rPr>
          <w:rFonts w:ascii="Times New Roman" w:hAnsi="Times New Roman" w:cs="Times New Roman"/>
          <w:szCs w:val="22"/>
        </w:rPr>
        <w:t>)Vina.</w:t>
      </w:r>
    </w:p>
    <w:p w14:paraId="1CE10287" w14:textId="5E85AB84" w:rsidR="00076583" w:rsidRPr="00076583" w:rsidRDefault="00076583" w:rsidP="00A714F6">
      <w:pPr>
        <w:spacing w:line="360" w:lineRule="auto"/>
        <w:rPr>
          <w:rFonts w:ascii="Times New Roman" w:hAnsi="Times New Roman" w:cs="Times New Roman"/>
          <w:sz w:val="24"/>
          <w:szCs w:val="22"/>
        </w:rPr>
      </w:pPr>
      <w:r w:rsidRPr="00076583">
        <w:rPr>
          <w:rFonts w:ascii="Times New Roman" w:hAnsi="Times New Roman" w:cs="Times New Roman"/>
          <w:sz w:val="24"/>
        </w:rPr>
        <w:t xml:space="preserve">We evaluated the ability of different models to identify decoy molecules using Kernel Density Estimation (KDE) curves and scatter plots of predicted values. As shown in Figure </w:t>
      </w:r>
      <w:r w:rsidR="007F43D6">
        <w:rPr>
          <w:rFonts w:ascii="Times New Roman" w:hAnsi="Times New Roman" w:cs="Times New Roman"/>
          <w:sz w:val="24"/>
        </w:rPr>
        <w:t>S3</w:t>
      </w:r>
      <w:r w:rsidRPr="00076583">
        <w:rPr>
          <w:rFonts w:ascii="Times New Roman" w:hAnsi="Times New Roman" w:cs="Times New Roman"/>
          <w:sz w:val="24"/>
        </w:rPr>
        <w:t xml:space="preserve">A, the predicted values for decoy molecules by the </w:t>
      </w:r>
      <w:proofErr w:type="spellStart"/>
      <w:r w:rsidRPr="00076583">
        <w:rPr>
          <w:rFonts w:ascii="Times New Roman" w:hAnsi="Times New Roman" w:cs="Times New Roman"/>
          <w:sz w:val="24"/>
        </w:rPr>
        <w:t>ConPLeX</w:t>
      </w:r>
      <w:proofErr w:type="spellEnd"/>
      <w:r w:rsidRPr="00076583">
        <w:rPr>
          <w:rFonts w:ascii="Times New Roman" w:hAnsi="Times New Roman" w:cs="Times New Roman"/>
          <w:sz w:val="24"/>
        </w:rPr>
        <w:t xml:space="preserve"> model are highly concentrated near zero, indicating that the model effectively identifies most decoy molecules and predicts them as inactive. In Figure </w:t>
      </w:r>
      <w:r w:rsidR="007F43D6">
        <w:rPr>
          <w:rFonts w:ascii="Times New Roman" w:hAnsi="Times New Roman" w:cs="Times New Roman"/>
          <w:sz w:val="24"/>
        </w:rPr>
        <w:t>S3</w:t>
      </w:r>
      <w:r w:rsidRPr="00076583">
        <w:rPr>
          <w:rFonts w:ascii="Times New Roman" w:hAnsi="Times New Roman" w:cs="Times New Roman"/>
          <w:sz w:val="24"/>
        </w:rPr>
        <w:t>C, the KDE curve of the KPGT model shows that the predicted pIC</w:t>
      </w:r>
      <w:r w:rsidRPr="00CF52D5">
        <w:rPr>
          <w:rFonts w:ascii="Times New Roman" w:hAnsi="Times New Roman" w:cs="Times New Roman"/>
          <w:sz w:val="24"/>
          <w:vertAlign w:val="subscript"/>
        </w:rPr>
        <w:t>50</w:t>
      </w:r>
      <w:r w:rsidRPr="00076583">
        <w:rPr>
          <w:rFonts w:ascii="Times New Roman" w:hAnsi="Times New Roman" w:cs="Times New Roman"/>
          <w:sz w:val="24"/>
        </w:rPr>
        <w:t xml:space="preserve"> values for active molecules are overall shifted to the right, significantly higher than those of decoy molecules, which aligns well with real-world expectations. As shown in Figure </w:t>
      </w:r>
      <w:r w:rsidR="0028668E">
        <w:rPr>
          <w:rFonts w:ascii="Times New Roman" w:hAnsi="Times New Roman" w:cs="Times New Roman"/>
          <w:sz w:val="24"/>
        </w:rPr>
        <w:t>S3</w:t>
      </w:r>
      <w:r w:rsidRPr="00076583">
        <w:rPr>
          <w:rFonts w:ascii="Times New Roman" w:hAnsi="Times New Roman" w:cs="Times New Roman"/>
          <w:sz w:val="24"/>
        </w:rPr>
        <w:t xml:space="preserve">E, by contrast, </w:t>
      </w:r>
      <w:proofErr w:type="spellStart"/>
      <w:r w:rsidRPr="00076583">
        <w:rPr>
          <w:rFonts w:ascii="Times New Roman" w:hAnsi="Times New Roman" w:cs="Times New Roman"/>
          <w:sz w:val="24"/>
        </w:rPr>
        <w:t>AutoDock</w:t>
      </w:r>
      <w:proofErr w:type="spellEnd"/>
      <w:r w:rsidRPr="00076583">
        <w:rPr>
          <w:rFonts w:ascii="Times New Roman" w:hAnsi="Times New Roman" w:cs="Times New Roman"/>
          <w:sz w:val="24"/>
        </w:rPr>
        <w:t xml:space="preserve"> Vina, a traditional molecular docking method, exhibits relatively poor discriminative ability. The KDE curves for active and decoy molecules largely overlap, with almost no clear boundary. Of course, there is a possibility that </w:t>
      </w:r>
      <w:proofErr w:type="spellStart"/>
      <w:r w:rsidRPr="00076583">
        <w:rPr>
          <w:rFonts w:ascii="Times New Roman" w:hAnsi="Times New Roman" w:cs="Times New Roman"/>
          <w:sz w:val="24"/>
        </w:rPr>
        <w:t>ConPLeX</w:t>
      </w:r>
      <w:proofErr w:type="spellEnd"/>
      <w:r w:rsidRPr="00076583">
        <w:rPr>
          <w:rFonts w:ascii="Times New Roman" w:hAnsi="Times New Roman" w:cs="Times New Roman"/>
          <w:sz w:val="24"/>
        </w:rPr>
        <w:t xml:space="preserve"> was trained using active molecules from the DUDE dataset. However, KPGT was barely trained with decoy molecules, so overall, we believe that combining these three models may offer certain advantages.</w:t>
      </w:r>
    </w:p>
    <w:p w14:paraId="302C8143" w14:textId="3089DA57" w:rsidR="00B035CE" w:rsidRDefault="009D608E" w:rsidP="000659D6">
      <w:pPr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 w:rsidR="00B035CE" w:rsidRPr="00B035CE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852CE0C" wp14:editId="4FA598E7">
            <wp:extent cx="2886324" cy="7215811"/>
            <wp:effectExtent l="0" t="0" r="9525" b="4445"/>
            <wp:docPr id="1" name="图片 1" descr="C:\Users\hy\Documents\WeChat Files\wxid_6z7owm0b82bz12\FileStorage\Temp\041cc802e9ed95efab24f6d5b8ce9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y\Documents\WeChat Files\wxid_6z7owm0b82bz12\FileStorage\Temp\041cc802e9ed95efab24f6d5b8ce94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110" cy="723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ABD71" w14:textId="67231B42" w:rsidR="00B035CE" w:rsidRDefault="00432546" w:rsidP="00B035CE">
      <w:pPr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2"/>
        </w:rPr>
        <w:t>Figure S4</w:t>
      </w:r>
      <w:r w:rsidR="00B035CE" w:rsidRPr="00EC0CCD">
        <w:rPr>
          <w:rFonts w:ascii="Times New Roman" w:hAnsi="Times New Roman" w:cs="Times New Roman" w:hint="eastAsia"/>
          <w:szCs w:val="22"/>
        </w:rPr>
        <w:t xml:space="preserve">. </w:t>
      </w:r>
      <w:r w:rsidR="00B035CE" w:rsidRPr="00EC0CCD">
        <w:rPr>
          <w:rFonts w:ascii="Times New Roman" w:hAnsi="Times New Roman" w:cs="Times New Roman"/>
          <w:szCs w:val="22"/>
        </w:rPr>
        <w:t>Dictionary of Secondary Structure of Proteins</w:t>
      </w:r>
    </w:p>
    <w:p w14:paraId="581F37DF" w14:textId="79ADEEA4" w:rsidR="00CB30BD" w:rsidRDefault="00CB30BD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8D9A996" w14:textId="77777777" w:rsidR="00432546" w:rsidRPr="00BF36C7" w:rsidRDefault="00432546" w:rsidP="00432546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4283FFD" wp14:editId="2D06BD04">
            <wp:extent cx="5382883" cy="703698"/>
            <wp:effectExtent l="0" t="0" r="8890" b="1270"/>
            <wp:docPr id="4121245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558" b="51983"/>
                    <a:stretch/>
                  </pic:blipFill>
                  <pic:spPr bwMode="auto">
                    <a:xfrm>
                      <a:off x="0" y="0"/>
                      <a:ext cx="5586292" cy="73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4BCDEF" w14:textId="615AB01C" w:rsidR="00432546" w:rsidRPr="00432546" w:rsidRDefault="0029012D" w:rsidP="00432546">
      <w:pPr>
        <w:widowControl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Figure S5</w:t>
      </w:r>
      <w:r w:rsidR="00432546" w:rsidRPr="00432546">
        <w:rPr>
          <w:rFonts w:ascii="Times New Roman" w:hAnsi="Times New Roman" w:cs="Times New Roman"/>
          <w:szCs w:val="22"/>
        </w:rPr>
        <w:t xml:space="preserve">. Time-dependent distance measurements between Glu206 and Ser592 were used to monitor the conformational dynamics of the DPP4 propeller flap during </w:t>
      </w:r>
      <w:proofErr w:type="spellStart"/>
      <w:r w:rsidR="00432546" w:rsidRPr="00432546">
        <w:rPr>
          <w:rFonts w:ascii="Times New Roman" w:hAnsi="Times New Roman" w:cs="Times New Roman"/>
          <w:szCs w:val="22"/>
        </w:rPr>
        <w:t>GaMD</w:t>
      </w:r>
      <w:proofErr w:type="spellEnd"/>
      <w:r w:rsidR="00432546" w:rsidRPr="00432546">
        <w:rPr>
          <w:rFonts w:ascii="Times New Roman" w:hAnsi="Times New Roman" w:cs="Times New Roman"/>
          <w:szCs w:val="22"/>
        </w:rPr>
        <w:t xml:space="preserve"> simulations.</w:t>
      </w:r>
    </w:p>
    <w:p w14:paraId="20A909DC" w14:textId="77777777" w:rsidR="00B035CE" w:rsidRPr="00432546" w:rsidRDefault="00B035CE" w:rsidP="00B035CE">
      <w:pPr>
        <w:widowControl/>
        <w:jc w:val="center"/>
        <w:rPr>
          <w:rFonts w:ascii="Times New Roman" w:hAnsi="Times New Roman" w:cs="Times New Roman"/>
        </w:rPr>
      </w:pPr>
    </w:p>
    <w:p w14:paraId="079E2350" w14:textId="77777777" w:rsidR="00BA6EC0" w:rsidRDefault="00BA6EC0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F5C16E9" w14:textId="6625BDDB" w:rsidR="00BA6EC0" w:rsidRDefault="00BA6EC0" w:rsidP="00B035CE">
      <w:pPr>
        <w:jc w:val="center"/>
        <w:rPr>
          <w:rFonts w:ascii="Times New Roman" w:hAnsi="Times New Roman" w:cs="Times New Roman"/>
        </w:rPr>
      </w:pPr>
      <w:r w:rsidRPr="00BA6EC0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0F16614" wp14:editId="3A55CB0E">
            <wp:extent cx="5274310" cy="188595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B0AF1" w14:textId="42F70DBB" w:rsidR="009D608E" w:rsidRPr="004B3309" w:rsidRDefault="00BA6EC0" w:rsidP="004B3309">
      <w:pPr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</w:rPr>
        <w:t>Figure S6</w:t>
      </w:r>
      <w:r w:rsidRPr="00BA6EC0">
        <w:rPr>
          <w:rFonts w:ascii="Times New Roman" w:hAnsi="Times New Roman" w:cs="Times New Roman"/>
        </w:rPr>
        <w:t xml:space="preserve">. Representative binding conformations of four ligands at their PMF minima identified from </w:t>
      </w:r>
      <w:proofErr w:type="spellStart"/>
      <w:r w:rsidRPr="00BA6EC0">
        <w:rPr>
          <w:rFonts w:ascii="Times New Roman" w:hAnsi="Times New Roman" w:cs="Times New Roman"/>
        </w:rPr>
        <w:t>LiGaMD</w:t>
      </w:r>
      <w:proofErr w:type="spellEnd"/>
      <w:r w:rsidRPr="00BA6EC0">
        <w:rPr>
          <w:rFonts w:ascii="Times New Roman" w:hAnsi="Times New Roman" w:cs="Times New Roman"/>
        </w:rPr>
        <w:t xml:space="preserve"> simulations.</w:t>
      </w:r>
      <w:r w:rsidR="00B035CE">
        <w:rPr>
          <w:rFonts w:ascii="Times New Roman" w:hAnsi="Times New Roman" w:cs="Times New Roman"/>
        </w:rPr>
        <w:br w:type="page"/>
      </w:r>
    </w:p>
    <w:p w14:paraId="42627F9A" w14:textId="77777777" w:rsidR="003E066B" w:rsidRPr="00EC0CCD" w:rsidRDefault="003E066B" w:rsidP="00AB33A0">
      <w:pPr>
        <w:spacing w:after="0" w:line="240" w:lineRule="auto"/>
        <w:jc w:val="center"/>
        <w:rPr>
          <w:rFonts w:ascii="Times New Roman" w:eastAsia="等线" w:hAnsi="Times New Roman" w:cs="Times New Roman"/>
          <w:kern w:val="0"/>
          <w:szCs w:val="22"/>
          <w14:ligatures w14:val="none"/>
        </w:rPr>
      </w:pPr>
      <w:r w:rsidRPr="00EC0CCD">
        <w:rPr>
          <w:rFonts w:ascii="Times New Roman" w:eastAsia="等线" w:hAnsi="Times New Roman" w:cs="Times New Roman"/>
          <w:kern w:val="0"/>
          <w:szCs w:val="22"/>
          <w14:ligatures w14:val="none"/>
        </w:rPr>
        <w:lastRenderedPageBreak/>
        <w:t>Table S1. Small molecule DPP4 screening model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94"/>
        <w:gridCol w:w="1277"/>
        <w:gridCol w:w="1558"/>
        <w:gridCol w:w="1096"/>
        <w:gridCol w:w="2022"/>
        <w:gridCol w:w="1359"/>
      </w:tblGrid>
      <w:tr w:rsidR="00135ED4" w:rsidRPr="00F8486A" w14:paraId="15E6D7E9" w14:textId="77777777" w:rsidTr="00135ED4">
        <w:trPr>
          <w:trHeight w:val="290"/>
          <w:jc w:val="center"/>
        </w:trPr>
        <w:tc>
          <w:tcPr>
            <w:tcW w:w="59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61E58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Model Name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70948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Algorithms</w:t>
            </w:r>
          </w:p>
        </w:tc>
        <w:tc>
          <w:tcPr>
            <w:tcW w:w="93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BFDE6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Input</w:t>
            </w:r>
          </w:p>
        </w:tc>
        <w:tc>
          <w:tcPr>
            <w:tcW w:w="66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84C3A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Metrics</w:t>
            </w:r>
          </w:p>
        </w:tc>
        <w:tc>
          <w:tcPr>
            <w:tcW w:w="12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212795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Reference</w:t>
            </w:r>
          </w:p>
        </w:tc>
        <w:tc>
          <w:tcPr>
            <w:tcW w:w="81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86927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Date &amp; Time</w:t>
            </w:r>
          </w:p>
        </w:tc>
      </w:tr>
      <w:tr w:rsidR="00135ED4" w:rsidRPr="00F8486A" w14:paraId="39F589A6" w14:textId="77777777" w:rsidTr="00135ED4">
        <w:trPr>
          <w:trHeight w:val="320"/>
          <w:jc w:val="center"/>
        </w:trPr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5B7D8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SVMDLF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ACE23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SVM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2C113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MACCS structure fingerprint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5BDC2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gramStart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TP,FN</w:t>
            </w:r>
            <w:proofErr w:type="gramEnd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,</w:t>
            </w:r>
            <w:proofErr w:type="gramStart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FP,TN</w:t>
            </w:r>
            <w:proofErr w:type="gramEnd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,</w:t>
            </w:r>
            <w:proofErr w:type="gramStart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SE,SP</w:t>
            </w:r>
            <w:proofErr w:type="gramEnd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,Q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D9CBC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hyperlink r:id="rId12" w:tooltip="https://onlinelibrary.wiley.com/doi/10.1111/cbdd.13037" w:history="1">
              <w:r w:rsidRPr="00F8486A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  <w14:ligatures w14:val="none"/>
                </w:rPr>
                <w:t>https://onlinelibrary.wiley.com/doi/10.1111/cbdd.13037</w:t>
              </w:r>
            </w:hyperlink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2A94B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2017</w:t>
            </w:r>
          </w:p>
        </w:tc>
      </w:tr>
      <w:tr w:rsidR="00135ED4" w:rsidRPr="00F8486A" w14:paraId="7F73684A" w14:textId="77777777" w:rsidTr="00135ED4">
        <w:trPr>
          <w:trHeight w:val="640"/>
          <w:jc w:val="center"/>
        </w:trPr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E7242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Machine Learning Model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2165C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NB, RP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08CBB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molecular properties and topological fingerprints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3BC73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ACC = 0.828 MCC = 0.649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14B6F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hyperlink r:id="rId13" w:tooltip="https://link.springer.com/article/10.1007/s10822-017-0009-6" w:history="1">
              <w:r w:rsidRPr="00F8486A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  <w14:ligatures w14:val="none"/>
                </w:rPr>
                <w:t>https://link.springer.com/article/10.1007/s10822-017-0009-6</w:t>
              </w:r>
            </w:hyperlink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7E25A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2017</w:t>
            </w:r>
          </w:p>
        </w:tc>
      </w:tr>
      <w:tr w:rsidR="00135ED4" w:rsidRPr="00F8486A" w14:paraId="62E6621A" w14:textId="77777777" w:rsidTr="00135ED4">
        <w:trPr>
          <w:trHeight w:val="280"/>
          <w:jc w:val="center"/>
        </w:trPr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4D7AC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TVBGSA_QSAR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28D77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TVBGSA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9FFF9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BGSA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DC2F4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MSEtrain</w:t>
            </w:r>
            <w:proofErr w:type="spellEnd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=3.</w:t>
            </w:r>
            <w:proofErr w:type="gramStart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57,MSEtest</w:t>
            </w:r>
            <w:proofErr w:type="gramEnd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=4.306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D0021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hyperlink r:id="rId14" w:tooltip="https://doi.org/10.1080/1062936X.2019.1607899" w:history="1">
              <w:r w:rsidRPr="00F8486A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  <w14:ligatures w14:val="none"/>
                </w:rPr>
                <w:t>https://doi.org/10.1080/1062936X.2019.1607899</w:t>
              </w:r>
            </w:hyperlink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AC4A3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2019</w:t>
            </w:r>
          </w:p>
        </w:tc>
      </w:tr>
      <w:tr w:rsidR="00135ED4" w:rsidRPr="00F8486A" w14:paraId="386DA829" w14:textId="77777777" w:rsidTr="00135ED4">
        <w:trPr>
          <w:trHeight w:val="480"/>
          <w:jc w:val="center"/>
        </w:trPr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E64D3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Classification </w:t>
            </w:r>
            <w:proofErr w:type="spellStart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Analysis_SDN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EC346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gramStart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SVM,DT</w:t>
            </w:r>
            <w:proofErr w:type="gramEnd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,NN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63F5B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Dimensionally reduced fingerprint topology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94141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Sensitivity=0.803</w:t>
            </w: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；</w:t>
            </w: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MCC=0.826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9211F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hyperlink r:id="rId15" w:tooltip="https://doi.org/10.1063/5.0030748" w:history="1">
              <w:r w:rsidRPr="00F8486A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  <w14:ligatures w14:val="none"/>
                </w:rPr>
                <w:t>https://doi.org/10.1063/5.0030748</w:t>
              </w:r>
            </w:hyperlink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8792E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2020</w:t>
            </w:r>
          </w:p>
        </w:tc>
      </w:tr>
      <w:tr w:rsidR="00135ED4" w:rsidRPr="00F8486A" w14:paraId="1F89BEAA" w14:textId="77777777" w:rsidTr="00135ED4">
        <w:trPr>
          <w:trHeight w:val="960"/>
          <w:jc w:val="center"/>
        </w:trPr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90D8D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SVR_QSAR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9C033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gramStart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SVR,RF</w:t>
            </w:r>
            <w:proofErr w:type="gramEnd"/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F4689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RDKit</w:t>
            </w:r>
            <w:proofErr w:type="spellEnd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descriptor calculation, fingerprinting, and CDK fingerprints and molecular properties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1BFB9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ACC=0.922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500C4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hyperlink r:id="rId16" w:tooltip="https://doi.org/10.1016/j.compbiolchem.2021.107597" w:history="1">
              <w:r w:rsidRPr="00F8486A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  <w14:ligatures w14:val="none"/>
                </w:rPr>
                <w:t>https://doi.org/10.1016/j.compbiolchem.2021.107597</w:t>
              </w:r>
            </w:hyperlink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B0989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2021</w:t>
            </w:r>
          </w:p>
        </w:tc>
      </w:tr>
      <w:tr w:rsidR="00135ED4" w:rsidRPr="00F8486A" w14:paraId="37CA97EB" w14:textId="77777777" w:rsidTr="00135ED4">
        <w:trPr>
          <w:trHeight w:val="1280"/>
          <w:jc w:val="center"/>
        </w:trPr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436D6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Particle Swarm </w:t>
            </w:r>
            <w:proofErr w:type="spellStart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Optimization_SVM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85043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gramStart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POS,SVM</w:t>
            </w:r>
            <w:proofErr w:type="gramEnd"/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BEDBD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Molecular weight, polarity, water disease, volume, buried residues, and acceptable and normalized frequencies of α-helix and β-folding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C3C82" w14:textId="7A37B813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R2_train=0.79</w:t>
            </w:r>
          </w:p>
          <w:p w14:paraId="4BDA20B1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R2_test_set=0.85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4FB7F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hyperlink r:id="rId17" w:tooltip="https://doi.org/10.29207/resti.v6i6.4470" w:history="1">
              <w:r w:rsidRPr="00F8486A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  <w14:ligatures w14:val="none"/>
                </w:rPr>
                <w:t>https://doi.org/10.29207/resti.v6i6.4470</w:t>
              </w:r>
            </w:hyperlink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0FEC5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2022</w:t>
            </w:r>
          </w:p>
        </w:tc>
      </w:tr>
      <w:tr w:rsidR="00135ED4" w:rsidRPr="00F8486A" w14:paraId="40493A21" w14:textId="77777777" w:rsidTr="00135ED4">
        <w:trPr>
          <w:trHeight w:val="640"/>
          <w:jc w:val="center"/>
        </w:trPr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2EFBB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GA_SVM_QSAR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3BF36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gramStart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GA,SVM</w:t>
            </w:r>
            <w:proofErr w:type="gramEnd"/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B5236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proofErr w:type="gramStart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PaDEL;Descriptors</w:t>
            </w:r>
            <w:proofErr w:type="spellEnd"/>
            <w:proofErr w:type="gramEnd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such as AMR, nBondS2, and CICO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DA20F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ACC=0.9869</w:t>
            </w:r>
          </w:p>
          <w:p w14:paraId="307ED505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F-1=0.9871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EE3CE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hyperlink r:id="rId18" w:tooltip="https://doi.org/10.1109/ICoICT55009.2022.9914824" w:history="1">
              <w:r w:rsidRPr="00F8486A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  <w14:ligatures w14:val="none"/>
                </w:rPr>
                <w:t>https://doi.org/10.1109/ICoICT55009.2022.9914824</w:t>
              </w:r>
            </w:hyperlink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61827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2022</w:t>
            </w:r>
          </w:p>
        </w:tc>
      </w:tr>
      <w:tr w:rsidR="00135ED4" w:rsidRPr="00F8486A" w14:paraId="3E8BDBB5" w14:textId="77777777" w:rsidTr="00135ED4">
        <w:trPr>
          <w:trHeight w:val="800"/>
          <w:jc w:val="center"/>
        </w:trPr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7D309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DrugBAN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7F24F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gramStart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GCN,CNN</w:t>
            </w:r>
            <w:proofErr w:type="gramEnd"/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7AC13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2D molecular graphs representing the drug molecules and protein sequences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1138C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ACC=0.9832</w:t>
            </w: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；</w:t>
            </w:r>
            <w:proofErr w:type="spellStart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auPRC</w:t>
            </w:r>
            <w:proofErr w:type="spellEnd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=0.28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78FA5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hyperlink r:id="rId19" w:tooltip="https://doi.org/10.3390/molecules28217381" w:history="1">
              <w:r w:rsidRPr="00F8486A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  <w14:ligatures w14:val="none"/>
                </w:rPr>
                <w:t>https://doi.org/10.3390/molecules28217381</w:t>
              </w:r>
            </w:hyperlink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E5FBF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2023</w:t>
            </w:r>
          </w:p>
        </w:tc>
      </w:tr>
      <w:tr w:rsidR="00135ED4" w:rsidRPr="00F8486A" w14:paraId="42F5056D" w14:textId="77777777" w:rsidTr="00135ED4">
        <w:trPr>
          <w:trHeight w:val="970"/>
          <w:jc w:val="center"/>
        </w:trPr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886DF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GA_QSAR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AE3DE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GA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06480BB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QSAR </w:t>
            </w:r>
            <w:proofErr w:type="gramStart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model  was</w:t>
            </w:r>
            <w:proofErr w:type="gramEnd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composed of seven key molecular property </w:t>
            </w:r>
            <w:proofErr w:type="gramStart"/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parameter</w:t>
            </w:r>
            <w:proofErr w:type="gramEnd"/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B71E7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R2=0.816, MSE= 0.026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DA160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hyperlink r:id="rId20" w:tooltip="https://doi.org/10.1080/07391102.2023.2237594" w:history="1">
              <w:r w:rsidRPr="00F8486A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  <w14:ligatures w14:val="none"/>
                </w:rPr>
                <w:t>https://doi.org/10.1080/07391102.2023.2237594</w:t>
              </w:r>
            </w:hyperlink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4E6C0" w14:textId="77777777" w:rsidR="003E066B" w:rsidRPr="00F8486A" w:rsidRDefault="003E066B" w:rsidP="001D45D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8486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2023</w:t>
            </w:r>
          </w:p>
        </w:tc>
      </w:tr>
    </w:tbl>
    <w:p w14:paraId="61278E62" w14:textId="1CC80120" w:rsidR="00AB33A0" w:rsidRDefault="00AB33A0" w:rsidP="001740E0">
      <w:pPr>
        <w:widowControl/>
        <w:rPr>
          <w:rFonts w:hint="eastAsia"/>
        </w:rPr>
      </w:pPr>
    </w:p>
    <w:sectPr w:rsidR="00AB33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5708E" w14:textId="77777777" w:rsidR="00934CA1" w:rsidRDefault="00934CA1" w:rsidP="006232D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070A160" w14:textId="77777777" w:rsidR="00934CA1" w:rsidRDefault="00934CA1" w:rsidP="006232D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72EF7" w14:textId="77777777" w:rsidR="00934CA1" w:rsidRDefault="00934CA1" w:rsidP="006232D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E17E0E2" w14:textId="77777777" w:rsidR="00934CA1" w:rsidRDefault="00934CA1" w:rsidP="006232D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114"/>
    <w:rsid w:val="000334CF"/>
    <w:rsid w:val="000659D6"/>
    <w:rsid w:val="00076583"/>
    <w:rsid w:val="000769EB"/>
    <w:rsid w:val="0008455D"/>
    <w:rsid w:val="00087FEA"/>
    <w:rsid w:val="000A58ED"/>
    <w:rsid w:val="000B3811"/>
    <w:rsid w:val="000D06D0"/>
    <w:rsid w:val="000D4445"/>
    <w:rsid w:val="000D751E"/>
    <w:rsid w:val="000F183D"/>
    <w:rsid w:val="00105351"/>
    <w:rsid w:val="001077A3"/>
    <w:rsid w:val="001133FE"/>
    <w:rsid w:val="00135ED4"/>
    <w:rsid w:val="00137AB9"/>
    <w:rsid w:val="001718BB"/>
    <w:rsid w:val="001740E0"/>
    <w:rsid w:val="001A5929"/>
    <w:rsid w:val="001B6C35"/>
    <w:rsid w:val="001D45D2"/>
    <w:rsid w:val="001E68EC"/>
    <w:rsid w:val="002226CC"/>
    <w:rsid w:val="002369D7"/>
    <w:rsid w:val="00240D87"/>
    <w:rsid w:val="0024718F"/>
    <w:rsid w:val="00282BA7"/>
    <w:rsid w:val="00283C64"/>
    <w:rsid w:val="0028668E"/>
    <w:rsid w:val="0029012D"/>
    <w:rsid w:val="002C1C39"/>
    <w:rsid w:val="002C6563"/>
    <w:rsid w:val="003041AA"/>
    <w:rsid w:val="00386103"/>
    <w:rsid w:val="003D7132"/>
    <w:rsid w:val="003E066B"/>
    <w:rsid w:val="00432546"/>
    <w:rsid w:val="004372AC"/>
    <w:rsid w:val="00442B86"/>
    <w:rsid w:val="00453ACB"/>
    <w:rsid w:val="0046542E"/>
    <w:rsid w:val="004B3309"/>
    <w:rsid w:val="004D34BD"/>
    <w:rsid w:val="00503576"/>
    <w:rsid w:val="00513DD4"/>
    <w:rsid w:val="005201FD"/>
    <w:rsid w:val="00547537"/>
    <w:rsid w:val="0055352C"/>
    <w:rsid w:val="00560D2D"/>
    <w:rsid w:val="00577F58"/>
    <w:rsid w:val="00580428"/>
    <w:rsid w:val="005A40FB"/>
    <w:rsid w:val="005D204A"/>
    <w:rsid w:val="00602F8D"/>
    <w:rsid w:val="00604A32"/>
    <w:rsid w:val="006232D4"/>
    <w:rsid w:val="00630219"/>
    <w:rsid w:val="00655F8E"/>
    <w:rsid w:val="00690ACC"/>
    <w:rsid w:val="006A7437"/>
    <w:rsid w:val="006B1988"/>
    <w:rsid w:val="006C2ED7"/>
    <w:rsid w:val="006E4717"/>
    <w:rsid w:val="007177B0"/>
    <w:rsid w:val="0072033F"/>
    <w:rsid w:val="007271E7"/>
    <w:rsid w:val="007551A9"/>
    <w:rsid w:val="00771A5E"/>
    <w:rsid w:val="00792E2C"/>
    <w:rsid w:val="007977F9"/>
    <w:rsid w:val="007B3773"/>
    <w:rsid w:val="007C74EF"/>
    <w:rsid w:val="007F42C0"/>
    <w:rsid w:val="007F43D6"/>
    <w:rsid w:val="008313CA"/>
    <w:rsid w:val="0084546A"/>
    <w:rsid w:val="0089396E"/>
    <w:rsid w:val="009337C1"/>
    <w:rsid w:val="00934CA1"/>
    <w:rsid w:val="00940E9C"/>
    <w:rsid w:val="009472C1"/>
    <w:rsid w:val="0098512B"/>
    <w:rsid w:val="009D07E8"/>
    <w:rsid w:val="009D608E"/>
    <w:rsid w:val="00A02AE5"/>
    <w:rsid w:val="00A210B0"/>
    <w:rsid w:val="00A46BC9"/>
    <w:rsid w:val="00A714F6"/>
    <w:rsid w:val="00A87412"/>
    <w:rsid w:val="00AB33A0"/>
    <w:rsid w:val="00B035CE"/>
    <w:rsid w:val="00B06A4D"/>
    <w:rsid w:val="00BA6EC0"/>
    <w:rsid w:val="00BB1228"/>
    <w:rsid w:val="00C42CD6"/>
    <w:rsid w:val="00C4783E"/>
    <w:rsid w:val="00C62185"/>
    <w:rsid w:val="00CA0295"/>
    <w:rsid w:val="00CB30BD"/>
    <w:rsid w:val="00CD12AF"/>
    <w:rsid w:val="00CE0792"/>
    <w:rsid w:val="00CF2114"/>
    <w:rsid w:val="00CF52D5"/>
    <w:rsid w:val="00D113CD"/>
    <w:rsid w:val="00D13B5F"/>
    <w:rsid w:val="00D70603"/>
    <w:rsid w:val="00D921C2"/>
    <w:rsid w:val="00E1012B"/>
    <w:rsid w:val="00E60008"/>
    <w:rsid w:val="00E849AD"/>
    <w:rsid w:val="00EC0CCD"/>
    <w:rsid w:val="00ED54CA"/>
    <w:rsid w:val="00F141E7"/>
    <w:rsid w:val="00F26F9C"/>
    <w:rsid w:val="00F8486A"/>
    <w:rsid w:val="00FB36ED"/>
    <w:rsid w:val="00FF4B08"/>
    <w:rsid w:val="00FF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866C676"/>
  <w15:chartTrackingRefBased/>
  <w15:docId w15:val="{20D5683B-E7D5-44AE-8E17-ABF88590A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57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F211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2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211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11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211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11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211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211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211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F211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F21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F21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F211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F211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F211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F211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F211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F211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F211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F2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211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F21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21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F21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211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F211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F21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F211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F211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232D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232D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232D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232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link.springer.com/article/10.1007/s10822-017-0009-6" TargetMode="External"/><Relationship Id="rId18" Type="http://schemas.openxmlformats.org/officeDocument/2006/relationships/hyperlink" Target="https://doi.org/10.1109/ICoICT55009.2022.9914824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hyperlink" Target="https://onlinelibrary.wiley.com/doi/10.1111/cbdd.13037" TargetMode="External"/><Relationship Id="rId17" Type="http://schemas.openxmlformats.org/officeDocument/2006/relationships/hyperlink" Target="https://doi.org/10.29207/resti.v6i6.447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1016/j.compbiolchem.2021.107597" TargetMode="External"/><Relationship Id="rId20" Type="http://schemas.openxmlformats.org/officeDocument/2006/relationships/hyperlink" Target="https://doi.org/10.1080/07391102.2023.223759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yperlink" Target="https://doi.org/10.1063/5.0030748" TargetMode="External"/><Relationship Id="rId10" Type="http://schemas.openxmlformats.org/officeDocument/2006/relationships/image" Target="media/image5.png"/><Relationship Id="rId19" Type="http://schemas.openxmlformats.org/officeDocument/2006/relationships/hyperlink" Target="https://doi.org/10.3390/molecules28217381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yperlink" Target="https://doi.org/10.1080/1062936X.2019.160789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584</Words>
  <Characters>5107</Characters>
  <Application>Microsoft Office Word</Application>
  <DocSecurity>0</DocSecurity>
  <Lines>255</Lines>
  <Paragraphs>126</Paragraphs>
  <ScaleCrop>false</ScaleCrop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e59313</dc:creator>
  <cp:keywords/>
  <dc:description/>
  <cp:lastModifiedBy>zyan_0225@126.com</cp:lastModifiedBy>
  <cp:revision>41</cp:revision>
  <dcterms:created xsi:type="dcterms:W3CDTF">2024-10-01T11:51:00Z</dcterms:created>
  <dcterms:modified xsi:type="dcterms:W3CDTF">2025-05-25T08:46:00Z</dcterms:modified>
</cp:coreProperties>
</file>