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A8BFA6" w14:textId="029557CA" w:rsidR="00E91DFC" w:rsidRPr="004F7AFE" w:rsidRDefault="004F7AFE" w:rsidP="00E91DFC">
      <w:pPr>
        <w:rPr>
          <w:rFonts w:ascii="Times New Roman" w:hAnsi="Times New Roman" w:cs="Times New Roman"/>
          <w:lang w:val="es-ES"/>
        </w:rPr>
      </w:pPr>
      <w:r w:rsidRPr="004F7AFE">
        <w:rPr>
          <w:rFonts w:ascii="Times New Roman" w:hAnsi="Times New Roman" w:cs="Times New Roman"/>
          <w:lang w:val="es-ES"/>
        </w:rPr>
        <w:t xml:space="preserve">This translation in </w:t>
      </w:r>
      <w:r>
        <w:rPr>
          <w:rFonts w:ascii="Times New Roman" w:hAnsi="Times New Roman" w:cs="Times New Roman"/>
          <w:lang w:val="es-ES"/>
        </w:rPr>
        <w:t>spanish</w:t>
      </w:r>
      <w:r w:rsidRPr="004F7AFE">
        <w:rPr>
          <w:rFonts w:ascii="Times New Roman" w:hAnsi="Times New Roman" w:cs="Times New Roman"/>
          <w:lang w:val="es-ES"/>
        </w:rPr>
        <w:t xml:space="preserve"> was submitted by the authors and we reproduce it as supplied. It has not been peer reviewed. Our editorial processes have only been applied to the original abstract in English, which should serve as reference for this article. This translated abstract is published under the same licence as the article.</w:t>
      </w:r>
    </w:p>
    <w:p w14:paraId="456751F5" w14:textId="63CC79AF" w:rsidR="00E91DFC" w:rsidRPr="001D42D8" w:rsidRDefault="00E91DFC" w:rsidP="00E91DFC">
      <w:pPr>
        <w:rPr>
          <w:rFonts w:ascii="Times New Roman" w:hAnsi="Times New Roman" w:cs="Times New Roman"/>
          <w:b/>
          <w:bCs/>
          <w:lang w:val="es-ES"/>
        </w:rPr>
      </w:pPr>
      <w:r w:rsidRPr="001D42D8">
        <w:rPr>
          <w:rFonts w:ascii="Times New Roman" w:hAnsi="Times New Roman" w:cs="Times New Roman"/>
          <w:b/>
          <w:bCs/>
          <w:lang w:val="es-ES"/>
        </w:rPr>
        <w:t>Antecedentes</w:t>
      </w:r>
      <w:r w:rsidR="00E142F7" w:rsidRPr="001D42D8">
        <w:rPr>
          <w:rFonts w:ascii="Times New Roman" w:hAnsi="Times New Roman" w:cs="Times New Roman"/>
          <w:b/>
          <w:bCs/>
          <w:lang w:val="es-ES"/>
        </w:rPr>
        <w:t xml:space="preserve"> </w:t>
      </w:r>
      <w:r w:rsidRPr="001D42D8">
        <w:rPr>
          <w:rFonts w:ascii="Times New Roman" w:hAnsi="Times New Roman" w:cs="Times New Roman"/>
          <w:lang w:val="es-ES"/>
        </w:rPr>
        <w:t xml:space="preserve">Los géneros </w:t>
      </w:r>
      <w:r w:rsidRPr="001D42D8">
        <w:rPr>
          <w:rFonts w:ascii="Times New Roman" w:hAnsi="Times New Roman" w:cs="Times New Roman"/>
          <w:i/>
          <w:iCs/>
          <w:lang w:val="es-ES"/>
        </w:rPr>
        <w:t>Agathis</w:t>
      </w:r>
      <w:r w:rsidRPr="001D42D8">
        <w:rPr>
          <w:rFonts w:ascii="Times New Roman" w:hAnsi="Times New Roman" w:cs="Times New Roman"/>
          <w:lang w:val="es-ES"/>
        </w:rPr>
        <w:t xml:space="preserve"> (Coniferales: Araucariaceae) e </w:t>
      </w:r>
      <w:r w:rsidRPr="001D42D8">
        <w:rPr>
          <w:rFonts w:ascii="Times New Roman" w:hAnsi="Times New Roman" w:cs="Times New Roman"/>
          <w:i/>
          <w:iCs/>
          <w:lang w:val="es-ES"/>
        </w:rPr>
        <w:t>Hymenaea</w:t>
      </w:r>
      <w:r w:rsidRPr="001D42D8">
        <w:rPr>
          <w:rFonts w:ascii="Times New Roman" w:hAnsi="Times New Roman" w:cs="Times New Roman"/>
          <w:lang w:val="es-ES"/>
        </w:rPr>
        <w:t xml:space="preserve"> (Fabales: Fabaceae) incluyen especies de árboles productores de resina cruciales para estudios actuotafonómicos. Mientras ciertos ámbares del Cretácico probablemente se originaron </w:t>
      </w:r>
      <w:r w:rsidR="00E142F7" w:rsidRPr="001D42D8">
        <w:rPr>
          <w:rFonts w:ascii="Times New Roman" w:hAnsi="Times New Roman" w:cs="Times New Roman"/>
          <w:lang w:val="es-ES"/>
        </w:rPr>
        <w:t>de</w:t>
      </w:r>
      <w:r w:rsidRPr="001D42D8">
        <w:rPr>
          <w:rFonts w:ascii="Times New Roman" w:hAnsi="Times New Roman" w:cs="Times New Roman"/>
          <w:lang w:val="es-ES"/>
        </w:rPr>
        <w:t xml:space="preserve"> árboles </w:t>
      </w:r>
      <w:r w:rsidRPr="001D42D8">
        <w:rPr>
          <w:rFonts w:ascii="Times New Roman" w:hAnsi="Times New Roman" w:cs="Times New Roman"/>
          <w:i/>
          <w:iCs/>
          <w:lang w:val="es-ES"/>
        </w:rPr>
        <w:t>Agathis</w:t>
      </w:r>
      <w:r w:rsidRPr="001D42D8">
        <w:rPr>
          <w:rFonts w:ascii="Times New Roman" w:hAnsi="Times New Roman" w:cs="Times New Roman"/>
          <w:lang w:val="es-ES"/>
        </w:rPr>
        <w:t xml:space="preserve"> o afines, </w:t>
      </w:r>
      <w:r w:rsidRPr="001D42D8">
        <w:rPr>
          <w:rFonts w:ascii="Times New Roman" w:hAnsi="Times New Roman" w:cs="Times New Roman"/>
          <w:i/>
          <w:iCs/>
          <w:lang w:val="es-ES"/>
        </w:rPr>
        <w:t>Hymenaea</w:t>
      </w:r>
      <w:r w:rsidRPr="001D42D8">
        <w:rPr>
          <w:rFonts w:ascii="Times New Roman" w:hAnsi="Times New Roman" w:cs="Times New Roman"/>
          <w:lang w:val="es-ES"/>
        </w:rPr>
        <w:t xml:space="preserve"> es la fuente principal de muchos ámbares del Mioceno. Para este </w:t>
      </w:r>
      <w:r w:rsidR="001D42D8">
        <w:rPr>
          <w:rFonts w:ascii="Times New Roman" w:hAnsi="Times New Roman" w:cs="Times New Roman"/>
          <w:lang w:val="es-ES"/>
        </w:rPr>
        <w:t>e</w:t>
      </w:r>
      <w:r w:rsidR="001D42D8" w:rsidRPr="001D42D8">
        <w:rPr>
          <w:rFonts w:ascii="Times New Roman" w:hAnsi="Times New Roman" w:cs="Times New Roman"/>
          <w:lang w:val="es-ES"/>
        </w:rPr>
        <w:t>studio,</w:t>
      </w:r>
      <w:r w:rsidRPr="001D42D8">
        <w:rPr>
          <w:rFonts w:ascii="Times New Roman" w:hAnsi="Times New Roman" w:cs="Times New Roman"/>
          <w:lang w:val="es-ES"/>
        </w:rPr>
        <w:t xml:space="preserve"> se realizaron trabajos de campo en Nueva Caledonia y Madagascar para recolectar resina de Defaunación (resi</w:t>
      </w:r>
      <w:r w:rsidR="001D42D8">
        <w:rPr>
          <w:rFonts w:ascii="Times New Roman" w:hAnsi="Times New Roman" w:cs="Times New Roman"/>
          <w:lang w:val="es-ES"/>
        </w:rPr>
        <w:t>na producida después de 1760 d.</w:t>
      </w:r>
      <w:r w:rsidRPr="001D42D8">
        <w:rPr>
          <w:rFonts w:ascii="Times New Roman" w:hAnsi="Times New Roman" w:cs="Times New Roman"/>
          <w:lang w:val="es-ES"/>
        </w:rPr>
        <w:t>C.). Se recolectaron artrópodos con trampas adhesivas amarillas y trampas Malaise en Nueva Caledonia, Madagascar y México. Se analizaron ámbares del Cretácico y del Mioceno, copales (</w:t>
      </w:r>
      <w:r w:rsidR="001D42D8">
        <w:rPr>
          <w:rFonts w:ascii="Times New Roman" w:hAnsi="Times New Roman" w:cs="Times New Roman"/>
          <w:lang w:val="es-ES"/>
        </w:rPr>
        <w:t>desde hace 2,58 Ma a 1760 d.</w:t>
      </w:r>
      <w:r w:rsidRPr="001D42D8">
        <w:rPr>
          <w:rFonts w:ascii="Times New Roman" w:hAnsi="Times New Roman" w:cs="Times New Roman"/>
          <w:lang w:val="es-ES"/>
        </w:rPr>
        <w:t>C.) y resinas de Defaunación de diversas regiones para comparar los patrones de captura de artrópodos.</w:t>
      </w:r>
    </w:p>
    <w:p w14:paraId="27BFF5E7" w14:textId="1383F4B4" w:rsidR="00E91DFC" w:rsidRPr="001D42D8" w:rsidRDefault="00E91DFC" w:rsidP="00E91DFC">
      <w:pPr>
        <w:rPr>
          <w:rFonts w:ascii="Times New Roman" w:hAnsi="Times New Roman" w:cs="Times New Roman"/>
          <w:b/>
          <w:bCs/>
          <w:lang w:val="es-ES"/>
        </w:rPr>
      </w:pPr>
      <w:r w:rsidRPr="001D42D8">
        <w:rPr>
          <w:rFonts w:ascii="Times New Roman" w:hAnsi="Times New Roman" w:cs="Times New Roman"/>
          <w:b/>
          <w:bCs/>
          <w:lang w:val="es-ES"/>
        </w:rPr>
        <w:t>Resultados</w:t>
      </w:r>
      <w:r w:rsidR="00E142F7" w:rsidRPr="001D42D8">
        <w:rPr>
          <w:rFonts w:ascii="Times New Roman" w:hAnsi="Times New Roman" w:cs="Times New Roman"/>
          <w:b/>
          <w:bCs/>
          <w:lang w:val="es-ES"/>
        </w:rPr>
        <w:t xml:space="preserve"> </w:t>
      </w:r>
      <w:r w:rsidRPr="001D42D8">
        <w:rPr>
          <w:rFonts w:ascii="Times New Roman" w:hAnsi="Times New Roman" w:cs="Times New Roman"/>
          <w:lang w:val="es-ES"/>
        </w:rPr>
        <w:t xml:space="preserve">Los resultados actuotafonómicos muestran un menor número de artrópodos atrapados en la resina de Defaunación de </w:t>
      </w:r>
      <w:r w:rsidRPr="001D42D8">
        <w:rPr>
          <w:rFonts w:ascii="Times New Roman" w:hAnsi="Times New Roman" w:cs="Times New Roman"/>
          <w:i/>
          <w:iCs/>
          <w:lang w:val="es-ES"/>
        </w:rPr>
        <w:t>Agathis</w:t>
      </w:r>
      <w:r w:rsidRPr="001D42D8">
        <w:rPr>
          <w:rFonts w:ascii="Times New Roman" w:hAnsi="Times New Roman" w:cs="Times New Roman"/>
          <w:lang w:val="es-ES"/>
        </w:rPr>
        <w:t>, con distribución no uniforme, en comparación con los artrópodos abundantes y uniformemente distribuidos en la resina de</w:t>
      </w:r>
      <w:r w:rsidR="001D42D8">
        <w:rPr>
          <w:rFonts w:ascii="Times New Roman" w:hAnsi="Times New Roman" w:cs="Times New Roman"/>
          <w:lang w:val="es-ES"/>
        </w:rPr>
        <w:t xml:space="preserve"> Defaunación de</w:t>
      </w:r>
      <w:r w:rsidRPr="001D42D8">
        <w:rPr>
          <w:rFonts w:ascii="Times New Roman" w:hAnsi="Times New Roman" w:cs="Times New Roman"/>
          <w:lang w:val="es-ES"/>
        </w:rPr>
        <w:t xml:space="preserve"> </w:t>
      </w:r>
      <w:r w:rsidRPr="001D42D8">
        <w:rPr>
          <w:rFonts w:ascii="Times New Roman" w:hAnsi="Times New Roman" w:cs="Times New Roman"/>
          <w:i/>
          <w:iCs/>
          <w:lang w:val="es-ES"/>
        </w:rPr>
        <w:t>Hymenaea</w:t>
      </w:r>
      <w:r w:rsidRPr="001D42D8">
        <w:rPr>
          <w:rFonts w:ascii="Times New Roman" w:hAnsi="Times New Roman" w:cs="Times New Roman"/>
          <w:lang w:val="es-ES"/>
        </w:rPr>
        <w:t xml:space="preserve">. El menor número de inclusiones en la resina </w:t>
      </w:r>
      <w:r w:rsidR="001D42D8" w:rsidRPr="001D42D8">
        <w:rPr>
          <w:rFonts w:ascii="Times New Roman" w:hAnsi="Times New Roman" w:cs="Times New Roman"/>
          <w:lang w:val="es-ES"/>
        </w:rPr>
        <w:t>producida en los</w:t>
      </w:r>
      <w:r w:rsidRPr="001D42D8">
        <w:rPr>
          <w:rFonts w:ascii="Times New Roman" w:hAnsi="Times New Roman" w:cs="Times New Roman"/>
          <w:lang w:val="es-ES"/>
        </w:rPr>
        <w:t xml:space="preserve"> tronco</w:t>
      </w:r>
      <w:r w:rsidR="001D42D8" w:rsidRPr="001D42D8">
        <w:rPr>
          <w:rFonts w:ascii="Times New Roman" w:hAnsi="Times New Roman" w:cs="Times New Roman"/>
          <w:lang w:val="es-ES"/>
        </w:rPr>
        <w:t>s</w:t>
      </w:r>
      <w:r w:rsidRPr="001D42D8">
        <w:rPr>
          <w:rFonts w:ascii="Times New Roman" w:hAnsi="Times New Roman" w:cs="Times New Roman"/>
          <w:lang w:val="es-ES"/>
        </w:rPr>
        <w:t xml:space="preserve"> de </w:t>
      </w:r>
      <w:r w:rsidRPr="001D42D8">
        <w:rPr>
          <w:rFonts w:ascii="Times New Roman" w:hAnsi="Times New Roman" w:cs="Times New Roman"/>
          <w:i/>
          <w:iCs/>
          <w:lang w:val="es-ES"/>
        </w:rPr>
        <w:t>Agathis</w:t>
      </w:r>
      <w:r w:rsidRPr="001D42D8">
        <w:rPr>
          <w:rFonts w:ascii="Times New Roman" w:hAnsi="Times New Roman" w:cs="Times New Roman"/>
          <w:lang w:val="es-ES"/>
        </w:rPr>
        <w:t xml:space="preserve"> se atribuye a su rápida polimerización. En las mismas condiciones experimentales, los artrópodos de la resina </w:t>
      </w:r>
      <w:r w:rsidR="001D42D8">
        <w:rPr>
          <w:rFonts w:ascii="Times New Roman" w:hAnsi="Times New Roman" w:cs="Times New Roman"/>
          <w:lang w:val="es-ES"/>
        </w:rPr>
        <w:t xml:space="preserve">de Defaunación </w:t>
      </w:r>
      <w:r w:rsidRPr="001D42D8">
        <w:rPr>
          <w:rFonts w:ascii="Times New Roman" w:hAnsi="Times New Roman" w:cs="Times New Roman"/>
          <w:lang w:val="es-ES"/>
        </w:rPr>
        <w:t xml:space="preserve">de </w:t>
      </w:r>
      <w:r w:rsidRPr="001D42D8">
        <w:rPr>
          <w:rFonts w:ascii="Times New Roman" w:hAnsi="Times New Roman" w:cs="Times New Roman"/>
          <w:i/>
          <w:iCs/>
          <w:lang w:val="es-ES"/>
        </w:rPr>
        <w:t>Agathis</w:t>
      </w:r>
      <w:r w:rsidRPr="001D42D8">
        <w:rPr>
          <w:rFonts w:ascii="Times New Roman" w:hAnsi="Times New Roman" w:cs="Times New Roman"/>
          <w:lang w:val="es-ES"/>
        </w:rPr>
        <w:t xml:space="preserve"> difieren de los capturados en trampas adhesivas </w:t>
      </w:r>
      <w:r w:rsidR="001D42D8">
        <w:rPr>
          <w:rFonts w:ascii="Times New Roman" w:hAnsi="Times New Roman" w:cs="Times New Roman"/>
          <w:lang w:val="es-ES"/>
        </w:rPr>
        <w:t xml:space="preserve">amarillas </w:t>
      </w:r>
      <w:r w:rsidRPr="001D42D8">
        <w:rPr>
          <w:rFonts w:ascii="Times New Roman" w:hAnsi="Times New Roman" w:cs="Times New Roman"/>
          <w:lang w:val="es-ES"/>
        </w:rPr>
        <w:t>y Malaise, mientras que los de la resina de</w:t>
      </w:r>
      <w:r w:rsidR="001D42D8">
        <w:rPr>
          <w:rFonts w:ascii="Times New Roman" w:hAnsi="Times New Roman" w:cs="Times New Roman"/>
          <w:lang w:val="es-ES"/>
        </w:rPr>
        <w:t xml:space="preserve"> Defaunación de</w:t>
      </w:r>
      <w:r w:rsidRPr="001D42D8">
        <w:rPr>
          <w:rFonts w:ascii="Times New Roman" w:hAnsi="Times New Roman" w:cs="Times New Roman"/>
          <w:lang w:val="es-ES"/>
        </w:rPr>
        <w:t xml:space="preserve"> </w:t>
      </w:r>
      <w:r w:rsidRPr="001D42D8">
        <w:rPr>
          <w:rFonts w:ascii="Times New Roman" w:hAnsi="Times New Roman" w:cs="Times New Roman"/>
          <w:i/>
          <w:iCs/>
          <w:lang w:val="es-ES"/>
        </w:rPr>
        <w:t>Hymenaea</w:t>
      </w:r>
      <w:r w:rsidRPr="001D42D8">
        <w:rPr>
          <w:rFonts w:ascii="Times New Roman" w:hAnsi="Times New Roman" w:cs="Times New Roman"/>
          <w:lang w:val="es-ES"/>
        </w:rPr>
        <w:t xml:space="preserve"> se asemejan a los de las trampas adhesivas amarillas.</w:t>
      </w:r>
    </w:p>
    <w:p w14:paraId="0A4966DA" w14:textId="5F2EB189" w:rsidR="00E91DFC" w:rsidRPr="001D42D8" w:rsidRDefault="00E91DFC" w:rsidP="00E91DFC">
      <w:pPr>
        <w:rPr>
          <w:rFonts w:ascii="Times New Roman" w:hAnsi="Times New Roman" w:cs="Times New Roman"/>
          <w:b/>
          <w:bCs/>
          <w:lang w:val="es-ES"/>
        </w:rPr>
      </w:pPr>
      <w:r w:rsidRPr="001D42D8">
        <w:rPr>
          <w:rFonts w:ascii="Times New Roman" w:hAnsi="Times New Roman" w:cs="Times New Roman"/>
          <w:b/>
          <w:bCs/>
          <w:lang w:val="es-ES"/>
        </w:rPr>
        <w:t>Conclusiones</w:t>
      </w:r>
      <w:r w:rsidR="00E142F7" w:rsidRPr="001D42D8">
        <w:rPr>
          <w:rFonts w:ascii="Times New Roman" w:hAnsi="Times New Roman" w:cs="Times New Roman"/>
          <w:b/>
          <w:bCs/>
          <w:lang w:val="es-ES"/>
        </w:rPr>
        <w:t xml:space="preserve"> </w:t>
      </w:r>
      <w:r w:rsidRPr="001D42D8">
        <w:rPr>
          <w:rFonts w:ascii="Times New Roman" w:hAnsi="Times New Roman" w:cs="Times New Roman"/>
          <w:lang w:val="es-ES"/>
        </w:rPr>
        <w:t xml:space="preserve">Estos hallazgos confirman los distintos patrones de captura de resina entre </w:t>
      </w:r>
      <w:r w:rsidRPr="001D42D8">
        <w:rPr>
          <w:rFonts w:ascii="Times New Roman" w:hAnsi="Times New Roman" w:cs="Times New Roman"/>
          <w:i/>
          <w:iCs/>
          <w:lang w:val="es-ES"/>
        </w:rPr>
        <w:t>Agathis</w:t>
      </w:r>
      <w:r w:rsidRPr="001D42D8">
        <w:rPr>
          <w:rFonts w:ascii="Times New Roman" w:hAnsi="Times New Roman" w:cs="Times New Roman"/>
          <w:lang w:val="es-ES"/>
        </w:rPr>
        <w:t xml:space="preserve"> e </w:t>
      </w:r>
      <w:r w:rsidRPr="001D42D8">
        <w:rPr>
          <w:rFonts w:ascii="Times New Roman" w:hAnsi="Times New Roman" w:cs="Times New Roman"/>
          <w:i/>
          <w:iCs/>
          <w:lang w:val="es-ES"/>
        </w:rPr>
        <w:t>Hymenaea</w:t>
      </w:r>
      <w:r w:rsidRPr="001D42D8">
        <w:rPr>
          <w:rFonts w:ascii="Times New Roman" w:hAnsi="Times New Roman" w:cs="Times New Roman"/>
          <w:lang w:val="es-ES"/>
        </w:rPr>
        <w:t xml:space="preserve">, con importantes implicaciones para la interpretación del registro </w:t>
      </w:r>
      <w:r w:rsidR="00D258FD">
        <w:rPr>
          <w:rFonts w:ascii="Times New Roman" w:hAnsi="Times New Roman" w:cs="Times New Roman"/>
          <w:lang w:val="es-ES"/>
        </w:rPr>
        <w:t>fósil en</w:t>
      </w:r>
      <w:r w:rsidRPr="001D42D8">
        <w:rPr>
          <w:rFonts w:ascii="Times New Roman" w:hAnsi="Times New Roman" w:cs="Times New Roman"/>
          <w:lang w:val="es-ES"/>
        </w:rPr>
        <w:t xml:space="preserve"> ámbar. La fauna atrapada por la resina de </w:t>
      </w:r>
      <w:r w:rsidRPr="001D42D8">
        <w:rPr>
          <w:rFonts w:ascii="Times New Roman" w:hAnsi="Times New Roman" w:cs="Times New Roman"/>
          <w:i/>
          <w:iCs/>
          <w:lang w:val="es-ES"/>
        </w:rPr>
        <w:t>Hymenaea</w:t>
      </w:r>
      <w:r w:rsidRPr="001D42D8">
        <w:rPr>
          <w:rFonts w:ascii="Times New Roman" w:hAnsi="Times New Roman" w:cs="Times New Roman"/>
          <w:lang w:val="es-ES"/>
        </w:rPr>
        <w:t xml:space="preserve"> se asemeja a la biocenosis de artrópodos que habita en el tronco y su entorno, lo que indica autoctonía y una estrecha relación con el ecosistema forestal, a diferencia de</w:t>
      </w:r>
      <w:r w:rsidR="00D258FD">
        <w:rPr>
          <w:rFonts w:ascii="Times New Roman" w:hAnsi="Times New Roman" w:cs="Times New Roman"/>
          <w:lang w:val="es-ES"/>
        </w:rPr>
        <w:t xml:space="preserve"> la fauna atrapada por la resina de</w:t>
      </w:r>
      <w:r w:rsidRPr="001D42D8">
        <w:rPr>
          <w:rFonts w:ascii="Times New Roman" w:hAnsi="Times New Roman" w:cs="Times New Roman"/>
          <w:lang w:val="es-ES"/>
        </w:rPr>
        <w:t xml:space="preserve"> </w:t>
      </w:r>
      <w:r w:rsidRPr="001D42D8">
        <w:rPr>
          <w:rFonts w:ascii="Times New Roman" w:hAnsi="Times New Roman" w:cs="Times New Roman"/>
          <w:i/>
          <w:iCs/>
          <w:lang w:val="es-ES"/>
        </w:rPr>
        <w:t>Agathis</w:t>
      </w:r>
      <w:r w:rsidRPr="001D42D8">
        <w:rPr>
          <w:rFonts w:ascii="Times New Roman" w:hAnsi="Times New Roman" w:cs="Times New Roman"/>
          <w:lang w:val="es-ES"/>
        </w:rPr>
        <w:t>. Estos resultados mejoran la comprensión de los sesgos</w:t>
      </w:r>
      <w:r w:rsidR="00D258FD">
        <w:rPr>
          <w:rFonts w:ascii="Times New Roman" w:hAnsi="Times New Roman" w:cs="Times New Roman"/>
          <w:lang w:val="es-ES"/>
        </w:rPr>
        <w:t xml:space="preserve"> de captura de artrópodos en </w:t>
      </w:r>
      <w:r w:rsidRPr="001D42D8">
        <w:rPr>
          <w:rFonts w:ascii="Times New Roman" w:hAnsi="Times New Roman" w:cs="Times New Roman"/>
          <w:lang w:val="es-ES"/>
        </w:rPr>
        <w:t xml:space="preserve">resina y llevan a reconsiderar </w:t>
      </w:r>
      <w:r w:rsidR="00D258FD">
        <w:rPr>
          <w:rFonts w:ascii="Times New Roman" w:hAnsi="Times New Roman" w:cs="Times New Roman"/>
          <w:lang w:val="es-ES"/>
        </w:rPr>
        <w:t xml:space="preserve">las </w:t>
      </w:r>
      <w:r w:rsidRPr="001D42D8">
        <w:rPr>
          <w:rFonts w:ascii="Times New Roman" w:hAnsi="Times New Roman" w:cs="Times New Roman"/>
          <w:lang w:val="es-ES"/>
        </w:rPr>
        <w:t>interpretaci</w:t>
      </w:r>
      <w:r w:rsidR="00D258FD">
        <w:rPr>
          <w:rFonts w:ascii="Times New Roman" w:hAnsi="Times New Roman" w:cs="Times New Roman"/>
          <w:lang w:val="es-ES"/>
        </w:rPr>
        <w:t>ones previas sobre las biocenose</w:t>
      </w:r>
      <w:r w:rsidRPr="001D42D8">
        <w:rPr>
          <w:rFonts w:ascii="Times New Roman" w:hAnsi="Times New Roman" w:cs="Times New Roman"/>
          <w:lang w:val="es-ES"/>
        </w:rPr>
        <w:t>s forestales del Cretácico.</w:t>
      </w:r>
    </w:p>
    <w:p w14:paraId="461C6A15" w14:textId="77777777" w:rsidR="00E91DFC" w:rsidRPr="001D42D8" w:rsidRDefault="00E91DFC" w:rsidP="00E91DFC">
      <w:pPr>
        <w:rPr>
          <w:rFonts w:ascii="Times New Roman" w:hAnsi="Times New Roman" w:cs="Times New Roman"/>
          <w:lang w:val="es-ES"/>
        </w:rPr>
      </w:pPr>
    </w:p>
    <w:sectPr w:rsidR="00E91DFC" w:rsidRPr="001D42D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DFC"/>
    <w:rsid w:val="001D42D8"/>
    <w:rsid w:val="002739C4"/>
    <w:rsid w:val="00312BC9"/>
    <w:rsid w:val="004F7AFE"/>
    <w:rsid w:val="00770350"/>
    <w:rsid w:val="00862B5D"/>
    <w:rsid w:val="008C132B"/>
    <w:rsid w:val="00BA5844"/>
    <w:rsid w:val="00D258FD"/>
    <w:rsid w:val="00E142F7"/>
    <w:rsid w:val="00E45795"/>
    <w:rsid w:val="00E91DF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75B18"/>
  <w15:chartTrackingRefBased/>
  <w15:docId w15:val="{6E8A147D-2201-4E8F-9DEF-61641D5F8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E91D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E91D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E91DF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E91DF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E91DF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E91DF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91DF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91DF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91DF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91DF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E91DF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E91DF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91DF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91DF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E91DF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91DF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91DF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91DFC"/>
    <w:rPr>
      <w:rFonts w:eastAsiaTheme="majorEastAsia" w:cstheme="majorBidi"/>
      <w:color w:val="272727" w:themeColor="text1" w:themeTint="D8"/>
    </w:rPr>
  </w:style>
  <w:style w:type="paragraph" w:styleId="Titel">
    <w:name w:val="Title"/>
    <w:basedOn w:val="Standard"/>
    <w:next w:val="Standard"/>
    <w:link w:val="TitelZchn"/>
    <w:uiPriority w:val="10"/>
    <w:qFormat/>
    <w:rsid w:val="00E91D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91DF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91DF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91DF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91DF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E91DFC"/>
    <w:rPr>
      <w:i/>
      <w:iCs/>
      <w:color w:val="404040" w:themeColor="text1" w:themeTint="BF"/>
    </w:rPr>
  </w:style>
  <w:style w:type="paragraph" w:styleId="Listenabsatz">
    <w:name w:val="List Paragraph"/>
    <w:basedOn w:val="Standard"/>
    <w:uiPriority w:val="34"/>
    <w:qFormat/>
    <w:rsid w:val="00E91DFC"/>
    <w:pPr>
      <w:ind w:left="720"/>
      <w:contextualSpacing/>
    </w:pPr>
  </w:style>
  <w:style w:type="character" w:styleId="IntensiveHervorhebung">
    <w:name w:val="Intense Emphasis"/>
    <w:basedOn w:val="Absatz-Standardschriftart"/>
    <w:uiPriority w:val="21"/>
    <w:qFormat/>
    <w:rsid w:val="00E91DFC"/>
    <w:rPr>
      <w:i/>
      <w:iCs/>
      <w:color w:val="0F4761" w:themeColor="accent1" w:themeShade="BF"/>
    </w:rPr>
  </w:style>
  <w:style w:type="paragraph" w:styleId="IntensivesZitat">
    <w:name w:val="Intense Quote"/>
    <w:basedOn w:val="Standard"/>
    <w:next w:val="Standard"/>
    <w:link w:val="IntensivesZitatZchn"/>
    <w:uiPriority w:val="30"/>
    <w:qFormat/>
    <w:rsid w:val="00E91D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E91DFC"/>
    <w:rPr>
      <w:i/>
      <w:iCs/>
      <w:color w:val="0F4761" w:themeColor="accent1" w:themeShade="BF"/>
    </w:rPr>
  </w:style>
  <w:style w:type="character" w:styleId="IntensiverVerweis">
    <w:name w:val="Intense Reference"/>
    <w:basedOn w:val="Absatz-Standardschriftart"/>
    <w:uiPriority w:val="32"/>
    <w:qFormat/>
    <w:rsid w:val="00E91DFC"/>
    <w:rPr>
      <w:b/>
      <w:bCs/>
      <w:smallCaps/>
      <w:color w:val="0F4761" w:themeColor="accent1" w:themeShade="BF"/>
      <w:spacing w:val="5"/>
    </w:rPr>
  </w:style>
  <w:style w:type="paragraph" w:styleId="StandardWeb">
    <w:name w:val="Normal (Web)"/>
    <w:basedOn w:val="Standard"/>
    <w:uiPriority w:val="99"/>
    <w:unhideWhenUsed/>
    <w:rsid w:val="00E142F7"/>
    <w:pPr>
      <w:spacing w:before="100" w:beforeAutospacing="1" w:after="100" w:afterAutospacing="1" w:line="240" w:lineRule="auto"/>
    </w:pPr>
    <w:rPr>
      <w:rFonts w:ascii="Times New Roman" w:eastAsia="Times New Roman" w:hAnsi="Times New Roman" w:cs="Times New Roman"/>
      <w:kern w:val="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6788455">
      <w:bodyDiv w:val="1"/>
      <w:marLeft w:val="0"/>
      <w:marRight w:val="0"/>
      <w:marTop w:val="0"/>
      <w:marBottom w:val="0"/>
      <w:divBdr>
        <w:top w:val="none" w:sz="0" w:space="0" w:color="auto"/>
        <w:left w:val="none" w:sz="0" w:space="0" w:color="auto"/>
        <w:bottom w:val="none" w:sz="0" w:space="0" w:color="auto"/>
        <w:right w:val="none" w:sz="0" w:space="0" w:color="auto"/>
      </w:divBdr>
    </w:div>
    <w:div w:id="922106050">
      <w:bodyDiv w:val="1"/>
      <w:marLeft w:val="0"/>
      <w:marRight w:val="0"/>
      <w:marTop w:val="0"/>
      <w:marBottom w:val="0"/>
      <w:divBdr>
        <w:top w:val="none" w:sz="0" w:space="0" w:color="auto"/>
        <w:left w:val="none" w:sz="0" w:space="0" w:color="auto"/>
        <w:bottom w:val="none" w:sz="0" w:space="0" w:color="auto"/>
        <w:right w:val="none" w:sz="0" w:space="0" w:color="auto"/>
      </w:divBdr>
    </w:div>
    <w:div w:id="1332298267">
      <w:bodyDiv w:val="1"/>
      <w:marLeft w:val="0"/>
      <w:marRight w:val="0"/>
      <w:marTop w:val="0"/>
      <w:marBottom w:val="0"/>
      <w:divBdr>
        <w:top w:val="none" w:sz="0" w:space="0" w:color="auto"/>
        <w:left w:val="none" w:sz="0" w:space="0" w:color="auto"/>
        <w:bottom w:val="none" w:sz="0" w:space="0" w:color="auto"/>
        <w:right w:val="none" w:sz="0" w:space="0" w:color="auto"/>
      </w:divBdr>
    </w:div>
    <w:div w:id="1558710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337</Words>
  <Characters>2125</Characters>
  <Application>Microsoft Office Word</Application>
  <DocSecurity>0</DocSecurity>
  <Lines>17</Lines>
  <Paragraphs>4</Paragraphs>
  <ScaleCrop>false</ScaleCrop>
  <HeadingPairs>
    <vt:vector size="4" baseType="variant">
      <vt:variant>
        <vt:lpstr>Título</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Solorzano Kraemer</dc:creator>
  <cp:keywords/>
  <dc:description/>
  <cp:lastModifiedBy>Monica Solorzano Kraemer</cp:lastModifiedBy>
  <cp:revision>2</cp:revision>
  <dcterms:created xsi:type="dcterms:W3CDTF">2025-10-24T06:29:00Z</dcterms:created>
  <dcterms:modified xsi:type="dcterms:W3CDTF">2025-10-24T06:29:00Z</dcterms:modified>
</cp:coreProperties>
</file>