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E5A78" w14:textId="77777777" w:rsidR="00117BD9" w:rsidRDefault="00AE6C21">
      <w:r>
        <w:rPr>
          <w:rFonts w:hint="eastAsia"/>
          <w:noProof/>
        </w:rPr>
        <w:drawing>
          <wp:inline distT="0" distB="0" distL="114300" distR="114300" wp14:anchorId="7BEE5A99" wp14:editId="7BEE5A9A">
            <wp:extent cx="4498975" cy="1996440"/>
            <wp:effectExtent l="0" t="0" r="22225" b="10160"/>
            <wp:docPr id="7" name="图片 7" descr="Supplementary 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ary Figure S1"/>
                    <pic:cNvPicPr>
                      <a:picLocks noChangeAspect="1"/>
                    </pic:cNvPicPr>
                  </pic:nvPicPr>
                  <pic:blipFill>
                    <a:blip r:embed="rId4"/>
                    <a:stretch>
                      <a:fillRect/>
                    </a:stretch>
                  </pic:blipFill>
                  <pic:spPr>
                    <a:xfrm>
                      <a:off x="0" y="0"/>
                      <a:ext cx="4498975" cy="1996440"/>
                    </a:xfrm>
                    <a:prstGeom prst="rect">
                      <a:avLst/>
                    </a:prstGeom>
                  </pic:spPr>
                </pic:pic>
              </a:graphicData>
            </a:graphic>
          </wp:inline>
        </w:drawing>
      </w:r>
    </w:p>
    <w:p w14:paraId="7BEE5A79" w14:textId="77777777" w:rsidR="00117BD9" w:rsidRDefault="00AE6C21">
      <w:pPr>
        <w:adjustRightInd w:val="0"/>
        <w:snapToGrid w:val="0"/>
        <w:rPr>
          <w:rFonts w:ascii="Times New Roman" w:hAnsi="Times New Roman" w:cs="Times New Roman"/>
          <w:bCs/>
          <w:lang w:bidi="en-US"/>
        </w:rPr>
      </w:pPr>
      <w:r>
        <w:rPr>
          <w:rFonts w:ascii="Times New Roman" w:eastAsia="宋体" w:hAnsi="Times New Roman" w:cs="Times New Roman"/>
          <w:b/>
          <w:szCs w:val="21"/>
          <w:lang w:bidi="en-US"/>
        </w:rPr>
        <w:t>Supplementary Figure S1. Endogenous melatonin levels are below the detection limit in human and mouse embryo culture media.</w:t>
      </w:r>
      <w:r>
        <w:rPr>
          <w:rFonts w:ascii="Times New Roman" w:eastAsia="宋体" w:hAnsi="Times New Roman" w:cs="Times New Roman"/>
          <w:bCs/>
          <w:szCs w:val="21"/>
          <w:lang w:bidi="en-US"/>
        </w:rPr>
        <w:t xml:space="preserve"> Mouse serum and embryo culture medium derived from an extended </w:t>
      </w:r>
      <w:r>
        <w:rPr>
          <w:rFonts w:ascii="Times New Roman" w:eastAsia="宋体" w:hAnsi="Times New Roman" w:cs="Times New Roman"/>
          <w:bCs/>
          <w:i/>
          <w:iCs/>
          <w:szCs w:val="21"/>
          <w:lang w:bidi="en-US"/>
        </w:rPr>
        <w:t>in vitro</w:t>
      </w:r>
      <w:r>
        <w:rPr>
          <w:rFonts w:ascii="Times New Roman" w:eastAsia="宋体" w:hAnsi="Times New Roman" w:cs="Times New Roman"/>
          <w:bCs/>
          <w:szCs w:val="21"/>
          <w:lang w:bidi="en-US"/>
        </w:rPr>
        <w:t xml:space="preserve"> embryo culture system were obtained, and melatonin levels were measured using ELISA (A). The dashed lines indicated the effective detection range of the kit (7.81–500 </w:t>
      </w:r>
      <w:proofErr w:type="spellStart"/>
      <w:r>
        <w:rPr>
          <w:rFonts w:ascii="Times New Roman" w:eastAsia="宋体" w:hAnsi="Times New Roman" w:cs="Times New Roman"/>
          <w:bCs/>
          <w:szCs w:val="21"/>
          <w:lang w:bidi="en-US"/>
        </w:rPr>
        <w:t>pg</w:t>
      </w:r>
      <w:proofErr w:type="spellEnd"/>
      <w:r>
        <w:rPr>
          <w:rFonts w:ascii="Times New Roman" w:eastAsia="宋体" w:hAnsi="Times New Roman" w:cs="Times New Roman"/>
          <w:bCs/>
          <w:szCs w:val="21"/>
          <w:lang w:bidi="en-US"/>
        </w:rPr>
        <w:t xml:space="preserve">/mL). Human follicular fluid, serum collected during the day, primary granulosa cell culture medium, and peri-implantation embryo culture medium were obtained, followed by an ELISA assessment to determine melatonin concentrations (B). The effective detection range of the kit (6.25–400 </w:t>
      </w:r>
      <w:proofErr w:type="spellStart"/>
      <w:r>
        <w:rPr>
          <w:rFonts w:ascii="Times New Roman" w:eastAsia="宋体" w:hAnsi="Times New Roman" w:cs="Times New Roman"/>
          <w:bCs/>
          <w:szCs w:val="21"/>
          <w:lang w:bidi="en-US"/>
        </w:rPr>
        <w:t>pg</w:t>
      </w:r>
      <w:proofErr w:type="spellEnd"/>
      <w:r>
        <w:rPr>
          <w:rFonts w:ascii="Times New Roman" w:eastAsia="宋体" w:hAnsi="Times New Roman" w:cs="Times New Roman"/>
          <w:bCs/>
          <w:szCs w:val="21"/>
          <w:lang w:bidi="en-US"/>
        </w:rPr>
        <w:t xml:space="preserve">/mL) is indicated by the dashed lines. </w:t>
      </w:r>
      <w:r w:rsidRPr="006C6A74">
        <w:rPr>
          <w:rFonts w:ascii="Times New Roman" w:eastAsia="宋体" w:hAnsi="Times New Roman" w:cs="Times New Roman"/>
          <w:bCs/>
          <w:szCs w:val="21"/>
          <w:lang w:bidi="en-US"/>
        </w:rPr>
        <w:t>Each point in the figure represents a sample.</w:t>
      </w:r>
      <w:r>
        <w:rPr>
          <w:rFonts w:ascii="Times New Roman" w:eastAsia="宋体" w:hAnsi="Times New Roman" w:cs="Times New Roman"/>
          <w:bCs/>
          <w:szCs w:val="21"/>
          <w:lang w:bidi="en-US"/>
        </w:rPr>
        <w:t xml:space="preserve"> CM, culture medium.</w:t>
      </w:r>
    </w:p>
    <w:p w14:paraId="7BEE5A7A" w14:textId="77777777" w:rsidR="00117BD9" w:rsidRDefault="00117BD9"/>
    <w:p w14:paraId="7BEE5A7B" w14:textId="77777777" w:rsidR="00117BD9" w:rsidRDefault="00117BD9"/>
    <w:p w14:paraId="7BEE5A7C" w14:textId="77777777" w:rsidR="00117BD9" w:rsidRDefault="00117BD9"/>
    <w:p w14:paraId="7BEE5A7D" w14:textId="77777777" w:rsidR="00117BD9" w:rsidRDefault="00117BD9"/>
    <w:p w14:paraId="7BEE5A7E" w14:textId="77777777" w:rsidR="00117BD9" w:rsidRDefault="00117BD9"/>
    <w:p w14:paraId="7BEE5A7F" w14:textId="77777777" w:rsidR="00117BD9" w:rsidRDefault="00117BD9"/>
    <w:p w14:paraId="7BEE5A80" w14:textId="77777777" w:rsidR="00117BD9" w:rsidRDefault="00117BD9"/>
    <w:p w14:paraId="7BEE5A81" w14:textId="77777777" w:rsidR="00117BD9" w:rsidRDefault="00117BD9"/>
    <w:p w14:paraId="7BEE5A82" w14:textId="77777777" w:rsidR="00117BD9" w:rsidRDefault="00117BD9"/>
    <w:p w14:paraId="7BEE5A83" w14:textId="0DDF7E1A" w:rsidR="00117BD9" w:rsidRDefault="00E05431">
      <w:r>
        <w:rPr>
          <w:noProof/>
        </w:rPr>
        <w:lastRenderedPageBreak/>
        <w:drawing>
          <wp:inline distT="0" distB="0" distL="0" distR="0" wp14:anchorId="51F55E2C" wp14:editId="0BA9482B">
            <wp:extent cx="5274310" cy="6323965"/>
            <wp:effectExtent l="0" t="0" r="0" b="635"/>
            <wp:docPr id="9730462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46269" name="图片 97304626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6323965"/>
                    </a:xfrm>
                    <a:prstGeom prst="rect">
                      <a:avLst/>
                    </a:prstGeom>
                  </pic:spPr>
                </pic:pic>
              </a:graphicData>
            </a:graphic>
          </wp:inline>
        </w:drawing>
      </w:r>
    </w:p>
    <w:p w14:paraId="7BEE5A84" w14:textId="77777777" w:rsidR="00117BD9" w:rsidRDefault="00AE6C21">
      <w:pPr>
        <w:adjustRightInd w:val="0"/>
        <w:snapToGrid w:val="0"/>
        <w:rPr>
          <w:rFonts w:ascii="Times New Roman" w:hAnsi="Times New Roman" w:cs="Times New Roman"/>
          <w:lang w:bidi="ar"/>
        </w:rPr>
      </w:pPr>
      <w:r>
        <w:rPr>
          <w:rFonts w:ascii="Times New Roman" w:eastAsia="宋体" w:hAnsi="Times New Roman" w:cs="Times New Roman"/>
          <w:b/>
          <w:szCs w:val="21"/>
          <w:lang w:bidi="en-US"/>
        </w:rPr>
        <w:t xml:space="preserve">Supplementary Figure S2. Melatonin significantly influences the metabolomic landscape during human peri-implantation embryonic development. </w:t>
      </w:r>
      <w:r>
        <w:rPr>
          <w:rFonts w:ascii="Times New Roman" w:eastAsia="宋体" w:hAnsi="Times New Roman" w:cs="Times New Roman"/>
          <w:bCs/>
          <w:szCs w:val="21"/>
          <w:lang w:bidi="en-US"/>
        </w:rPr>
        <w:t xml:space="preserve">3D PCA </w:t>
      </w:r>
      <w:r>
        <w:rPr>
          <w:rFonts w:ascii="Times New Roman" w:eastAsia="宋体" w:hAnsi="Times New Roman" w:cs="Times New Roman"/>
          <w:szCs w:val="21"/>
          <w:lang w:bidi="en-US"/>
        </w:rPr>
        <w:t>was employed to cluster embryonic metabolites alongside quality control samples from both the control and melatonin-treated groups across various developmental stages (A). Venn diagram was utilized to compare the differential metabolites at these stages (B). Partial least squares discriminant analysis (PLS-DA) was conducted to assess the variances in the metabolite profiles of the embryo culture medium between the control and melatonin groups at D6 (C), D8 (E), D10 (G), D12 (I), and D14 (K). A permutation test was performed to confirm the reliability of PLS-DA for metabolic samples at D6 (D), D8 (F), D10 (H), D12 (J), and D14 (L).</w:t>
      </w:r>
    </w:p>
    <w:p w14:paraId="7BEE5A85" w14:textId="77777777" w:rsidR="00117BD9" w:rsidRDefault="00AE6C21">
      <w:r>
        <w:rPr>
          <w:rFonts w:hint="eastAsia"/>
          <w:noProof/>
        </w:rPr>
        <w:lastRenderedPageBreak/>
        <w:drawing>
          <wp:inline distT="0" distB="0" distL="114300" distR="114300" wp14:anchorId="7BEE5A9D" wp14:editId="7BEE5A9E">
            <wp:extent cx="5257800" cy="4121150"/>
            <wp:effectExtent l="0" t="0" r="0" b="19050"/>
            <wp:docPr id="5" name="图片 5" descr="Supplementary 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Figure S3"/>
                    <pic:cNvPicPr>
                      <a:picLocks noChangeAspect="1"/>
                    </pic:cNvPicPr>
                  </pic:nvPicPr>
                  <pic:blipFill>
                    <a:blip r:embed="rId6"/>
                    <a:stretch>
                      <a:fillRect/>
                    </a:stretch>
                  </pic:blipFill>
                  <pic:spPr>
                    <a:xfrm>
                      <a:off x="0" y="0"/>
                      <a:ext cx="5257800" cy="4121150"/>
                    </a:xfrm>
                    <a:prstGeom prst="rect">
                      <a:avLst/>
                    </a:prstGeom>
                  </pic:spPr>
                </pic:pic>
              </a:graphicData>
            </a:graphic>
          </wp:inline>
        </w:drawing>
      </w:r>
    </w:p>
    <w:p w14:paraId="7BEE5A86" w14:textId="77777777" w:rsidR="00117BD9" w:rsidRDefault="00AE6C21">
      <w:pPr>
        <w:adjustRightInd w:val="0"/>
        <w:snapToGrid w:val="0"/>
        <w:rPr>
          <w:rFonts w:ascii="Times New Roman" w:hAnsi="Times New Roman" w:cs="Times New Roman"/>
          <w:lang w:bidi="ar"/>
        </w:rPr>
      </w:pPr>
      <w:bookmarkStart w:id="0" w:name="OLE_LINK20"/>
      <w:r>
        <w:rPr>
          <w:rFonts w:ascii="Times New Roman" w:eastAsia="宋体" w:hAnsi="Times New Roman" w:cs="Times New Roman"/>
          <w:b/>
          <w:szCs w:val="21"/>
          <w:lang w:bidi="en-US"/>
        </w:rPr>
        <w:t xml:space="preserve">Supplementary Figure S3. The influence of melatonin on human embryonic metabolism across various developmental stages. </w:t>
      </w:r>
      <w:r>
        <w:rPr>
          <w:rFonts w:ascii="Times New Roman" w:eastAsia="宋体" w:hAnsi="Times New Roman" w:cs="Times New Roman"/>
          <w:szCs w:val="21"/>
          <w:lang w:bidi="en-US"/>
        </w:rPr>
        <w:t>Volcano plots were used to demonstrate the impact of melatonin on metabolites at D6 (A), D8 (B), D10 (C), D12 (D), and D14 (E). Red dots indicate metabolites that are markedly upregulated, green dots represent metabolites that are notably downregulated, while gray dots indicate metabolites exhibiting no significant variation.</w:t>
      </w:r>
      <w:bookmarkEnd w:id="0"/>
    </w:p>
    <w:p w14:paraId="7BEE5A87" w14:textId="77777777" w:rsidR="00117BD9" w:rsidRDefault="00117BD9"/>
    <w:p w14:paraId="7BEE5A88" w14:textId="77777777" w:rsidR="00117BD9" w:rsidRDefault="00117BD9"/>
    <w:p w14:paraId="549D52B4" w14:textId="77777777" w:rsidR="006D665F" w:rsidRDefault="00AE6C21">
      <w:r>
        <w:rPr>
          <w:rFonts w:hint="eastAsia"/>
          <w:noProof/>
        </w:rPr>
        <w:drawing>
          <wp:inline distT="0" distB="0" distL="114300" distR="114300" wp14:anchorId="7BEE5A9F" wp14:editId="7BEE5AA0">
            <wp:extent cx="3546475" cy="2528570"/>
            <wp:effectExtent l="0" t="0" r="9525" b="11430"/>
            <wp:docPr id="4" name="图片 4" descr="Supplementary 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S4"/>
                    <pic:cNvPicPr>
                      <a:picLocks noChangeAspect="1"/>
                    </pic:cNvPicPr>
                  </pic:nvPicPr>
                  <pic:blipFill>
                    <a:blip r:embed="rId7"/>
                    <a:stretch>
                      <a:fillRect/>
                    </a:stretch>
                  </pic:blipFill>
                  <pic:spPr>
                    <a:xfrm>
                      <a:off x="0" y="0"/>
                      <a:ext cx="3546475" cy="2528570"/>
                    </a:xfrm>
                    <a:prstGeom prst="rect">
                      <a:avLst/>
                    </a:prstGeom>
                  </pic:spPr>
                </pic:pic>
              </a:graphicData>
            </a:graphic>
          </wp:inline>
        </w:drawing>
      </w:r>
    </w:p>
    <w:p w14:paraId="0FCCF0F3" w14:textId="77777777" w:rsidR="006D665F" w:rsidRDefault="006D665F"/>
    <w:p w14:paraId="327A9C08" w14:textId="75E75C24" w:rsidR="006D665F" w:rsidRDefault="006D665F" w:rsidP="006D665F">
      <w:pPr>
        <w:adjustRightInd w:val="0"/>
        <w:snapToGrid w:val="0"/>
        <w:rPr>
          <w:rFonts w:ascii="Times New Roman" w:eastAsia="宋体" w:hAnsi="Times New Roman" w:cs="Times New Roman"/>
          <w:szCs w:val="21"/>
          <w:lang w:bidi="en-US"/>
        </w:rPr>
      </w:pPr>
      <w:bookmarkStart w:id="1" w:name="OLE_LINK21"/>
      <w:r>
        <w:rPr>
          <w:rFonts w:ascii="Times New Roman" w:eastAsia="宋体" w:hAnsi="Times New Roman" w:cs="Times New Roman"/>
          <w:b/>
          <w:szCs w:val="21"/>
          <w:lang w:bidi="en-US"/>
        </w:rPr>
        <w:t xml:space="preserve">Supplementary Figure S4. The administration of melatonin via intraperitoneal injection elevates serum melatonin concentrations in aged mice. </w:t>
      </w:r>
      <w:r>
        <w:rPr>
          <w:rFonts w:ascii="Times New Roman" w:eastAsia="宋体" w:hAnsi="Times New Roman" w:cs="Times New Roman"/>
          <w:bCs/>
          <w:szCs w:val="21"/>
          <w:lang w:bidi="en-US"/>
        </w:rPr>
        <w:t xml:space="preserve">Female mice received intraperitoneal injections of either melatonin or the melatonin receptor antagonist </w:t>
      </w:r>
      <w:proofErr w:type="spellStart"/>
      <w:r>
        <w:rPr>
          <w:rFonts w:ascii="Times New Roman" w:eastAsia="宋体" w:hAnsi="Times New Roman" w:cs="Times New Roman"/>
          <w:bCs/>
          <w:szCs w:val="21"/>
          <w:lang w:bidi="en-US"/>
        </w:rPr>
        <w:t>luzindole</w:t>
      </w:r>
      <w:proofErr w:type="spellEnd"/>
      <w:r>
        <w:rPr>
          <w:rFonts w:ascii="Times New Roman" w:eastAsia="宋体" w:hAnsi="Times New Roman" w:cs="Times New Roman"/>
          <w:bCs/>
          <w:szCs w:val="21"/>
          <w:lang w:bidi="en-US"/>
        </w:rPr>
        <w:t xml:space="preserve">, after which serum melatonin levels were assessed. Y-Ctrl designates the 8-week-old control group, Y-Luz </w:t>
      </w:r>
      <w:r>
        <w:rPr>
          <w:rFonts w:ascii="Times New Roman" w:eastAsia="宋体" w:hAnsi="Times New Roman" w:cs="Times New Roman"/>
          <w:bCs/>
          <w:szCs w:val="21"/>
          <w:lang w:bidi="en-US"/>
        </w:rPr>
        <w:lastRenderedPageBreak/>
        <w:t xml:space="preserve">corresponds to the 8-week-old </w:t>
      </w:r>
      <w:proofErr w:type="spellStart"/>
      <w:r>
        <w:rPr>
          <w:rFonts w:ascii="Times New Roman" w:eastAsia="宋体" w:hAnsi="Times New Roman" w:cs="Times New Roman"/>
          <w:bCs/>
          <w:szCs w:val="21"/>
          <w:lang w:bidi="en-US"/>
        </w:rPr>
        <w:t>luzindole</w:t>
      </w:r>
      <w:proofErr w:type="spellEnd"/>
      <w:r>
        <w:rPr>
          <w:rFonts w:ascii="Times New Roman" w:eastAsia="宋体" w:hAnsi="Times New Roman" w:cs="Times New Roman"/>
          <w:bCs/>
          <w:szCs w:val="21"/>
          <w:lang w:bidi="en-US"/>
        </w:rPr>
        <w:t xml:space="preserve"> injection group, O-Ctrl represents the 12-month-old control group, and O-Mel indicates the 12-month-old melatonin injection group.</w:t>
      </w:r>
      <w:r>
        <w:rPr>
          <w:rFonts w:ascii="Times New Roman" w:eastAsia="宋体" w:hAnsi="Times New Roman" w:cs="Times New Roman"/>
          <w:b/>
          <w:szCs w:val="21"/>
          <w:lang w:bidi="en-US"/>
        </w:rPr>
        <w:t xml:space="preserve"> </w:t>
      </w:r>
      <w:r>
        <w:rPr>
          <w:rFonts w:ascii="Times New Roman" w:eastAsia="宋体" w:hAnsi="Times New Roman" w:cs="Times New Roman"/>
          <w:szCs w:val="21"/>
          <w:lang w:bidi="en-US"/>
        </w:rPr>
        <w:t>ns indicates no statistically significant difference, *</w:t>
      </w:r>
      <w:r>
        <w:rPr>
          <w:rFonts w:ascii="Times New Roman" w:eastAsia="宋体" w:hAnsi="Times New Roman" w:cs="Times New Roman"/>
          <w:i/>
          <w:szCs w:val="21"/>
          <w:lang w:bidi="en-US"/>
        </w:rPr>
        <w:t xml:space="preserve">p </w:t>
      </w:r>
      <w:r>
        <w:rPr>
          <w:rFonts w:ascii="Times New Roman" w:eastAsia="宋体" w:hAnsi="Times New Roman" w:cs="Times New Roman"/>
          <w:szCs w:val="21"/>
          <w:lang w:bidi="en-US"/>
        </w:rPr>
        <w:t>&lt; 0.05.</w:t>
      </w:r>
      <w:bookmarkEnd w:id="1"/>
    </w:p>
    <w:p w14:paraId="0E83F2F7" w14:textId="77777777" w:rsidR="006D665F" w:rsidRDefault="006D665F" w:rsidP="006D665F">
      <w:pPr>
        <w:adjustRightInd w:val="0"/>
        <w:snapToGrid w:val="0"/>
        <w:rPr>
          <w:rFonts w:ascii="Times New Roman" w:eastAsia="宋体" w:hAnsi="Times New Roman" w:cs="Times New Roman"/>
          <w:szCs w:val="21"/>
          <w:lang w:bidi="en-US"/>
        </w:rPr>
      </w:pPr>
    </w:p>
    <w:p w14:paraId="22AAC4C5" w14:textId="77777777" w:rsidR="006D665F" w:rsidRDefault="006D665F" w:rsidP="006D665F">
      <w:pPr>
        <w:adjustRightInd w:val="0"/>
        <w:snapToGrid w:val="0"/>
        <w:rPr>
          <w:rFonts w:ascii="Times New Roman" w:hAnsi="Times New Roman" w:cs="Times New Roman"/>
          <w:lang w:bidi="ar"/>
        </w:rPr>
      </w:pPr>
    </w:p>
    <w:p w14:paraId="7BEE5A8D" w14:textId="7713FB51" w:rsidR="00117BD9" w:rsidRDefault="00AE6C21">
      <w:r>
        <w:rPr>
          <w:rFonts w:hint="eastAsia"/>
          <w:noProof/>
        </w:rPr>
        <w:drawing>
          <wp:inline distT="0" distB="0" distL="114300" distR="114300" wp14:anchorId="5EE0125D" wp14:editId="552D6262">
            <wp:extent cx="5184775" cy="4006850"/>
            <wp:effectExtent l="0" t="0" r="22225" b="6350"/>
            <wp:docPr id="3" name="图片 3" descr="supplementary 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S5"/>
                    <pic:cNvPicPr>
                      <a:picLocks noChangeAspect="1"/>
                    </pic:cNvPicPr>
                  </pic:nvPicPr>
                  <pic:blipFill>
                    <a:blip r:embed="rId8"/>
                    <a:stretch>
                      <a:fillRect/>
                    </a:stretch>
                  </pic:blipFill>
                  <pic:spPr>
                    <a:xfrm>
                      <a:off x="0" y="0"/>
                      <a:ext cx="5184775" cy="4006850"/>
                    </a:xfrm>
                    <a:prstGeom prst="rect">
                      <a:avLst/>
                    </a:prstGeom>
                  </pic:spPr>
                </pic:pic>
              </a:graphicData>
            </a:graphic>
          </wp:inline>
        </w:drawing>
      </w:r>
    </w:p>
    <w:p w14:paraId="7BEE5A8E" w14:textId="77777777" w:rsidR="00117BD9" w:rsidRDefault="00AE6C21">
      <w:pPr>
        <w:rPr>
          <w:rFonts w:ascii="Times New Roman" w:hAnsi="Times New Roman" w:cs="Times New Roman"/>
          <w:bCs/>
          <w:lang w:bidi="en-US"/>
        </w:rPr>
      </w:pPr>
      <w:r>
        <w:rPr>
          <w:rFonts w:ascii="Times New Roman" w:eastAsia="宋体" w:hAnsi="Times New Roman" w:cs="Times New Roman"/>
          <w:b/>
          <w:szCs w:val="21"/>
          <w:lang w:bidi="en-US"/>
        </w:rPr>
        <w:t xml:space="preserve">Supplementary Figure S5. Validation of primary antibody specificity in immunofluorescence. </w:t>
      </w:r>
      <w:r>
        <w:rPr>
          <w:rFonts w:ascii="Times New Roman" w:eastAsia="宋体" w:hAnsi="Times New Roman" w:cs="Times New Roman"/>
          <w:bCs/>
          <w:szCs w:val="21"/>
          <w:lang w:bidi="en-US"/>
        </w:rPr>
        <w:t>Isotype-matched controls replaced primary antibodies: goat-IgG for OCT4 in mouse embryos; mouse-IgG for GATA3 in mouse embryos; rabbit-IgG for N-CAD, MT1, MT2, GATA6, and EOMES in mouse embryos. No specific staining observed, confirming antibody specificity.</w:t>
      </w:r>
    </w:p>
    <w:p w14:paraId="7BEE5A8F" w14:textId="77777777" w:rsidR="00117BD9" w:rsidRDefault="00117BD9"/>
    <w:p w14:paraId="7BEE5A90" w14:textId="77777777" w:rsidR="00117BD9" w:rsidRDefault="00117BD9"/>
    <w:p w14:paraId="7BEE5A91" w14:textId="77777777" w:rsidR="00117BD9" w:rsidRDefault="00AE6C21">
      <w:r>
        <w:rPr>
          <w:rFonts w:hint="eastAsia"/>
          <w:noProof/>
        </w:rPr>
        <w:lastRenderedPageBreak/>
        <w:drawing>
          <wp:inline distT="0" distB="0" distL="114300" distR="114300" wp14:anchorId="7BEE5AA3" wp14:editId="7BEE5AA4">
            <wp:extent cx="5267960" cy="6351905"/>
            <wp:effectExtent l="0" t="0" r="15240" b="23495"/>
            <wp:docPr id="2" name="图片 2" descr="supplementary 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S6"/>
                    <pic:cNvPicPr>
                      <a:picLocks noChangeAspect="1"/>
                    </pic:cNvPicPr>
                  </pic:nvPicPr>
                  <pic:blipFill>
                    <a:blip r:embed="rId9"/>
                    <a:stretch>
                      <a:fillRect/>
                    </a:stretch>
                  </pic:blipFill>
                  <pic:spPr>
                    <a:xfrm>
                      <a:off x="0" y="0"/>
                      <a:ext cx="5267960" cy="6351905"/>
                    </a:xfrm>
                    <a:prstGeom prst="rect">
                      <a:avLst/>
                    </a:prstGeom>
                  </pic:spPr>
                </pic:pic>
              </a:graphicData>
            </a:graphic>
          </wp:inline>
        </w:drawing>
      </w:r>
    </w:p>
    <w:p w14:paraId="7BEE5A92" w14:textId="77777777" w:rsidR="00117BD9" w:rsidRDefault="00AE6C21">
      <w:pPr>
        <w:rPr>
          <w:rFonts w:ascii="Times New Roman" w:hAnsi="Times New Roman" w:cs="Times New Roman"/>
          <w:bCs/>
          <w:lang w:bidi="en-US"/>
        </w:rPr>
      </w:pPr>
      <w:r>
        <w:rPr>
          <w:rFonts w:ascii="Times New Roman" w:eastAsia="宋体" w:hAnsi="Times New Roman" w:cs="Times New Roman"/>
          <w:b/>
          <w:szCs w:val="21"/>
          <w:lang w:bidi="en-US"/>
        </w:rPr>
        <w:t>Supplementary Figure S6. Melt curve analysis of human gene-specific primers (</w:t>
      </w:r>
      <w:r>
        <w:rPr>
          <w:rFonts w:ascii="Times New Roman" w:eastAsia="宋体" w:hAnsi="Times New Roman" w:cs="Times New Roman"/>
          <w:b/>
          <w:i/>
          <w:iCs/>
          <w:szCs w:val="21"/>
          <w:lang w:bidi="en-US"/>
        </w:rPr>
        <w:t>oct4</w:t>
      </w:r>
      <w:r>
        <w:rPr>
          <w:rFonts w:ascii="Times New Roman" w:eastAsia="宋体" w:hAnsi="Times New Roman" w:cs="Times New Roman"/>
          <w:b/>
          <w:szCs w:val="21"/>
          <w:lang w:bidi="en-US"/>
        </w:rPr>
        <w:t xml:space="preserve">, </w:t>
      </w:r>
      <w:r>
        <w:rPr>
          <w:rFonts w:ascii="Times New Roman" w:eastAsia="宋体" w:hAnsi="Times New Roman" w:cs="Times New Roman"/>
          <w:b/>
          <w:i/>
          <w:iCs/>
          <w:szCs w:val="21"/>
          <w:lang w:bidi="en-US"/>
        </w:rPr>
        <w:t xml:space="preserve">otx2, </w:t>
      </w:r>
      <w:proofErr w:type="spellStart"/>
      <w:r>
        <w:rPr>
          <w:rFonts w:ascii="Times New Roman" w:eastAsia="宋体" w:hAnsi="Times New Roman" w:cs="Times New Roman"/>
          <w:b/>
          <w:i/>
          <w:iCs/>
          <w:szCs w:val="21"/>
          <w:lang w:bidi="en-US"/>
        </w:rPr>
        <w:t>ncad</w:t>
      </w:r>
      <w:proofErr w:type="spellEnd"/>
      <w:r>
        <w:rPr>
          <w:rFonts w:ascii="Times New Roman" w:eastAsia="宋体" w:hAnsi="Times New Roman" w:cs="Times New Roman"/>
          <w:b/>
          <w:i/>
          <w:iCs/>
          <w:szCs w:val="21"/>
          <w:lang w:bidi="en-US"/>
        </w:rPr>
        <w:t>, sod2, dnmt3a</w:t>
      </w:r>
      <w:r>
        <w:rPr>
          <w:rFonts w:ascii="Times New Roman" w:eastAsia="宋体" w:hAnsi="Times New Roman" w:cs="Times New Roman"/>
          <w:b/>
          <w:szCs w:val="21"/>
          <w:lang w:bidi="en-US"/>
        </w:rPr>
        <w:t xml:space="preserve">) for Real-Time PCR validation. </w:t>
      </w:r>
      <w:r>
        <w:rPr>
          <w:rFonts w:ascii="Times New Roman" w:eastAsia="宋体" w:hAnsi="Times New Roman" w:cs="Times New Roman"/>
          <w:bCs/>
          <w:szCs w:val="21"/>
          <w:lang w:bidi="en-US"/>
        </w:rPr>
        <w:t>For the negative control, no template cDNA was added to the amplification reaction, while all other components (primers, probe, master mix, and cycling conditions) remained identical to the experimental samples.</w:t>
      </w:r>
    </w:p>
    <w:p w14:paraId="7BEE5A93" w14:textId="77777777" w:rsidR="00117BD9" w:rsidRDefault="00117BD9"/>
    <w:p w14:paraId="7BEE5A94" w14:textId="77777777" w:rsidR="00117BD9" w:rsidRDefault="00117BD9"/>
    <w:p w14:paraId="7BEE5A95" w14:textId="77777777" w:rsidR="00117BD9" w:rsidRDefault="00117BD9"/>
    <w:p w14:paraId="7BEE5A96" w14:textId="77777777" w:rsidR="00117BD9" w:rsidRDefault="00AE6C21">
      <w:r>
        <w:rPr>
          <w:rFonts w:hint="eastAsia"/>
          <w:noProof/>
        </w:rPr>
        <w:lastRenderedPageBreak/>
        <w:drawing>
          <wp:inline distT="0" distB="0" distL="114300" distR="114300" wp14:anchorId="7BEE5AA5" wp14:editId="7BEE5AA6">
            <wp:extent cx="5267960" cy="6386195"/>
            <wp:effectExtent l="0" t="0" r="15240" b="14605"/>
            <wp:docPr id="1" name="图片 1" descr="supplementary 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S7"/>
                    <pic:cNvPicPr>
                      <a:picLocks noChangeAspect="1"/>
                    </pic:cNvPicPr>
                  </pic:nvPicPr>
                  <pic:blipFill>
                    <a:blip r:embed="rId10"/>
                    <a:stretch>
                      <a:fillRect/>
                    </a:stretch>
                  </pic:blipFill>
                  <pic:spPr>
                    <a:xfrm>
                      <a:off x="0" y="0"/>
                      <a:ext cx="5267960" cy="6386195"/>
                    </a:xfrm>
                    <a:prstGeom prst="rect">
                      <a:avLst/>
                    </a:prstGeom>
                  </pic:spPr>
                </pic:pic>
              </a:graphicData>
            </a:graphic>
          </wp:inline>
        </w:drawing>
      </w:r>
    </w:p>
    <w:p w14:paraId="7BEE5A97" w14:textId="77777777" w:rsidR="00117BD9" w:rsidRDefault="00AE6C21">
      <w:pPr>
        <w:rPr>
          <w:rFonts w:ascii="Times New Roman" w:hAnsi="Times New Roman" w:cs="Times New Roman"/>
          <w:bCs/>
          <w:lang w:bidi="en-US"/>
        </w:rPr>
      </w:pPr>
      <w:r>
        <w:rPr>
          <w:rFonts w:ascii="Times New Roman" w:eastAsia="宋体" w:hAnsi="Times New Roman" w:cs="Times New Roman"/>
          <w:b/>
          <w:szCs w:val="21"/>
          <w:lang w:bidi="en-US"/>
        </w:rPr>
        <w:t>Supplementary Figure S7. Melt curve analysis of mouse gene-specific primers (</w:t>
      </w:r>
      <w:proofErr w:type="spellStart"/>
      <w:r>
        <w:rPr>
          <w:rFonts w:ascii="Times New Roman" w:eastAsia="宋体" w:hAnsi="Times New Roman" w:cs="Times New Roman"/>
          <w:b/>
          <w:i/>
          <w:iCs/>
          <w:szCs w:val="21"/>
          <w:lang w:bidi="en-US"/>
        </w:rPr>
        <w:t>eomes</w:t>
      </w:r>
      <w:proofErr w:type="spellEnd"/>
      <w:r>
        <w:rPr>
          <w:rFonts w:ascii="Times New Roman" w:eastAsia="宋体" w:hAnsi="Times New Roman" w:cs="Times New Roman"/>
          <w:b/>
          <w:szCs w:val="21"/>
          <w:lang w:bidi="en-US"/>
        </w:rPr>
        <w:t xml:space="preserve">, </w:t>
      </w:r>
      <w:r>
        <w:rPr>
          <w:rFonts w:ascii="Times New Roman" w:eastAsia="宋体" w:hAnsi="Times New Roman" w:cs="Times New Roman"/>
          <w:b/>
          <w:i/>
          <w:iCs/>
          <w:szCs w:val="21"/>
          <w:lang w:bidi="en-US"/>
        </w:rPr>
        <w:t xml:space="preserve">gata6, </w:t>
      </w:r>
      <w:proofErr w:type="spellStart"/>
      <w:r>
        <w:rPr>
          <w:rFonts w:ascii="Times New Roman" w:eastAsia="宋体" w:hAnsi="Times New Roman" w:cs="Times New Roman"/>
          <w:b/>
          <w:i/>
          <w:iCs/>
          <w:szCs w:val="21"/>
          <w:lang w:bidi="en-US"/>
        </w:rPr>
        <w:t>ncad</w:t>
      </w:r>
      <w:proofErr w:type="spellEnd"/>
      <w:r>
        <w:rPr>
          <w:rFonts w:ascii="Times New Roman" w:eastAsia="宋体" w:hAnsi="Times New Roman" w:cs="Times New Roman"/>
          <w:b/>
          <w:i/>
          <w:iCs/>
          <w:szCs w:val="21"/>
          <w:lang w:bidi="en-US"/>
        </w:rPr>
        <w:t>, sod2, dnmt3a</w:t>
      </w:r>
      <w:r>
        <w:rPr>
          <w:rFonts w:ascii="Times New Roman" w:eastAsia="宋体" w:hAnsi="Times New Roman" w:cs="Times New Roman"/>
          <w:b/>
          <w:szCs w:val="21"/>
          <w:lang w:bidi="en-US"/>
        </w:rPr>
        <w:t xml:space="preserve">) for Real-Time PCR validation. </w:t>
      </w:r>
      <w:r>
        <w:rPr>
          <w:rFonts w:ascii="Times New Roman" w:eastAsia="宋体" w:hAnsi="Times New Roman" w:cs="Times New Roman"/>
          <w:bCs/>
          <w:szCs w:val="21"/>
          <w:lang w:bidi="en-US"/>
        </w:rPr>
        <w:t xml:space="preserve">For the negative control, no template cDNA was added to the amplification reaction, while all other components (primers, probe, master mix, and cycling conditions) remained identical to the experimental samples. </w:t>
      </w:r>
    </w:p>
    <w:p w14:paraId="7BEE5A98" w14:textId="77777777" w:rsidR="00117BD9" w:rsidRDefault="00117BD9"/>
    <w:sectPr w:rsidR="00117B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CDF47FCA"/>
    <w:rsid w:val="CDF47FCA"/>
    <w:rsid w:val="FF6F104E"/>
    <w:rsid w:val="00117BD9"/>
    <w:rsid w:val="00452063"/>
    <w:rsid w:val="006C6A74"/>
    <w:rsid w:val="006D665F"/>
    <w:rsid w:val="00AE6C21"/>
    <w:rsid w:val="00E0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BEE5A78"/>
  <w15:docId w15:val="{38E2FBD7-1176-A24A-97DF-8F2235E45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512</Words>
  <Characters>3165</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珖 杨</cp:lastModifiedBy>
  <cp:revision>5</cp:revision>
  <dcterms:created xsi:type="dcterms:W3CDTF">2026-01-25T22:44:00Z</dcterms:created>
  <dcterms:modified xsi:type="dcterms:W3CDTF">2026-02-13T05:43:00Z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A02BC44804069E905F2C7669334F1466_41</vt:lpwstr>
  </property>
</Properties>
</file>