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C304005" w14:textId="77777777" w:rsidR="00592FA2" w:rsidRPr="003B116F" w:rsidRDefault="00592FA2" w:rsidP="00592FA2">
      <w:pPr>
        <w:rPr>
          <w:rFonts w:ascii="Times New Roman" w:hAnsi="Times New Roman" w:cs="Times New Roman"/>
        </w:rPr>
      </w:pPr>
      <w:r w:rsidRPr="003B116F">
        <w:rPr>
          <w:rFonts w:ascii="Times New Roman" w:hAnsi="Times New Roman" w:cs="Times New Roman"/>
          <w:noProof/>
        </w:rPr>
        <w:drawing>
          <wp:inline distT="0" distB="0" distL="0" distR="0" wp14:anchorId="10C7A066" wp14:editId="55612213">
            <wp:extent cx="5943600" cy="4229735"/>
            <wp:effectExtent l="0" t="0" r="0" b="0"/>
            <wp:docPr id="1692225247" name="Picture 1" descr="A diagram of a number of different colored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225247" name="Picture 1" descr="A diagram of a number of different colored circles&#10;&#10;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3600" cy="4229735"/>
                    </a:xfrm>
                    <a:prstGeom prst="rect">
                      <a:avLst/>
                    </a:prstGeom>
                  </pic:spPr>
                </pic:pic>
              </a:graphicData>
            </a:graphic>
          </wp:inline>
        </w:drawing>
      </w:r>
    </w:p>
    <w:p w14:paraId="4214EF63" w14:textId="1CB7B69A" w:rsidR="00592FA2" w:rsidRPr="00592FA2" w:rsidRDefault="00592FA2" w:rsidP="00592FA2">
      <w:pPr>
        <w:pStyle w:val="Heading1"/>
        <w:spacing w:line="360" w:lineRule="auto"/>
        <w:jc w:val="both"/>
        <w:rPr>
          <w:rFonts w:ascii="Times New Roman" w:hAnsi="Times New Roman" w:cs="Times New Roman"/>
          <w:b/>
          <w:bCs/>
          <w:color w:val="000000" w:themeColor="text1"/>
          <w:sz w:val="24"/>
          <w:szCs w:val="24"/>
        </w:rPr>
      </w:pPr>
      <w:bookmarkStart w:id="0" w:name="_Toc222220315"/>
      <w:bookmarkStart w:id="1" w:name="_Toc222220431"/>
      <w:bookmarkStart w:id="2" w:name="_Toc222221558"/>
      <w:bookmarkStart w:id="3" w:name="_Toc222226736"/>
      <w:r w:rsidRPr="00592FA2">
        <w:rPr>
          <w:rStyle w:val="TitleChar"/>
          <w:rFonts w:ascii="Times New Roman" w:hAnsi="Times New Roman" w:cs="Times New Roman"/>
          <w:b/>
          <w:bCs/>
          <w:color w:val="000000" w:themeColor="text1"/>
          <w:sz w:val="24"/>
          <w:szCs w:val="24"/>
        </w:rPr>
        <w:t>Fig</w:t>
      </w:r>
      <w:r>
        <w:rPr>
          <w:rStyle w:val="TitleChar"/>
          <w:rFonts w:ascii="Times New Roman" w:hAnsi="Times New Roman" w:cs="Times New Roman"/>
          <w:b/>
          <w:bCs/>
          <w:color w:val="000000" w:themeColor="text1"/>
          <w:sz w:val="24"/>
          <w:szCs w:val="24"/>
        </w:rPr>
        <w:t>ure</w:t>
      </w:r>
      <w:r w:rsidRPr="00592FA2">
        <w:rPr>
          <w:rStyle w:val="TitleChar"/>
          <w:rFonts w:ascii="Times New Roman" w:hAnsi="Times New Roman" w:cs="Times New Roman"/>
          <w:b/>
          <w:bCs/>
          <w:color w:val="000000" w:themeColor="text1"/>
          <w:sz w:val="24"/>
          <w:szCs w:val="24"/>
        </w:rPr>
        <w:t xml:space="preserve"> S1</w:t>
      </w:r>
      <w:r>
        <w:rPr>
          <w:rStyle w:val="TitleChar"/>
          <w:rFonts w:ascii="Times New Roman" w:hAnsi="Times New Roman" w:cs="Times New Roman"/>
          <w:b/>
          <w:bCs/>
          <w:color w:val="000000" w:themeColor="text1"/>
          <w:sz w:val="24"/>
          <w:szCs w:val="24"/>
        </w:rPr>
        <w:t>.</w:t>
      </w:r>
      <w:r w:rsidRPr="00592FA2">
        <w:rPr>
          <w:rStyle w:val="TitleChar"/>
          <w:rFonts w:ascii="Times New Roman" w:hAnsi="Times New Roman" w:cs="Times New Roman"/>
          <w:b/>
          <w:bCs/>
          <w:color w:val="000000" w:themeColor="text1"/>
          <w:sz w:val="24"/>
          <w:szCs w:val="24"/>
        </w:rPr>
        <w:t xml:space="preserve"> Principal Coordinates Analysis (</w:t>
      </w:r>
      <w:proofErr w:type="spellStart"/>
      <w:r w:rsidRPr="00592FA2">
        <w:rPr>
          <w:rStyle w:val="TitleChar"/>
          <w:rFonts w:ascii="Times New Roman" w:hAnsi="Times New Roman" w:cs="Times New Roman"/>
          <w:b/>
          <w:bCs/>
          <w:color w:val="000000" w:themeColor="text1"/>
          <w:sz w:val="24"/>
          <w:szCs w:val="24"/>
        </w:rPr>
        <w:t>PCoA</w:t>
      </w:r>
      <w:proofErr w:type="spellEnd"/>
      <w:r w:rsidRPr="00592FA2">
        <w:rPr>
          <w:rStyle w:val="TitleChar"/>
          <w:rFonts w:ascii="Times New Roman" w:hAnsi="Times New Roman" w:cs="Times New Roman"/>
          <w:b/>
          <w:bCs/>
          <w:color w:val="000000" w:themeColor="text1"/>
          <w:sz w:val="24"/>
          <w:szCs w:val="24"/>
        </w:rPr>
        <w:t>) of rhizosphere bacterial communities across barley domestication groups.</w:t>
      </w:r>
      <w:bookmarkEnd w:id="0"/>
      <w:bookmarkEnd w:id="1"/>
      <w:bookmarkEnd w:id="2"/>
      <w:bookmarkEnd w:id="3"/>
      <w:r w:rsidRPr="00592FA2">
        <w:rPr>
          <w:rFonts w:ascii="Times New Roman" w:hAnsi="Times New Roman" w:cs="Times New Roman"/>
          <w:b/>
          <w:bCs/>
          <w:color w:val="000000" w:themeColor="text1"/>
          <w:sz w:val="24"/>
          <w:szCs w:val="24"/>
        </w:rPr>
        <w:t xml:space="preserve"> </w:t>
      </w:r>
    </w:p>
    <w:p w14:paraId="38306E33" w14:textId="77777777" w:rsidR="00592FA2" w:rsidRPr="003B116F" w:rsidRDefault="00592FA2" w:rsidP="00592FA2">
      <w:pPr>
        <w:spacing w:line="360" w:lineRule="auto"/>
        <w:jc w:val="both"/>
        <w:rPr>
          <w:rFonts w:ascii="Times New Roman" w:hAnsi="Times New Roman" w:cs="Times New Roman"/>
        </w:rPr>
      </w:pPr>
      <w:proofErr w:type="spellStart"/>
      <w:r w:rsidRPr="003B116F">
        <w:rPr>
          <w:rFonts w:ascii="Times New Roman" w:hAnsi="Times New Roman" w:cs="Times New Roman"/>
        </w:rPr>
        <w:t>PCoA</w:t>
      </w:r>
      <w:proofErr w:type="spellEnd"/>
      <w:r w:rsidRPr="003B116F">
        <w:rPr>
          <w:rFonts w:ascii="Times New Roman" w:hAnsi="Times New Roman" w:cs="Times New Roman"/>
        </w:rPr>
        <w:t xml:space="preserve"> based on Bray-Curtis dissimilarities of bacterial ASV profiles derived from 16S rRNA gene amplicon sequencing of 23 barley genotypes representing four domestication groups including control (red), wild (purple), landrace (green), and modern (blue). Samples were transformed to relative abundances prior to ordination, and 70% confidence ellipses were drawn around each group to illustrate multivariate dispersion. Distinct clustering patterns reflect differences in rhizosphere bacterial community composition associated with domestication status. Genotype labels are displayed for each point. Each data point represents one sample (n = 2 per genotype).</w:t>
      </w:r>
    </w:p>
    <w:p w14:paraId="35006E13" w14:textId="77777777" w:rsidR="00592FA2" w:rsidRPr="003B116F" w:rsidRDefault="00592FA2" w:rsidP="00592FA2">
      <w:pPr>
        <w:rPr>
          <w:rFonts w:ascii="Times New Roman" w:hAnsi="Times New Roman" w:cs="Times New Roman"/>
        </w:rPr>
      </w:pPr>
    </w:p>
    <w:p w14:paraId="6C8B96AE" w14:textId="77777777" w:rsidR="00592FA2" w:rsidRPr="003B116F" w:rsidRDefault="00592FA2" w:rsidP="00592FA2">
      <w:pPr>
        <w:rPr>
          <w:rFonts w:ascii="Times New Roman" w:hAnsi="Times New Roman" w:cs="Times New Roman"/>
        </w:rPr>
      </w:pPr>
    </w:p>
    <w:p w14:paraId="422091DD" w14:textId="77777777" w:rsidR="00592FA2" w:rsidRPr="003B116F" w:rsidRDefault="00592FA2" w:rsidP="00592FA2">
      <w:pPr>
        <w:rPr>
          <w:rFonts w:ascii="Times New Roman" w:hAnsi="Times New Roman" w:cs="Times New Roman"/>
        </w:rPr>
      </w:pPr>
    </w:p>
    <w:p w14:paraId="7688A07A" w14:textId="77777777" w:rsidR="00592FA2" w:rsidRPr="003B116F" w:rsidRDefault="00592FA2" w:rsidP="00592FA2">
      <w:pPr>
        <w:rPr>
          <w:rFonts w:ascii="Times New Roman" w:hAnsi="Times New Roman" w:cs="Times New Roman"/>
        </w:rPr>
      </w:pPr>
    </w:p>
    <w:p w14:paraId="72815650" w14:textId="77777777" w:rsidR="00592FA2" w:rsidRPr="003B116F" w:rsidRDefault="00592FA2" w:rsidP="00592FA2">
      <w:pPr>
        <w:jc w:val="center"/>
        <w:rPr>
          <w:rFonts w:ascii="Times New Roman" w:hAnsi="Times New Roman" w:cs="Times New Roman"/>
        </w:rPr>
      </w:pPr>
      <w:r w:rsidRPr="003B116F">
        <w:rPr>
          <w:rFonts w:ascii="Times New Roman" w:hAnsi="Times New Roman" w:cs="Times New Roman"/>
          <w:noProof/>
        </w:rPr>
        <w:lastRenderedPageBreak/>
        <w:drawing>
          <wp:inline distT="0" distB="0" distL="0" distR="0" wp14:anchorId="0A651583" wp14:editId="62F6F790">
            <wp:extent cx="4989095" cy="5356881"/>
            <wp:effectExtent l="0" t="0" r="2540" b="2540"/>
            <wp:docPr id="423795211" name="Picture 2" descr="A group of graphs with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795211" name="Picture 2" descr="A group of graphs with numbers&#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5018733" cy="5388704"/>
                    </a:xfrm>
                    <a:prstGeom prst="rect">
                      <a:avLst/>
                    </a:prstGeom>
                  </pic:spPr>
                </pic:pic>
              </a:graphicData>
            </a:graphic>
          </wp:inline>
        </w:drawing>
      </w:r>
    </w:p>
    <w:p w14:paraId="66D92DC7" w14:textId="358A758F" w:rsidR="00592FA2" w:rsidRPr="003B116F" w:rsidRDefault="00592FA2" w:rsidP="00592FA2">
      <w:pPr>
        <w:pStyle w:val="Heading1"/>
        <w:spacing w:line="360" w:lineRule="auto"/>
        <w:jc w:val="both"/>
        <w:rPr>
          <w:rFonts w:ascii="Times New Roman" w:hAnsi="Times New Roman" w:cs="Times New Roman"/>
          <w:color w:val="000000" w:themeColor="text1"/>
        </w:rPr>
      </w:pPr>
      <w:bookmarkStart w:id="4" w:name="_Toc222220432"/>
      <w:bookmarkStart w:id="5" w:name="_Toc222221559"/>
      <w:bookmarkStart w:id="6" w:name="_Toc222226737"/>
      <w:r w:rsidRPr="003B116F">
        <w:rPr>
          <w:rStyle w:val="Strong"/>
          <w:rFonts w:ascii="Times New Roman" w:hAnsi="Times New Roman" w:cs="Times New Roman"/>
          <w:color w:val="000000" w:themeColor="text1"/>
          <w:sz w:val="24"/>
          <w:szCs w:val="24"/>
        </w:rPr>
        <w:t>Fig</w:t>
      </w:r>
      <w:r>
        <w:rPr>
          <w:rStyle w:val="Strong"/>
          <w:rFonts w:ascii="Times New Roman" w:hAnsi="Times New Roman" w:cs="Times New Roman"/>
          <w:color w:val="000000" w:themeColor="text1"/>
          <w:sz w:val="24"/>
          <w:szCs w:val="24"/>
        </w:rPr>
        <w:t>ure</w:t>
      </w:r>
      <w:r w:rsidRPr="003B116F">
        <w:rPr>
          <w:rStyle w:val="Strong"/>
          <w:rFonts w:ascii="Times New Roman" w:hAnsi="Times New Roman" w:cs="Times New Roman"/>
          <w:color w:val="000000" w:themeColor="text1"/>
          <w:sz w:val="24"/>
          <w:szCs w:val="24"/>
        </w:rPr>
        <w:t xml:space="preserve"> S2</w:t>
      </w:r>
      <w:r>
        <w:rPr>
          <w:rStyle w:val="Strong"/>
          <w:rFonts w:ascii="Times New Roman" w:hAnsi="Times New Roman" w:cs="Times New Roman"/>
          <w:color w:val="000000" w:themeColor="text1"/>
          <w:sz w:val="24"/>
          <w:szCs w:val="24"/>
        </w:rPr>
        <w:t>.</w:t>
      </w:r>
      <w:r w:rsidRPr="003B116F">
        <w:rPr>
          <w:rStyle w:val="Strong"/>
          <w:rFonts w:ascii="Times New Roman" w:hAnsi="Times New Roman" w:cs="Times New Roman"/>
          <w:color w:val="000000" w:themeColor="text1"/>
          <w:sz w:val="24"/>
          <w:szCs w:val="24"/>
        </w:rPr>
        <w:t xml:space="preserve"> Oxford Nanopore whole-metagenome sequencing (WMS) statistics of rhizosphere microbiome samples from 2024 and 2025.</w:t>
      </w:r>
      <w:bookmarkEnd w:id="4"/>
      <w:bookmarkEnd w:id="5"/>
      <w:bookmarkEnd w:id="6"/>
      <w:r w:rsidRPr="003B116F">
        <w:rPr>
          <w:rFonts w:ascii="Times New Roman" w:hAnsi="Times New Roman" w:cs="Times New Roman"/>
          <w:color w:val="000000" w:themeColor="text1"/>
          <w:sz w:val="24"/>
          <w:szCs w:val="24"/>
        </w:rPr>
        <w:t xml:space="preserve"> </w:t>
      </w:r>
    </w:p>
    <w:p w14:paraId="34BE08BB" w14:textId="77777777" w:rsidR="00592FA2" w:rsidRPr="003B116F" w:rsidRDefault="00592FA2" w:rsidP="00592FA2">
      <w:pPr>
        <w:spacing w:line="360" w:lineRule="auto"/>
        <w:jc w:val="both"/>
        <w:rPr>
          <w:rFonts w:ascii="Times New Roman" w:hAnsi="Times New Roman" w:cs="Times New Roman"/>
          <w:color w:val="000000" w:themeColor="text1"/>
        </w:rPr>
      </w:pPr>
      <w:r w:rsidRPr="003B116F">
        <w:rPr>
          <w:rFonts w:ascii="Times New Roman" w:hAnsi="Times New Roman" w:cs="Times New Roman"/>
          <w:b/>
          <w:bCs/>
          <w:color w:val="000000" w:themeColor="text1"/>
        </w:rPr>
        <w:t xml:space="preserve">(a </w:t>
      </w:r>
      <w:r w:rsidRPr="003B116F">
        <w:rPr>
          <w:rFonts w:ascii="Times New Roman" w:hAnsi="Times New Roman" w:cs="Times New Roman"/>
          <w:color w:val="000000" w:themeColor="text1"/>
        </w:rPr>
        <w:t>and</w:t>
      </w:r>
      <w:r w:rsidRPr="003B116F">
        <w:rPr>
          <w:rFonts w:ascii="Times New Roman" w:hAnsi="Times New Roman" w:cs="Times New Roman"/>
          <w:b/>
          <w:bCs/>
          <w:color w:val="000000" w:themeColor="text1"/>
        </w:rPr>
        <w:t xml:space="preserve"> b)</w:t>
      </w:r>
      <w:r w:rsidRPr="003B116F">
        <w:rPr>
          <w:rFonts w:ascii="Times New Roman" w:hAnsi="Times New Roman" w:cs="Times New Roman"/>
          <w:color w:val="000000" w:themeColor="text1"/>
        </w:rPr>
        <w:t xml:space="preserve"> Mean read length (bars) and average Phred quality scores (yellow dots) for individual genotypes sequenced in 2024 </w:t>
      </w:r>
      <w:r w:rsidRPr="003B116F">
        <w:rPr>
          <w:rFonts w:ascii="Times New Roman" w:hAnsi="Times New Roman" w:cs="Times New Roman"/>
          <w:b/>
          <w:bCs/>
          <w:color w:val="000000" w:themeColor="text1"/>
        </w:rPr>
        <w:t>(a)</w:t>
      </w:r>
      <w:r w:rsidRPr="003B116F">
        <w:rPr>
          <w:rFonts w:ascii="Times New Roman" w:hAnsi="Times New Roman" w:cs="Times New Roman"/>
          <w:color w:val="000000" w:themeColor="text1"/>
        </w:rPr>
        <w:t xml:space="preserve"> and 2025 </w:t>
      </w:r>
      <w:r w:rsidRPr="003B116F">
        <w:rPr>
          <w:rFonts w:ascii="Times New Roman" w:hAnsi="Times New Roman" w:cs="Times New Roman"/>
          <w:b/>
          <w:bCs/>
          <w:color w:val="000000" w:themeColor="text1"/>
        </w:rPr>
        <w:t>(b)</w:t>
      </w:r>
      <w:r w:rsidRPr="003B116F">
        <w:rPr>
          <w:rFonts w:ascii="Times New Roman" w:hAnsi="Times New Roman" w:cs="Times New Roman"/>
          <w:color w:val="000000" w:themeColor="text1"/>
        </w:rPr>
        <w:t xml:space="preserve">. </w:t>
      </w:r>
      <w:r w:rsidRPr="003B116F">
        <w:rPr>
          <w:rFonts w:ascii="Times New Roman" w:hAnsi="Times New Roman" w:cs="Times New Roman"/>
          <w:b/>
          <w:bCs/>
          <w:color w:val="000000" w:themeColor="text1"/>
        </w:rPr>
        <w:t xml:space="preserve">(c </w:t>
      </w:r>
      <w:r w:rsidRPr="003B116F">
        <w:rPr>
          <w:rFonts w:ascii="Times New Roman" w:hAnsi="Times New Roman" w:cs="Times New Roman"/>
          <w:color w:val="000000" w:themeColor="text1"/>
        </w:rPr>
        <w:t>and</w:t>
      </w:r>
      <w:r w:rsidRPr="003B116F">
        <w:rPr>
          <w:rFonts w:ascii="Times New Roman" w:hAnsi="Times New Roman" w:cs="Times New Roman"/>
          <w:b/>
          <w:bCs/>
          <w:color w:val="000000" w:themeColor="text1"/>
        </w:rPr>
        <w:t xml:space="preserve"> d)</w:t>
      </w:r>
      <w:r w:rsidRPr="003B116F">
        <w:rPr>
          <w:rFonts w:ascii="Times New Roman" w:hAnsi="Times New Roman" w:cs="Times New Roman"/>
          <w:color w:val="000000" w:themeColor="text1"/>
        </w:rPr>
        <w:t xml:space="preserve"> Total number of reads (bars) and cumulative sequencing yield (orange dots, in </w:t>
      </w:r>
      <w:proofErr w:type="spellStart"/>
      <w:r w:rsidRPr="003B116F">
        <w:rPr>
          <w:rFonts w:ascii="Times New Roman" w:hAnsi="Times New Roman" w:cs="Times New Roman"/>
          <w:color w:val="000000" w:themeColor="text1"/>
        </w:rPr>
        <w:t>gigabases</w:t>
      </w:r>
      <w:proofErr w:type="spellEnd"/>
      <w:r w:rsidRPr="003B116F">
        <w:rPr>
          <w:rFonts w:ascii="Times New Roman" w:hAnsi="Times New Roman" w:cs="Times New Roman"/>
          <w:color w:val="000000" w:themeColor="text1"/>
        </w:rPr>
        <w:t xml:space="preserve">) obtained from each sample for 2024 </w:t>
      </w:r>
      <w:r w:rsidRPr="003B116F">
        <w:rPr>
          <w:rFonts w:ascii="Times New Roman" w:hAnsi="Times New Roman" w:cs="Times New Roman"/>
          <w:b/>
          <w:bCs/>
          <w:color w:val="000000" w:themeColor="text1"/>
        </w:rPr>
        <w:t>(c)</w:t>
      </w:r>
      <w:r w:rsidRPr="003B116F">
        <w:rPr>
          <w:rFonts w:ascii="Times New Roman" w:hAnsi="Times New Roman" w:cs="Times New Roman"/>
          <w:color w:val="000000" w:themeColor="text1"/>
        </w:rPr>
        <w:t xml:space="preserve"> and 2025 </w:t>
      </w:r>
      <w:r w:rsidRPr="003B116F">
        <w:rPr>
          <w:rFonts w:ascii="Times New Roman" w:hAnsi="Times New Roman" w:cs="Times New Roman"/>
          <w:b/>
          <w:bCs/>
          <w:color w:val="000000" w:themeColor="text1"/>
        </w:rPr>
        <w:t>(d)</w:t>
      </w:r>
      <w:r w:rsidRPr="003B116F">
        <w:rPr>
          <w:rFonts w:ascii="Times New Roman" w:hAnsi="Times New Roman" w:cs="Times New Roman"/>
          <w:color w:val="000000" w:themeColor="text1"/>
        </w:rPr>
        <w:t xml:space="preserve">. </w:t>
      </w:r>
      <w:r w:rsidRPr="003B116F">
        <w:rPr>
          <w:rFonts w:ascii="Times New Roman" w:hAnsi="Times New Roman" w:cs="Times New Roman"/>
          <w:b/>
          <w:bCs/>
          <w:color w:val="000000" w:themeColor="text1"/>
        </w:rPr>
        <w:t xml:space="preserve">(e </w:t>
      </w:r>
      <w:r w:rsidRPr="003B116F">
        <w:rPr>
          <w:rFonts w:ascii="Times New Roman" w:hAnsi="Times New Roman" w:cs="Times New Roman"/>
          <w:color w:val="000000" w:themeColor="text1"/>
        </w:rPr>
        <w:t>and</w:t>
      </w:r>
      <w:r w:rsidRPr="003B116F">
        <w:rPr>
          <w:rFonts w:ascii="Times New Roman" w:hAnsi="Times New Roman" w:cs="Times New Roman"/>
          <w:b/>
          <w:bCs/>
          <w:color w:val="000000" w:themeColor="text1"/>
        </w:rPr>
        <w:t xml:space="preserve"> f)</w:t>
      </w:r>
      <w:r w:rsidRPr="003B116F">
        <w:rPr>
          <w:rFonts w:ascii="Times New Roman" w:hAnsi="Times New Roman" w:cs="Times New Roman"/>
          <w:color w:val="000000" w:themeColor="text1"/>
        </w:rPr>
        <w:t xml:space="preserve"> Relative proportions of classified bacterial (green) and fungal (blue) reads across samples from 2024 </w:t>
      </w:r>
      <w:r w:rsidRPr="003B116F">
        <w:rPr>
          <w:rFonts w:ascii="Times New Roman" w:hAnsi="Times New Roman" w:cs="Times New Roman"/>
          <w:b/>
          <w:bCs/>
          <w:color w:val="000000" w:themeColor="text1"/>
        </w:rPr>
        <w:t>(e)</w:t>
      </w:r>
      <w:r w:rsidRPr="003B116F">
        <w:rPr>
          <w:rFonts w:ascii="Times New Roman" w:hAnsi="Times New Roman" w:cs="Times New Roman"/>
          <w:color w:val="000000" w:themeColor="text1"/>
        </w:rPr>
        <w:t xml:space="preserve"> and 2025 </w:t>
      </w:r>
      <w:r w:rsidRPr="003B116F">
        <w:rPr>
          <w:rFonts w:ascii="Times New Roman" w:hAnsi="Times New Roman" w:cs="Times New Roman"/>
          <w:b/>
          <w:bCs/>
          <w:color w:val="000000" w:themeColor="text1"/>
        </w:rPr>
        <w:t>(f)</w:t>
      </w:r>
      <w:r w:rsidRPr="003B116F">
        <w:rPr>
          <w:rFonts w:ascii="Times New Roman" w:hAnsi="Times New Roman" w:cs="Times New Roman"/>
          <w:color w:val="000000" w:themeColor="text1"/>
        </w:rPr>
        <w:t>, as determined by Kraken2 using the prebuilt bacterial and fungal genome databases. ONT long-read sequencing produced high-quality datasets suitable for metagenomic analysis, with bacterial reads comprising the majority of classified sequences in both years. Each genotype is represented by two biological replicates per year.</w:t>
      </w:r>
    </w:p>
    <w:p w14:paraId="7961B4D0" w14:textId="77777777" w:rsidR="00592FA2" w:rsidRPr="003B116F" w:rsidRDefault="00592FA2" w:rsidP="00592FA2">
      <w:pPr>
        <w:jc w:val="center"/>
        <w:rPr>
          <w:rFonts w:ascii="Times New Roman" w:hAnsi="Times New Roman" w:cs="Times New Roman"/>
        </w:rPr>
      </w:pPr>
      <w:r w:rsidRPr="003B116F">
        <w:rPr>
          <w:rFonts w:ascii="Times New Roman" w:hAnsi="Times New Roman" w:cs="Times New Roman"/>
          <w:noProof/>
        </w:rPr>
        <w:lastRenderedPageBreak/>
        <w:drawing>
          <wp:inline distT="0" distB="0" distL="0" distR="0" wp14:anchorId="37843943" wp14:editId="66959308">
            <wp:extent cx="5943600" cy="4022725"/>
            <wp:effectExtent l="0" t="0" r="0" b="3175"/>
            <wp:docPr id="1006930230" name="Picture 3" descr="A group of bar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30230" name="Picture 3" descr="A group of bar graph&#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4022725"/>
                    </a:xfrm>
                    <a:prstGeom prst="rect">
                      <a:avLst/>
                    </a:prstGeom>
                  </pic:spPr>
                </pic:pic>
              </a:graphicData>
            </a:graphic>
          </wp:inline>
        </w:drawing>
      </w:r>
    </w:p>
    <w:p w14:paraId="34628952" w14:textId="798DD981" w:rsidR="00592FA2" w:rsidRPr="003B116F" w:rsidRDefault="00592FA2" w:rsidP="00592FA2">
      <w:pPr>
        <w:pStyle w:val="Heading1"/>
        <w:spacing w:line="360" w:lineRule="auto"/>
        <w:jc w:val="both"/>
        <w:rPr>
          <w:rFonts w:ascii="Times New Roman" w:hAnsi="Times New Roman" w:cs="Times New Roman"/>
          <w:color w:val="000000" w:themeColor="text1"/>
        </w:rPr>
      </w:pPr>
      <w:bookmarkStart w:id="7" w:name="_Toc222220433"/>
      <w:bookmarkStart w:id="8" w:name="_Toc222221560"/>
      <w:bookmarkStart w:id="9" w:name="_Toc222226738"/>
      <w:r w:rsidRPr="003B116F">
        <w:rPr>
          <w:rFonts w:ascii="Times New Roman" w:hAnsi="Times New Roman" w:cs="Times New Roman"/>
          <w:b/>
          <w:bCs/>
          <w:color w:val="000000" w:themeColor="text1"/>
          <w:sz w:val="24"/>
          <w:szCs w:val="24"/>
        </w:rPr>
        <w:t>Fig</w:t>
      </w:r>
      <w:r>
        <w:rPr>
          <w:rFonts w:ascii="Times New Roman" w:hAnsi="Times New Roman" w:cs="Times New Roman"/>
          <w:b/>
          <w:bCs/>
          <w:color w:val="000000" w:themeColor="text1"/>
          <w:sz w:val="24"/>
          <w:szCs w:val="24"/>
        </w:rPr>
        <w:t>ure</w:t>
      </w:r>
      <w:r w:rsidRPr="003B116F">
        <w:rPr>
          <w:rFonts w:ascii="Times New Roman" w:hAnsi="Times New Roman" w:cs="Times New Roman"/>
          <w:b/>
          <w:bCs/>
          <w:color w:val="000000" w:themeColor="text1"/>
          <w:sz w:val="24"/>
          <w:szCs w:val="24"/>
        </w:rPr>
        <w:t xml:space="preserve"> S3</w:t>
      </w:r>
      <w:r>
        <w:rPr>
          <w:rFonts w:ascii="Times New Roman" w:hAnsi="Times New Roman" w:cs="Times New Roman"/>
          <w:b/>
          <w:bCs/>
          <w:color w:val="000000" w:themeColor="text1"/>
          <w:sz w:val="24"/>
          <w:szCs w:val="24"/>
        </w:rPr>
        <w:t>.</w:t>
      </w:r>
      <w:r w:rsidRPr="003B116F">
        <w:rPr>
          <w:rFonts w:ascii="Times New Roman" w:hAnsi="Times New Roman" w:cs="Times New Roman"/>
          <w:color w:val="000000" w:themeColor="text1"/>
          <w:sz w:val="24"/>
          <w:szCs w:val="24"/>
        </w:rPr>
        <w:t xml:space="preserve"> </w:t>
      </w:r>
      <w:r w:rsidRPr="003B116F">
        <w:rPr>
          <w:rStyle w:val="Strong"/>
          <w:rFonts w:ascii="Times New Roman" w:hAnsi="Times New Roman" w:cs="Times New Roman"/>
          <w:color w:val="000000" w:themeColor="text1"/>
          <w:sz w:val="24"/>
          <w:szCs w:val="24"/>
        </w:rPr>
        <w:t>Effect of Kraken2 confidence thresholds on bacterial taxonomic profiles of barley rhizosphere metagenomes.</w:t>
      </w:r>
      <w:bookmarkEnd w:id="7"/>
      <w:bookmarkEnd w:id="8"/>
      <w:bookmarkEnd w:id="9"/>
      <w:r w:rsidRPr="003B116F">
        <w:rPr>
          <w:rFonts w:ascii="Times New Roman" w:hAnsi="Times New Roman" w:cs="Times New Roman"/>
          <w:color w:val="000000" w:themeColor="text1"/>
          <w:sz w:val="24"/>
          <w:szCs w:val="24"/>
        </w:rPr>
        <w:t xml:space="preserve"> </w:t>
      </w:r>
    </w:p>
    <w:p w14:paraId="433AEF12" w14:textId="77777777" w:rsidR="00592FA2" w:rsidRPr="003B116F" w:rsidRDefault="00592FA2" w:rsidP="00592FA2">
      <w:pPr>
        <w:spacing w:line="360" w:lineRule="auto"/>
        <w:jc w:val="both"/>
        <w:rPr>
          <w:rFonts w:ascii="Times New Roman" w:hAnsi="Times New Roman" w:cs="Times New Roman"/>
          <w:color w:val="000000" w:themeColor="text1"/>
        </w:rPr>
      </w:pPr>
      <w:r w:rsidRPr="003B116F">
        <w:rPr>
          <w:rFonts w:ascii="Times New Roman" w:hAnsi="Times New Roman" w:cs="Times New Roman"/>
          <w:color w:val="000000" w:themeColor="text1"/>
        </w:rPr>
        <w:t xml:space="preserve">Stacked bar plots show the relative abundance of the top 10 bacterial genera identified from Oxford Nanopore whole-metagenome sequencing using Kraken2 classification at increased confidence thresholds. </w:t>
      </w:r>
      <w:r w:rsidRPr="003B116F">
        <w:rPr>
          <w:rFonts w:ascii="Times New Roman" w:hAnsi="Times New Roman" w:cs="Times New Roman"/>
          <w:b/>
          <w:bCs/>
          <w:color w:val="000000" w:themeColor="text1"/>
        </w:rPr>
        <w:t>(a)</w:t>
      </w:r>
      <w:r w:rsidRPr="003B116F">
        <w:rPr>
          <w:rFonts w:ascii="Times New Roman" w:hAnsi="Times New Roman" w:cs="Times New Roman"/>
          <w:color w:val="000000" w:themeColor="text1"/>
        </w:rPr>
        <w:t xml:space="preserve"> Bacterial genus composition for samples collected in 2024 classified with a confidence threshold of 0.5. </w:t>
      </w:r>
      <w:r w:rsidRPr="003B116F">
        <w:rPr>
          <w:rFonts w:ascii="Times New Roman" w:hAnsi="Times New Roman" w:cs="Times New Roman"/>
          <w:b/>
          <w:bCs/>
          <w:color w:val="000000" w:themeColor="text1"/>
        </w:rPr>
        <w:t>(b)</w:t>
      </w:r>
      <w:r w:rsidRPr="003B116F">
        <w:rPr>
          <w:rFonts w:ascii="Times New Roman" w:hAnsi="Times New Roman" w:cs="Times New Roman"/>
          <w:color w:val="000000" w:themeColor="text1"/>
        </w:rPr>
        <w:t xml:space="preserve"> Bacterial genus composition for 2024 samples classified with a confidence threshold of 0.7. </w:t>
      </w:r>
      <w:r w:rsidRPr="003B116F">
        <w:rPr>
          <w:rFonts w:ascii="Times New Roman" w:hAnsi="Times New Roman" w:cs="Times New Roman"/>
          <w:b/>
          <w:bCs/>
          <w:color w:val="000000" w:themeColor="text1"/>
        </w:rPr>
        <w:t>(c)</w:t>
      </w:r>
      <w:r w:rsidRPr="003B116F">
        <w:rPr>
          <w:rFonts w:ascii="Times New Roman" w:hAnsi="Times New Roman" w:cs="Times New Roman"/>
          <w:color w:val="000000" w:themeColor="text1"/>
        </w:rPr>
        <w:t xml:space="preserve"> Bacterial genus composition for samples collected in 2025 classified with a confidence threshold of 0.5. </w:t>
      </w:r>
      <w:r w:rsidRPr="003B116F">
        <w:rPr>
          <w:rFonts w:ascii="Times New Roman" w:hAnsi="Times New Roman" w:cs="Times New Roman"/>
          <w:b/>
          <w:bCs/>
          <w:color w:val="000000" w:themeColor="text1"/>
        </w:rPr>
        <w:t>(d)</w:t>
      </w:r>
      <w:r w:rsidRPr="003B116F">
        <w:rPr>
          <w:rFonts w:ascii="Times New Roman" w:hAnsi="Times New Roman" w:cs="Times New Roman"/>
          <w:color w:val="000000" w:themeColor="text1"/>
        </w:rPr>
        <w:t xml:space="preserve"> Bacterial genus composition for 2025 samples classified with a confidence threshold of 0.7. Only classified reads were retained, and relative abundances were re-normalized to 100% after removal of unclassified reads. Across both years, increasing the confidence threshold reduced low-abundance taxa but preserved dominant genera and overall genotype-associated community patterns.</w:t>
      </w:r>
    </w:p>
    <w:p w14:paraId="46F26F0A" w14:textId="77777777" w:rsidR="00592FA2" w:rsidRPr="003B116F" w:rsidRDefault="00592FA2" w:rsidP="00592FA2">
      <w:pPr>
        <w:rPr>
          <w:rFonts w:ascii="Times New Roman" w:hAnsi="Times New Roman" w:cs="Times New Roman"/>
        </w:rPr>
      </w:pPr>
    </w:p>
    <w:p w14:paraId="5D9AA2E1" w14:textId="77777777" w:rsidR="00592FA2" w:rsidRPr="003B116F" w:rsidRDefault="00592FA2" w:rsidP="00592FA2">
      <w:pPr>
        <w:jc w:val="center"/>
        <w:rPr>
          <w:rFonts w:ascii="Times New Roman" w:hAnsi="Times New Roman" w:cs="Times New Roman"/>
        </w:rPr>
      </w:pPr>
      <w:r w:rsidRPr="003B116F">
        <w:rPr>
          <w:rFonts w:ascii="Times New Roman" w:hAnsi="Times New Roman" w:cs="Times New Roman"/>
          <w:noProof/>
        </w:rPr>
        <w:lastRenderedPageBreak/>
        <w:drawing>
          <wp:inline distT="0" distB="0" distL="0" distR="0" wp14:anchorId="133695FE" wp14:editId="3024DCF5">
            <wp:extent cx="6210290" cy="6569242"/>
            <wp:effectExtent l="0" t="0" r="635" b="0"/>
            <wp:docPr id="1863501288" name="Picture 4"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501288" name="Picture 4" descr="A screenshot of a graph&#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6274445" cy="6637106"/>
                    </a:xfrm>
                    <a:prstGeom prst="rect">
                      <a:avLst/>
                    </a:prstGeom>
                  </pic:spPr>
                </pic:pic>
              </a:graphicData>
            </a:graphic>
          </wp:inline>
        </w:drawing>
      </w:r>
    </w:p>
    <w:p w14:paraId="10678030" w14:textId="1E275199" w:rsidR="00592FA2" w:rsidRPr="003B116F" w:rsidRDefault="00592FA2" w:rsidP="00592FA2">
      <w:pPr>
        <w:pStyle w:val="Heading1"/>
        <w:spacing w:line="360" w:lineRule="auto"/>
        <w:jc w:val="both"/>
        <w:rPr>
          <w:rStyle w:val="Strong"/>
          <w:rFonts w:ascii="Times New Roman" w:hAnsi="Times New Roman" w:cs="Times New Roman"/>
          <w:color w:val="000000" w:themeColor="text1"/>
        </w:rPr>
      </w:pPr>
      <w:bookmarkStart w:id="10" w:name="_Toc222220434"/>
      <w:bookmarkStart w:id="11" w:name="_Toc222221561"/>
      <w:bookmarkStart w:id="12" w:name="_Toc222226739"/>
      <w:r w:rsidRPr="003B116F">
        <w:rPr>
          <w:rStyle w:val="Strong"/>
          <w:rFonts w:ascii="Times New Roman" w:hAnsi="Times New Roman" w:cs="Times New Roman"/>
          <w:color w:val="000000" w:themeColor="text1"/>
          <w:sz w:val="24"/>
          <w:szCs w:val="24"/>
        </w:rPr>
        <w:t>Fig</w:t>
      </w:r>
      <w:r>
        <w:rPr>
          <w:rStyle w:val="Strong"/>
          <w:rFonts w:ascii="Times New Roman" w:hAnsi="Times New Roman" w:cs="Times New Roman"/>
          <w:color w:val="000000" w:themeColor="text1"/>
          <w:sz w:val="24"/>
          <w:szCs w:val="24"/>
        </w:rPr>
        <w:t>ure</w:t>
      </w:r>
      <w:r w:rsidRPr="003B116F">
        <w:rPr>
          <w:rStyle w:val="Strong"/>
          <w:rFonts w:ascii="Times New Roman" w:hAnsi="Times New Roman" w:cs="Times New Roman"/>
          <w:color w:val="000000" w:themeColor="text1"/>
          <w:sz w:val="24"/>
          <w:szCs w:val="24"/>
        </w:rPr>
        <w:t xml:space="preserve"> S4</w:t>
      </w:r>
      <w:r>
        <w:rPr>
          <w:rStyle w:val="Strong"/>
          <w:rFonts w:ascii="Times New Roman" w:hAnsi="Times New Roman" w:cs="Times New Roman"/>
          <w:color w:val="000000" w:themeColor="text1"/>
          <w:sz w:val="24"/>
          <w:szCs w:val="24"/>
        </w:rPr>
        <w:t>.</w:t>
      </w:r>
      <w:r w:rsidRPr="003B116F">
        <w:rPr>
          <w:rStyle w:val="Strong"/>
          <w:rFonts w:ascii="Times New Roman" w:hAnsi="Times New Roman" w:cs="Times New Roman"/>
          <w:color w:val="000000" w:themeColor="text1"/>
          <w:sz w:val="24"/>
          <w:szCs w:val="24"/>
        </w:rPr>
        <w:t xml:space="preserve"> Alpha and beta diversity of WMS-derived bacterial communities in rhizosphere samples from 2024 and 2025.</w:t>
      </w:r>
      <w:bookmarkEnd w:id="10"/>
      <w:bookmarkEnd w:id="11"/>
      <w:bookmarkEnd w:id="12"/>
      <w:r w:rsidRPr="003B116F">
        <w:rPr>
          <w:rStyle w:val="Strong"/>
          <w:rFonts w:ascii="Times New Roman" w:hAnsi="Times New Roman" w:cs="Times New Roman"/>
          <w:color w:val="000000" w:themeColor="text1"/>
          <w:sz w:val="24"/>
          <w:szCs w:val="24"/>
        </w:rPr>
        <w:t xml:space="preserve"> </w:t>
      </w:r>
    </w:p>
    <w:p w14:paraId="6DAD5ADF" w14:textId="77777777" w:rsidR="00592FA2" w:rsidRPr="003B116F" w:rsidRDefault="00592FA2" w:rsidP="00592FA2">
      <w:pPr>
        <w:spacing w:line="360" w:lineRule="auto"/>
        <w:jc w:val="both"/>
        <w:rPr>
          <w:rFonts w:ascii="Times New Roman" w:hAnsi="Times New Roman" w:cs="Times New Roman"/>
          <w:color w:val="000000" w:themeColor="text1"/>
        </w:rPr>
      </w:pPr>
      <w:r w:rsidRPr="003B116F">
        <w:rPr>
          <w:rStyle w:val="Strong"/>
          <w:rFonts w:ascii="Times New Roman" w:hAnsi="Times New Roman" w:cs="Times New Roman"/>
          <w:color w:val="000000" w:themeColor="text1"/>
        </w:rPr>
        <w:t>(a - c)</w:t>
      </w:r>
      <w:r w:rsidRPr="003B116F">
        <w:rPr>
          <w:rFonts w:ascii="Times New Roman" w:hAnsi="Times New Roman" w:cs="Times New Roman"/>
          <w:color w:val="000000" w:themeColor="text1"/>
        </w:rPr>
        <w:t xml:space="preserve"> Alpha diversity indices for 2024 samples, including species richness </w:t>
      </w:r>
      <w:r w:rsidRPr="003B116F">
        <w:rPr>
          <w:rFonts w:ascii="Times New Roman" w:hAnsi="Times New Roman" w:cs="Times New Roman"/>
          <w:b/>
          <w:bCs/>
          <w:color w:val="000000" w:themeColor="text1"/>
        </w:rPr>
        <w:t>(a)</w:t>
      </w:r>
      <w:r w:rsidRPr="003B116F">
        <w:rPr>
          <w:rFonts w:ascii="Times New Roman" w:hAnsi="Times New Roman" w:cs="Times New Roman"/>
          <w:color w:val="000000" w:themeColor="text1"/>
        </w:rPr>
        <w:t xml:space="preserve">, Shannon </w:t>
      </w:r>
      <w:r w:rsidRPr="003B116F">
        <w:rPr>
          <w:rFonts w:ascii="Times New Roman" w:hAnsi="Times New Roman" w:cs="Times New Roman"/>
          <w:b/>
          <w:bCs/>
          <w:color w:val="000000" w:themeColor="text1"/>
        </w:rPr>
        <w:t>(b)</w:t>
      </w:r>
      <w:r w:rsidRPr="003B116F">
        <w:rPr>
          <w:rFonts w:ascii="Times New Roman" w:hAnsi="Times New Roman" w:cs="Times New Roman"/>
          <w:color w:val="000000" w:themeColor="text1"/>
        </w:rPr>
        <w:t xml:space="preserve">, and Simpson </w:t>
      </w:r>
      <w:r w:rsidRPr="003B116F">
        <w:rPr>
          <w:rFonts w:ascii="Times New Roman" w:hAnsi="Times New Roman" w:cs="Times New Roman"/>
          <w:b/>
          <w:bCs/>
          <w:color w:val="000000" w:themeColor="text1"/>
        </w:rPr>
        <w:t>(c)</w:t>
      </w:r>
      <w:r w:rsidRPr="003B116F">
        <w:rPr>
          <w:rFonts w:ascii="Times New Roman" w:hAnsi="Times New Roman" w:cs="Times New Roman"/>
          <w:color w:val="000000" w:themeColor="text1"/>
        </w:rPr>
        <w:t xml:space="preserve"> indices (Kruskal-Wallis, </w:t>
      </w:r>
      <w:r w:rsidRPr="003B116F">
        <w:rPr>
          <w:rFonts w:ascii="Times New Roman" w:hAnsi="Times New Roman" w:cs="Times New Roman"/>
          <w:i/>
          <w:iCs/>
          <w:color w:val="000000" w:themeColor="text1"/>
        </w:rPr>
        <w:t>p</w:t>
      </w:r>
      <w:r w:rsidRPr="003B116F">
        <w:rPr>
          <w:rFonts w:ascii="Times New Roman" w:hAnsi="Times New Roman" w:cs="Times New Roman"/>
          <w:color w:val="000000" w:themeColor="text1"/>
        </w:rPr>
        <w:t xml:space="preserve"> &gt; 0.05; Richness: χ² = 9.59, </w:t>
      </w:r>
      <w:r w:rsidRPr="003B116F">
        <w:rPr>
          <w:rStyle w:val="Emphasis"/>
          <w:rFonts w:ascii="Times New Roman" w:hAnsi="Times New Roman" w:cs="Times New Roman"/>
          <w:color w:val="000000" w:themeColor="text1"/>
        </w:rPr>
        <w:t>p</w:t>
      </w:r>
      <w:r w:rsidRPr="003B116F">
        <w:rPr>
          <w:rFonts w:ascii="Times New Roman" w:hAnsi="Times New Roman" w:cs="Times New Roman"/>
          <w:color w:val="000000" w:themeColor="text1"/>
        </w:rPr>
        <w:t xml:space="preserve"> = 0.0877). </w:t>
      </w:r>
      <w:r w:rsidRPr="003B116F">
        <w:rPr>
          <w:rStyle w:val="Strong"/>
          <w:rFonts w:ascii="Times New Roman" w:hAnsi="Times New Roman" w:cs="Times New Roman"/>
          <w:color w:val="000000" w:themeColor="text1"/>
        </w:rPr>
        <w:t>(d - f)</w:t>
      </w:r>
      <w:r w:rsidRPr="003B116F">
        <w:rPr>
          <w:rFonts w:ascii="Times New Roman" w:hAnsi="Times New Roman" w:cs="Times New Roman"/>
          <w:color w:val="000000" w:themeColor="text1"/>
        </w:rPr>
        <w:t xml:space="preserve"> Corresponding alpha diversity indices for 2025 samples (Kruskal-Wallis, </w:t>
      </w:r>
      <w:r w:rsidRPr="003B116F">
        <w:rPr>
          <w:rFonts w:ascii="Times New Roman" w:hAnsi="Times New Roman" w:cs="Times New Roman"/>
          <w:i/>
          <w:iCs/>
          <w:color w:val="000000" w:themeColor="text1"/>
        </w:rPr>
        <w:t>p</w:t>
      </w:r>
      <w:r w:rsidRPr="003B116F">
        <w:rPr>
          <w:rFonts w:ascii="Times New Roman" w:hAnsi="Times New Roman" w:cs="Times New Roman"/>
          <w:color w:val="000000" w:themeColor="text1"/>
        </w:rPr>
        <w:t xml:space="preserve"> &gt; 0.05; χ² = 10.50, </w:t>
      </w:r>
      <w:r w:rsidRPr="003B116F">
        <w:rPr>
          <w:rStyle w:val="Emphasis"/>
          <w:rFonts w:ascii="Times New Roman" w:hAnsi="Times New Roman" w:cs="Times New Roman"/>
          <w:color w:val="000000" w:themeColor="text1"/>
        </w:rPr>
        <w:t>p</w:t>
      </w:r>
      <w:r w:rsidRPr="003B116F">
        <w:rPr>
          <w:rFonts w:ascii="Times New Roman" w:hAnsi="Times New Roman" w:cs="Times New Roman"/>
          <w:color w:val="000000" w:themeColor="text1"/>
        </w:rPr>
        <w:t xml:space="preserve"> = </w:t>
      </w:r>
      <w:r w:rsidRPr="003B116F">
        <w:rPr>
          <w:rFonts w:ascii="Times New Roman" w:hAnsi="Times New Roman" w:cs="Times New Roman"/>
          <w:color w:val="000000" w:themeColor="text1"/>
        </w:rPr>
        <w:lastRenderedPageBreak/>
        <w:t xml:space="preserve">0.0623). </w:t>
      </w:r>
      <w:r w:rsidRPr="003B116F">
        <w:rPr>
          <w:rFonts w:ascii="Times New Roman" w:hAnsi="Times New Roman" w:cs="Times New Roman"/>
          <w:b/>
          <w:bCs/>
          <w:color w:val="000000" w:themeColor="text1"/>
        </w:rPr>
        <w:t>(a - f)</w:t>
      </w:r>
      <w:r w:rsidRPr="003B116F">
        <w:rPr>
          <w:rFonts w:ascii="Times New Roman" w:hAnsi="Times New Roman" w:cs="Times New Roman"/>
          <w:color w:val="000000" w:themeColor="text1"/>
        </w:rPr>
        <w:t xml:space="preserve"> Across both years, no statistically significant differences were observed among barley genotypes, indicating comparable community richness and evenness. On average, 2025 samples exhibited higher genus richness (220 - 450 genera) than those from 2024 (100 - 150 genera), suggesting a more complex rhizosphere microbiome. </w:t>
      </w:r>
      <w:r w:rsidRPr="003B116F">
        <w:rPr>
          <w:rStyle w:val="Strong"/>
          <w:rFonts w:ascii="Times New Roman" w:hAnsi="Times New Roman" w:cs="Times New Roman"/>
          <w:color w:val="000000" w:themeColor="text1"/>
        </w:rPr>
        <w:t xml:space="preserve">(g </w:t>
      </w:r>
      <w:r w:rsidRPr="003B116F">
        <w:rPr>
          <w:rStyle w:val="Strong"/>
          <w:rFonts w:ascii="Times New Roman" w:hAnsi="Times New Roman" w:cs="Times New Roman"/>
          <w:b w:val="0"/>
          <w:bCs w:val="0"/>
          <w:color w:val="000000" w:themeColor="text1"/>
        </w:rPr>
        <w:t>and</w:t>
      </w:r>
      <w:r w:rsidRPr="003B116F">
        <w:rPr>
          <w:rStyle w:val="Strong"/>
          <w:rFonts w:ascii="Times New Roman" w:hAnsi="Times New Roman" w:cs="Times New Roman"/>
          <w:color w:val="000000" w:themeColor="text1"/>
        </w:rPr>
        <w:t xml:space="preserve"> h)</w:t>
      </w:r>
      <w:r w:rsidRPr="003B116F">
        <w:rPr>
          <w:rFonts w:ascii="Times New Roman" w:hAnsi="Times New Roman" w:cs="Times New Roman"/>
          <w:color w:val="000000" w:themeColor="text1"/>
        </w:rPr>
        <w:t xml:space="preserve"> Principal Coordinate Analysis (</w:t>
      </w:r>
      <w:proofErr w:type="spellStart"/>
      <w:r w:rsidRPr="003B116F">
        <w:rPr>
          <w:rFonts w:ascii="Times New Roman" w:hAnsi="Times New Roman" w:cs="Times New Roman"/>
          <w:color w:val="000000" w:themeColor="text1"/>
        </w:rPr>
        <w:t>PCoA</w:t>
      </w:r>
      <w:proofErr w:type="spellEnd"/>
      <w:r w:rsidRPr="003B116F">
        <w:rPr>
          <w:rFonts w:ascii="Times New Roman" w:hAnsi="Times New Roman" w:cs="Times New Roman"/>
          <w:color w:val="000000" w:themeColor="text1"/>
        </w:rPr>
        <w:t xml:space="preserve">) plots based on Bray-Curtis dissimilarity for 2024 </w:t>
      </w:r>
      <w:r w:rsidRPr="003B116F">
        <w:rPr>
          <w:rFonts w:ascii="Times New Roman" w:hAnsi="Times New Roman" w:cs="Times New Roman"/>
          <w:b/>
          <w:bCs/>
          <w:color w:val="000000" w:themeColor="text1"/>
        </w:rPr>
        <w:t>(g)</w:t>
      </w:r>
      <w:r w:rsidRPr="003B116F">
        <w:rPr>
          <w:rFonts w:ascii="Times New Roman" w:hAnsi="Times New Roman" w:cs="Times New Roman"/>
          <w:color w:val="000000" w:themeColor="text1"/>
        </w:rPr>
        <w:t xml:space="preserve"> and 2025 </w:t>
      </w:r>
      <w:r w:rsidRPr="003B116F">
        <w:rPr>
          <w:rFonts w:ascii="Times New Roman" w:hAnsi="Times New Roman" w:cs="Times New Roman"/>
          <w:b/>
          <w:bCs/>
          <w:color w:val="000000" w:themeColor="text1"/>
        </w:rPr>
        <w:t>(h)</w:t>
      </w:r>
      <w:r w:rsidRPr="003B116F">
        <w:rPr>
          <w:rFonts w:ascii="Times New Roman" w:hAnsi="Times New Roman" w:cs="Times New Roman"/>
          <w:color w:val="000000" w:themeColor="text1"/>
        </w:rPr>
        <w:t>, reflecting differences in bacterial community composition driven by relative taxon abundance (</w:t>
      </w:r>
      <w:r w:rsidRPr="003B116F">
        <w:rPr>
          <w:rStyle w:val="Emphasis"/>
          <w:rFonts w:ascii="Times New Roman" w:hAnsi="Times New Roman" w:cs="Times New Roman"/>
          <w:color w:val="000000" w:themeColor="text1"/>
        </w:rPr>
        <w:t>R²</w:t>
      </w:r>
      <w:r w:rsidRPr="003B116F">
        <w:rPr>
          <w:rFonts w:ascii="Times New Roman" w:hAnsi="Times New Roman" w:cs="Times New Roman"/>
          <w:color w:val="000000" w:themeColor="text1"/>
        </w:rPr>
        <w:t xml:space="preserve"> = 0.79, </w:t>
      </w:r>
      <w:r w:rsidRPr="003B116F">
        <w:rPr>
          <w:rStyle w:val="Emphasis"/>
          <w:rFonts w:ascii="Times New Roman" w:hAnsi="Times New Roman" w:cs="Times New Roman"/>
          <w:color w:val="000000" w:themeColor="text1"/>
        </w:rPr>
        <w:t>F</w:t>
      </w:r>
      <w:r w:rsidRPr="003B116F">
        <w:rPr>
          <w:rFonts w:ascii="Times New Roman" w:hAnsi="Times New Roman" w:cs="Times New Roman"/>
          <w:color w:val="000000" w:themeColor="text1"/>
        </w:rPr>
        <w:t xml:space="preserve"> = 4.64, </w:t>
      </w:r>
      <w:r w:rsidRPr="003B116F">
        <w:rPr>
          <w:rStyle w:val="Emphasis"/>
          <w:rFonts w:ascii="Times New Roman" w:hAnsi="Times New Roman" w:cs="Times New Roman"/>
          <w:color w:val="000000" w:themeColor="text1"/>
        </w:rPr>
        <w:t>p</w:t>
      </w:r>
      <w:r w:rsidRPr="003B116F">
        <w:rPr>
          <w:rFonts w:ascii="Times New Roman" w:hAnsi="Times New Roman" w:cs="Times New Roman"/>
          <w:color w:val="000000" w:themeColor="text1"/>
        </w:rPr>
        <w:t xml:space="preserve"> = 0.001 in 2024; </w:t>
      </w:r>
      <w:r w:rsidRPr="003B116F">
        <w:rPr>
          <w:rStyle w:val="Emphasis"/>
          <w:rFonts w:ascii="Times New Roman" w:hAnsi="Times New Roman" w:cs="Times New Roman"/>
          <w:color w:val="000000" w:themeColor="text1"/>
        </w:rPr>
        <w:t>R²</w:t>
      </w:r>
      <w:r w:rsidRPr="003B116F">
        <w:rPr>
          <w:rFonts w:ascii="Times New Roman" w:hAnsi="Times New Roman" w:cs="Times New Roman"/>
          <w:color w:val="000000" w:themeColor="text1"/>
        </w:rPr>
        <w:t xml:space="preserve"> = 0.93, </w:t>
      </w:r>
      <w:r w:rsidRPr="003B116F">
        <w:rPr>
          <w:rStyle w:val="Emphasis"/>
          <w:rFonts w:ascii="Times New Roman" w:hAnsi="Times New Roman" w:cs="Times New Roman"/>
          <w:color w:val="000000" w:themeColor="text1"/>
        </w:rPr>
        <w:t>F</w:t>
      </w:r>
      <w:r w:rsidRPr="003B116F">
        <w:rPr>
          <w:rFonts w:ascii="Times New Roman" w:hAnsi="Times New Roman" w:cs="Times New Roman"/>
          <w:color w:val="000000" w:themeColor="text1"/>
        </w:rPr>
        <w:t xml:space="preserve"> = 16.91, </w:t>
      </w:r>
      <w:r w:rsidRPr="003B116F">
        <w:rPr>
          <w:rStyle w:val="Emphasis"/>
          <w:rFonts w:ascii="Times New Roman" w:hAnsi="Times New Roman" w:cs="Times New Roman"/>
          <w:color w:val="000000" w:themeColor="text1"/>
        </w:rPr>
        <w:t>p</w:t>
      </w:r>
      <w:r w:rsidRPr="003B116F">
        <w:rPr>
          <w:rFonts w:ascii="Times New Roman" w:hAnsi="Times New Roman" w:cs="Times New Roman"/>
          <w:color w:val="000000" w:themeColor="text1"/>
        </w:rPr>
        <w:t xml:space="preserve"> = 0.001 in 2025). </w:t>
      </w:r>
      <w:r w:rsidRPr="003B116F">
        <w:rPr>
          <w:rStyle w:val="Strong"/>
          <w:rFonts w:ascii="Times New Roman" w:hAnsi="Times New Roman" w:cs="Times New Roman"/>
          <w:color w:val="000000" w:themeColor="text1"/>
        </w:rPr>
        <w:t>(</w:t>
      </w:r>
      <w:proofErr w:type="spellStart"/>
      <w:r w:rsidRPr="003B116F">
        <w:rPr>
          <w:rStyle w:val="Strong"/>
          <w:rFonts w:ascii="Times New Roman" w:hAnsi="Times New Roman" w:cs="Times New Roman"/>
          <w:color w:val="000000" w:themeColor="text1"/>
        </w:rPr>
        <w:t>i</w:t>
      </w:r>
      <w:proofErr w:type="spellEnd"/>
      <w:r w:rsidRPr="003B116F">
        <w:rPr>
          <w:rStyle w:val="Strong"/>
          <w:rFonts w:ascii="Times New Roman" w:hAnsi="Times New Roman" w:cs="Times New Roman"/>
          <w:color w:val="000000" w:themeColor="text1"/>
        </w:rPr>
        <w:t xml:space="preserve"> </w:t>
      </w:r>
      <w:r w:rsidRPr="003B116F">
        <w:rPr>
          <w:rStyle w:val="Strong"/>
          <w:rFonts w:ascii="Times New Roman" w:hAnsi="Times New Roman" w:cs="Times New Roman"/>
          <w:b w:val="0"/>
          <w:bCs w:val="0"/>
          <w:color w:val="000000" w:themeColor="text1"/>
        </w:rPr>
        <w:t>and</w:t>
      </w:r>
      <w:r w:rsidRPr="003B116F">
        <w:rPr>
          <w:rStyle w:val="Strong"/>
          <w:rFonts w:ascii="Times New Roman" w:hAnsi="Times New Roman" w:cs="Times New Roman"/>
          <w:color w:val="000000" w:themeColor="text1"/>
        </w:rPr>
        <w:t xml:space="preserve"> j)</w:t>
      </w:r>
      <w:r w:rsidRPr="003B116F">
        <w:rPr>
          <w:rFonts w:ascii="Times New Roman" w:hAnsi="Times New Roman" w:cs="Times New Roman"/>
          <w:color w:val="000000" w:themeColor="text1"/>
        </w:rPr>
        <w:t xml:space="preserve"> </w:t>
      </w:r>
      <w:proofErr w:type="spellStart"/>
      <w:r w:rsidRPr="003B116F">
        <w:rPr>
          <w:rFonts w:ascii="Times New Roman" w:hAnsi="Times New Roman" w:cs="Times New Roman"/>
          <w:color w:val="000000" w:themeColor="text1"/>
        </w:rPr>
        <w:t>PCoA</w:t>
      </w:r>
      <w:proofErr w:type="spellEnd"/>
      <w:r w:rsidRPr="003B116F">
        <w:rPr>
          <w:rFonts w:ascii="Times New Roman" w:hAnsi="Times New Roman" w:cs="Times New Roman"/>
          <w:color w:val="000000" w:themeColor="text1"/>
        </w:rPr>
        <w:t xml:space="preserve"> plots based on Jaccard distance for 2024 </w:t>
      </w:r>
      <w:r w:rsidRPr="003B116F">
        <w:rPr>
          <w:rFonts w:ascii="Times New Roman" w:hAnsi="Times New Roman" w:cs="Times New Roman"/>
          <w:b/>
          <w:bCs/>
          <w:color w:val="000000" w:themeColor="text1"/>
        </w:rPr>
        <w:t>(</w:t>
      </w:r>
      <w:proofErr w:type="spellStart"/>
      <w:r w:rsidRPr="003B116F">
        <w:rPr>
          <w:rFonts w:ascii="Times New Roman" w:hAnsi="Times New Roman" w:cs="Times New Roman"/>
          <w:b/>
          <w:bCs/>
          <w:color w:val="000000" w:themeColor="text1"/>
        </w:rPr>
        <w:t>i</w:t>
      </w:r>
      <w:proofErr w:type="spellEnd"/>
      <w:r w:rsidRPr="003B116F">
        <w:rPr>
          <w:rFonts w:ascii="Times New Roman" w:hAnsi="Times New Roman" w:cs="Times New Roman"/>
          <w:b/>
          <w:bCs/>
          <w:color w:val="000000" w:themeColor="text1"/>
        </w:rPr>
        <w:t>)</w:t>
      </w:r>
      <w:r w:rsidRPr="003B116F">
        <w:rPr>
          <w:rFonts w:ascii="Times New Roman" w:hAnsi="Times New Roman" w:cs="Times New Roman"/>
          <w:color w:val="000000" w:themeColor="text1"/>
        </w:rPr>
        <w:t xml:space="preserve"> and 2025 </w:t>
      </w:r>
      <w:r w:rsidRPr="003B116F">
        <w:rPr>
          <w:rFonts w:ascii="Times New Roman" w:hAnsi="Times New Roman" w:cs="Times New Roman"/>
          <w:b/>
          <w:bCs/>
          <w:color w:val="000000" w:themeColor="text1"/>
        </w:rPr>
        <w:t>(j)</w:t>
      </w:r>
      <w:r w:rsidRPr="003B116F">
        <w:rPr>
          <w:rFonts w:ascii="Times New Roman" w:hAnsi="Times New Roman" w:cs="Times New Roman"/>
          <w:color w:val="000000" w:themeColor="text1"/>
        </w:rPr>
        <w:t>, depicting compositional differences based on presence or absence of taxa (</w:t>
      </w:r>
      <w:r w:rsidRPr="003B116F">
        <w:rPr>
          <w:rStyle w:val="Emphasis"/>
          <w:rFonts w:ascii="Times New Roman" w:hAnsi="Times New Roman" w:cs="Times New Roman"/>
          <w:color w:val="000000" w:themeColor="text1"/>
        </w:rPr>
        <w:t>R²</w:t>
      </w:r>
      <w:r w:rsidRPr="003B116F">
        <w:rPr>
          <w:rFonts w:ascii="Times New Roman" w:hAnsi="Times New Roman" w:cs="Times New Roman"/>
          <w:color w:val="000000" w:themeColor="text1"/>
        </w:rPr>
        <w:t xml:space="preserve"> = 0.60, </w:t>
      </w:r>
      <w:r w:rsidRPr="003B116F">
        <w:rPr>
          <w:rStyle w:val="Emphasis"/>
          <w:rFonts w:ascii="Times New Roman" w:hAnsi="Times New Roman" w:cs="Times New Roman"/>
          <w:color w:val="000000" w:themeColor="text1"/>
        </w:rPr>
        <w:t>F</w:t>
      </w:r>
      <w:r w:rsidRPr="003B116F">
        <w:rPr>
          <w:rFonts w:ascii="Times New Roman" w:hAnsi="Times New Roman" w:cs="Times New Roman"/>
          <w:color w:val="000000" w:themeColor="text1"/>
        </w:rPr>
        <w:t xml:space="preserve"> = 1.84, </w:t>
      </w:r>
      <w:r w:rsidRPr="003B116F">
        <w:rPr>
          <w:rStyle w:val="Emphasis"/>
          <w:rFonts w:ascii="Times New Roman" w:hAnsi="Times New Roman" w:cs="Times New Roman"/>
          <w:color w:val="000000" w:themeColor="text1"/>
        </w:rPr>
        <w:t>p</w:t>
      </w:r>
      <w:r w:rsidRPr="003B116F">
        <w:rPr>
          <w:rFonts w:ascii="Times New Roman" w:hAnsi="Times New Roman" w:cs="Times New Roman"/>
          <w:color w:val="000000" w:themeColor="text1"/>
        </w:rPr>
        <w:t xml:space="preserve"> = 0.001 in 2024; </w:t>
      </w:r>
      <w:r w:rsidRPr="003B116F">
        <w:rPr>
          <w:rStyle w:val="Emphasis"/>
          <w:rFonts w:ascii="Times New Roman" w:hAnsi="Times New Roman" w:cs="Times New Roman"/>
          <w:color w:val="000000" w:themeColor="text1"/>
        </w:rPr>
        <w:t>R²</w:t>
      </w:r>
      <w:r w:rsidRPr="003B116F">
        <w:rPr>
          <w:rFonts w:ascii="Times New Roman" w:hAnsi="Times New Roman" w:cs="Times New Roman"/>
          <w:color w:val="000000" w:themeColor="text1"/>
        </w:rPr>
        <w:t xml:space="preserve"> = 0.56, </w:t>
      </w:r>
      <w:r w:rsidRPr="003B116F">
        <w:rPr>
          <w:rStyle w:val="Emphasis"/>
          <w:rFonts w:ascii="Times New Roman" w:hAnsi="Times New Roman" w:cs="Times New Roman"/>
          <w:color w:val="000000" w:themeColor="text1"/>
        </w:rPr>
        <w:t>F</w:t>
      </w:r>
      <w:r w:rsidRPr="003B116F">
        <w:rPr>
          <w:rFonts w:ascii="Times New Roman" w:hAnsi="Times New Roman" w:cs="Times New Roman"/>
          <w:color w:val="000000" w:themeColor="text1"/>
        </w:rPr>
        <w:t xml:space="preserve"> = 1.54, </w:t>
      </w:r>
      <w:r w:rsidRPr="003B116F">
        <w:rPr>
          <w:rStyle w:val="Emphasis"/>
          <w:rFonts w:ascii="Times New Roman" w:hAnsi="Times New Roman" w:cs="Times New Roman"/>
          <w:color w:val="000000" w:themeColor="text1"/>
        </w:rPr>
        <w:t>p</w:t>
      </w:r>
      <w:r w:rsidRPr="003B116F">
        <w:rPr>
          <w:rFonts w:ascii="Times New Roman" w:hAnsi="Times New Roman" w:cs="Times New Roman"/>
          <w:color w:val="000000" w:themeColor="text1"/>
        </w:rPr>
        <w:t xml:space="preserve"> = 0.001 in 2025). </w:t>
      </w:r>
      <w:r w:rsidRPr="003B116F">
        <w:rPr>
          <w:rFonts w:ascii="Times New Roman" w:hAnsi="Times New Roman" w:cs="Times New Roman"/>
          <w:b/>
          <w:bCs/>
          <w:color w:val="000000" w:themeColor="text1"/>
        </w:rPr>
        <w:t>(g - j)</w:t>
      </w:r>
      <w:r w:rsidRPr="003B116F">
        <w:rPr>
          <w:rFonts w:ascii="Times New Roman" w:hAnsi="Times New Roman" w:cs="Times New Roman"/>
          <w:color w:val="000000" w:themeColor="text1"/>
        </w:rPr>
        <w:t xml:space="preserve"> PERMANOVA confirmed significant genotype-dependent community separation (Bray-Curtis </w:t>
      </w:r>
      <w:r w:rsidRPr="003B116F">
        <w:rPr>
          <w:rStyle w:val="Emphasis"/>
          <w:rFonts w:ascii="Times New Roman" w:hAnsi="Times New Roman" w:cs="Times New Roman"/>
          <w:color w:val="000000" w:themeColor="text1"/>
        </w:rPr>
        <w:t>p</w:t>
      </w:r>
      <w:r w:rsidRPr="003B116F">
        <w:rPr>
          <w:rFonts w:ascii="Times New Roman" w:hAnsi="Times New Roman" w:cs="Times New Roman"/>
          <w:color w:val="000000" w:themeColor="text1"/>
        </w:rPr>
        <w:t xml:space="preserve"> = 0.001; Jaccard </w:t>
      </w:r>
      <w:r w:rsidRPr="003B116F">
        <w:rPr>
          <w:rStyle w:val="Emphasis"/>
          <w:rFonts w:ascii="Times New Roman" w:hAnsi="Times New Roman" w:cs="Times New Roman"/>
          <w:color w:val="000000" w:themeColor="text1"/>
        </w:rPr>
        <w:t>p</w:t>
      </w:r>
      <w:r w:rsidRPr="003B116F">
        <w:rPr>
          <w:rFonts w:ascii="Times New Roman" w:hAnsi="Times New Roman" w:cs="Times New Roman"/>
          <w:color w:val="000000" w:themeColor="text1"/>
        </w:rPr>
        <w:t xml:space="preserve"> = 0.001).</w:t>
      </w:r>
    </w:p>
    <w:p w14:paraId="2E840803" w14:textId="77777777" w:rsidR="00592FA2" w:rsidRPr="003B116F" w:rsidRDefault="00592FA2" w:rsidP="00592FA2">
      <w:pPr>
        <w:rPr>
          <w:rFonts w:ascii="Times New Roman" w:hAnsi="Times New Roman" w:cs="Times New Roman"/>
        </w:rPr>
      </w:pPr>
    </w:p>
    <w:p w14:paraId="1A341D41" w14:textId="77777777" w:rsidR="00592FA2" w:rsidRPr="003B116F" w:rsidRDefault="00592FA2" w:rsidP="00592FA2">
      <w:pPr>
        <w:rPr>
          <w:rFonts w:ascii="Times New Roman" w:hAnsi="Times New Roman" w:cs="Times New Roman"/>
        </w:rPr>
      </w:pPr>
    </w:p>
    <w:p w14:paraId="5C530900" w14:textId="77777777" w:rsidR="00592FA2" w:rsidRPr="003B116F" w:rsidRDefault="00592FA2" w:rsidP="00592FA2">
      <w:pPr>
        <w:rPr>
          <w:rFonts w:ascii="Times New Roman" w:hAnsi="Times New Roman" w:cs="Times New Roman"/>
        </w:rPr>
      </w:pPr>
    </w:p>
    <w:p w14:paraId="788D1C4A" w14:textId="77777777" w:rsidR="00592FA2" w:rsidRPr="003B116F" w:rsidRDefault="00592FA2" w:rsidP="00592FA2">
      <w:pPr>
        <w:rPr>
          <w:rFonts w:ascii="Times New Roman" w:hAnsi="Times New Roman" w:cs="Times New Roman"/>
        </w:rPr>
      </w:pPr>
    </w:p>
    <w:p w14:paraId="5883342C" w14:textId="77777777" w:rsidR="00592FA2" w:rsidRPr="003B116F" w:rsidRDefault="00592FA2" w:rsidP="00592FA2">
      <w:pPr>
        <w:rPr>
          <w:rFonts w:ascii="Times New Roman" w:hAnsi="Times New Roman" w:cs="Times New Roman"/>
        </w:rPr>
      </w:pPr>
    </w:p>
    <w:p w14:paraId="3C756E67" w14:textId="77777777" w:rsidR="00592FA2" w:rsidRPr="003B116F" w:rsidRDefault="00592FA2" w:rsidP="00592FA2">
      <w:pPr>
        <w:rPr>
          <w:rFonts w:ascii="Times New Roman" w:hAnsi="Times New Roman" w:cs="Times New Roman"/>
        </w:rPr>
      </w:pPr>
    </w:p>
    <w:p w14:paraId="001926E9" w14:textId="77777777" w:rsidR="00592FA2" w:rsidRPr="003B116F" w:rsidRDefault="00592FA2" w:rsidP="00592FA2">
      <w:pPr>
        <w:rPr>
          <w:rFonts w:ascii="Times New Roman" w:hAnsi="Times New Roman" w:cs="Times New Roman"/>
        </w:rPr>
      </w:pPr>
    </w:p>
    <w:p w14:paraId="5FF662AD" w14:textId="77777777" w:rsidR="00592FA2" w:rsidRPr="003B116F" w:rsidRDefault="00592FA2" w:rsidP="00592FA2">
      <w:pPr>
        <w:rPr>
          <w:rFonts w:ascii="Times New Roman" w:hAnsi="Times New Roman" w:cs="Times New Roman"/>
        </w:rPr>
      </w:pPr>
    </w:p>
    <w:p w14:paraId="0A34833C" w14:textId="77777777" w:rsidR="00592FA2" w:rsidRPr="003B116F" w:rsidRDefault="00592FA2" w:rsidP="00592FA2">
      <w:pPr>
        <w:rPr>
          <w:rFonts w:ascii="Times New Roman" w:hAnsi="Times New Roman" w:cs="Times New Roman"/>
        </w:rPr>
      </w:pPr>
    </w:p>
    <w:p w14:paraId="1B9B43A1" w14:textId="77777777" w:rsidR="00592FA2" w:rsidRPr="003B116F" w:rsidRDefault="00592FA2" w:rsidP="00592FA2">
      <w:pPr>
        <w:rPr>
          <w:rFonts w:ascii="Times New Roman" w:hAnsi="Times New Roman" w:cs="Times New Roman"/>
        </w:rPr>
      </w:pPr>
    </w:p>
    <w:p w14:paraId="2E7E3F1F" w14:textId="77777777" w:rsidR="00592FA2" w:rsidRPr="003B116F" w:rsidRDefault="00592FA2" w:rsidP="00592FA2">
      <w:pPr>
        <w:jc w:val="center"/>
        <w:rPr>
          <w:rFonts w:ascii="Times New Roman" w:hAnsi="Times New Roman" w:cs="Times New Roman"/>
        </w:rPr>
      </w:pPr>
      <w:r w:rsidRPr="003B116F">
        <w:rPr>
          <w:rFonts w:ascii="Times New Roman" w:hAnsi="Times New Roman" w:cs="Times New Roman"/>
          <w:noProof/>
        </w:rPr>
        <w:lastRenderedPageBreak/>
        <w:drawing>
          <wp:inline distT="0" distB="0" distL="0" distR="0" wp14:anchorId="113D78E0" wp14:editId="7E52E2FE">
            <wp:extent cx="5943600" cy="3204210"/>
            <wp:effectExtent l="0" t="0" r="0" b="0"/>
            <wp:docPr id="515492654" name="Picture 5" descr="A comparison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492654" name="Picture 5" descr="A comparison of different colored bars&#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3204210"/>
                    </a:xfrm>
                    <a:prstGeom prst="rect">
                      <a:avLst/>
                    </a:prstGeom>
                  </pic:spPr>
                </pic:pic>
              </a:graphicData>
            </a:graphic>
          </wp:inline>
        </w:drawing>
      </w:r>
    </w:p>
    <w:p w14:paraId="3C48549D" w14:textId="16DD0A6F" w:rsidR="00592FA2" w:rsidRPr="003B116F" w:rsidRDefault="00592FA2" w:rsidP="00592FA2">
      <w:pPr>
        <w:pStyle w:val="Heading1"/>
        <w:spacing w:line="360" w:lineRule="auto"/>
        <w:jc w:val="both"/>
        <w:rPr>
          <w:rFonts w:ascii="Times New Roman" w:hAnsi="Times New Roman" w:cs="Times New Roman"/>
          <w:color w:val="000000" w:themeColor="text1"/>
        </w:rPr>
      </w:pPr>
      <w:bookmarkStart w:id="13" w:name="_Toc222220435"/>
      <w:bookmarkStart w:id="14" w:name="_Toc222221562"/>
      <w:bookmarkStart w:id="15" w:name="_Toc222226740"/>
      <w:r w:rsidRPr="003B116F">
        <w:rPr>
          <w:rStyle w:val="Strong"/>
          <w:rFonts w:ascii="Times New Roman" w:hAnsi="Times New Roman" w:cs="Times New Roman"/>
          <w:color w:val="000000" w:themeColor="text1"/>
          <w:sz w:val="24"/>
          <w:szCs w:val="24"/>
        </w:rPr>
        <w:t>Fig</w:t>
      </w:r>
      <w:r>
        <w:rPr>
          <w:rStyle w:val="Strong"/>
          <w:rFonts w:ascii="Times New Roman" w:hAnsi="Times New Roman" w:cs="Times New Roman"/>
          <w:color w:val="000000" w:themeColor="text1"/>
          <w:sz w:val="24"/>
          <w:szCs w:val="24"/>
        </w:rPr>
        <w:t>ure</w:t>
      </w:r>
      <w:r w:rsidRPr="003B116F">
        <w:rPr>
          <w:rStyle w:val="Strong"/>
          <w:rFonts w:ascii="Times New Roman" w:hAnsi="Times New Roman" w:cs="Times New Roman"/>
          <w:color w:val="000000" w:themeColor="text1"/>
          <w:sz w:val="24"/>
          <w:szCs w:val="24"/>
        </w:rPr>
        <w:t xml:space="preserve"> S5</w:t>
      </w:r>
      <w:r>
        <w:rPr>
          <w:rStyle w:val="Strong"/>
          <w:rFonts w:ascii="Times New Roman" w:hAnsi="Times New Roman" w:cs="Times New Roman"/>
          <w:color w:val="000000" w:themeColor="text1"/>
          <w:sz w:val="24"/>
          <w:szCs w:val="24"/>
        </w:rPr>
        <w:t>.</w:t>
      </w:r>
      <w:r w:rsidRPr="003B116F">
        <w:rPr>
          <w:rStyle w:val="Strong"/>
          <w:rFonts w:ascii="Times New Roman" w:hAnsi="Times New Roman" w:cs="Times New Roman"/>
          <w:color w:val="000000" w:themeColor="text1"/>
          <w:sz w:val="24"/>
          <w:szCs w:val="24"/>
        </w:rPr>
        <w:t xml:space="preserve"> Functional categorization of predicted proteins from metagenomic assemblies across rhizosphere samples in 2024 and 2025.</w:t>
      </w:r>
      <w:bookmarkEnd w:id="13"/>
      <w:bookmarkEnd w:id="14"/>
      <w:bookmarkEnd w:id="15"/>
      <w:r w:rsidRPr="003B116F">
        <w:rPr>
          <w:rFonts w:ascii="Times New Roman" w:hAnsi="Times New Roman" w:cs="Times New Roman"/>
          <w:color w:val="000000" w:themeColor="text1"/>
          <w:sz w:val="24"/>
          <w:szCs w:val="24"/>
        </w:rPr>
        <w:t xml:space="preserve"> </w:t>
      </w:r>
    </w:p>
    <w:p w14:paraId="3DE2E865" w14:textId="77777777" w:rsidR="00592FA2" w:rsidRPr="003B116F" w:rsidRDefault="00592FA2" w:rsidP="00592FA2">
      <w:pPr>
        <w:spacing w:line="360" w:lineRule="auto"/>
        <w:jc w:val="both"/>
        <w:rPr>
          <w:rFonts w:ascii="Times New Roman" w:hAnsi="Times New Roman" w:cs="Times New Roman"/>
          <w:color w:val="000000" w:themeColor="text1"/>
        </w:rPr>
      </w:pPr>
      <w:r w:rsidRPr="003B116F">
        <w:rPr>
          <w:rFonts w:ascii="Times New Roman" w:hAnsi="Times New Roman" w:cs="Times New Roman"/>
          <w:color w:val="000000" w:themeColor="text1"/>
        </w:rPr>
        <w:t xml:space="preserve">Predicted proteins obtained from Oxford Nanopore metagenomic assemblies were annotated using eggNOG-mapper to generate COG functional classifications for 2024 </w:t>
      </w:r>
      <w:r w:rsidRPr="003B116F">
        <w:rPr>
          <w:rFonts w:ascii="Times New Roman" w:hAnsi="Times New Roman" w:cs="Times New Roman"/>
          <w:b/>
          <w:bCs/>
          <w:color w:val="000000" w:themeColor="text1"/>
        </w:rPr>
        <w:t>(a)</w:t>
      </w:r>
      <w:r w:rsidRPr="003B116F">
        <w:rPr>
          <w:rFonts w:ascii="Times New Roman" w:hAnsi="Times New Roman" w:cs="Times New Roman"/>
          <w:color w:val="000000" w:themeColor="text1"/>
        </w:rPr>
        <w:t xml:space="preserve"> and 2025 </w:t>
      </w:r>
      <w:r w:rsidRPr="003B116F">
        <w:rPr>
          <w:rFonts w:ascii="Times New Roman" w:hAnsi="Times New Roman" w:cs="Times New Roman"/>
          <w:b/>
          <w:bCs/>
          <w:color w:val="000000" w:themeColor="text1"/>
        </w:rPr>
        <w:t>(b)</w:t>
      </w:r>
      <w:r w:rsidRPr="003B116F">
        <w:rPr>
          <w:rFonts w:ascii="Times New Roman" w:hAnsi="Times New Roman" w:cs="Times New Roman"/>
          <w:color w:val="000000" w:themeColor="text1"/>
        </w:rPr>
        <w:t>. Stacked bar plots display the relative abundance of major COG categories across genotypes, revealing consistent functional distributions among samples and between years. The dominant categories included amino acid transport and metabolism, energy production and conversion, and cell wall/membrane/envelope biogenesis, indicating stable core metabolic functions within the rhizosphere microbiome. Approximately 20% of predicted proteins were annotated as hypothetical or of unknown function, reflecting the presence of uncharacterized microbial genes. Despite differences in the total number of predicted proteins among genotypes, the relative distribution of functional categories remained conserved, suggesting a functionally stable and metabolically balanced microbiome.</w:t>
      </w:r>
    </w:p>
    <w:p w14:paraId="44FA50F8" w14:textId="77777777" w:rsidR="00592FA2" w:rsidRPr="003B116F" w:rsidRDefault="00592FA2" w:rsidP="00592FA2">
      <w:pPr>
        <w:rPr>
          <w:rFonts w:ascii="Times New Roman" w:hAnsi="Times New Roman" w:cs="Times New Roman"/>
        </w:rPr>
      </w:pPr>
    </w:p>
    <w:p w14:paraId="5201119C" w14:textId="77777777" w:rsidR="00592FA2" w:rsidRPr="003B116F" w:rsidRDefault="00592FA2" w:rsidP="00592FA2">
      <w:pPr>
        <w:jc w:val="center"/>
        <w:rPr>
          <w:rFonts w:ascii="Times New Roman" w:hAnsi="Times New Roman" w:cs="Times New Roman"/>
        </w:rPr>
      </w:pPr>
      <w:r w:rsidRPr="003B116F">
        <w:rPr>
          <w:rFonts w:ascii="Times New Roman" w:hAnsi="Times New Roman" w:cs="Times New Roman"/>
          <w:noProof/>
        </w:rPr>
        <w:lastRenderedPageBreak/>
        <w:drawing>
          <wp:inline distT="0" distB="0" distL="0" distR="0" wp14:anchorId="4CDB1E43" wp14:editId="0D24D113">
            <wp:extent cx="3677620" cy="6775938"/>
            <wp:effectExtent l="0" t="0" r="0" b="0"/>
            <wp:docPr id="1456132237" name="Picture 6"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132237" name="Picture 6" descr="A screenshot of a computer screen&#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35554" cy="6882681"/>
                    </a:xfrm>
                    <a:prstGeom prst="rect">
                      <a:avLst/>
                    </a:prstGeom>
                  </pic:spPr>
                </pic:pic>
              </a:graphicData>
            </a:graphic>
          </wp:inline>
        </w:drawing>
      </w:r>
    </w:p>
    <w:p w14:paraId="0E0D6D82" w14:textId="3B952BC4" w:rsidR="00592FA2" w:rsidRPr="003B116F" w:rsidRDefault="00592FA2" w:rsidP="00592FA2">
      <w:pPr>
        <w:pStyle w:val="Heading1"/>
        <w:spacing w:line="360" w:lineRule="auto"/>
        <w:jc w:val="both"/>
        <w:rPr>
          <w:rFonts w:ascii="Times New Roman" w:hAnsi="Times New Roman" w:cs="Times New Roman"/>
          <w:color w:val="000000" w:themeColor="text1"/>
        </w:rPr>
      </w:pPr>
      <w:bookmarkStart w:id="16" w:name="_Toc222220436"/>
      <w:bookmarkStart w:id="17" w:name="_Toc222221563"/>
      <w:bookmarkStart w:id="18" w:name="_Toc222226741"/>
      <w:r w:rsidRPr="003B116F">
        <w:rPr>
          <w:rStyle w:val="Strong"/>
          <w:rFonts w:ascii="Times New Roman" w:hAnsi="Times New Roman" w:cs="Times New Roman"/>
          <w:color w:val="000000" w:themeColor="text1"/>
          <w:sz w:val="24"/>
          <w:szCs w:val="24"/>
        </w:rPr>
        <w:t>Fig</w:t>
      </w:r>
      <w:r>
        <w:rPr>
          <w:rStyle w:val="Strong"/>
          <w:rFonts w:ascii="Times New Roman" w:hAnsi="Times New Roman" w:cs="Times New Roman"/>
          <w:color w:val="000000" w:themeColor="text1"/>
          <w:sz w:val="24"/>
          <w:szCs w:val="24"/>
        </w:rPr>
        <w:t>ure</w:t>
      </w:r>
      <w:r w:rsidRPr="003B116F">
        <w:rPr>
          <w:rStyle w:val="Strong"/>
          <w:rFonts w:ascii="Times New Roman" w:hAnsi="Times New Roman" w:cs="Times New Roman"/>
          <w:color w:val="000000" w:themeColor="text1"/>
          <w:sz w:val="24"/>
          <w:szCs w:val="24"/>
        </w:rPr>
        <w:t xml:space="preserve"> S6</w:t>
      </w:r>
      <w:r>
        <w:rPr>
          <w:rStyle w:val="Strong"/>
          <w:rFonts w:ascii="Times New Roman" w:hAnsi="Times New Roman" w:cs="Times New Roman"/>
          <w:color w:val="000000" w:themeColor="text1"/>
          <w:sz w:val="24"/>
          <w:szCs w:val="24"/>
        </w:rPr>
        <w:t>.</w:t>
      </w:r>
      <w:r w:rsidRPr="003B116F">
        <w:rPr>
          <w:rStyle w:val="Strong"/>
          <w:rFonts w:ascii="Times New Roman" w:hAnsi="Times New Roman" w:cs="Times New Roman"/>
          <w:color w:val="000000" w:themeColor="text1"/>
          <w:sz w:val="24"/>
          <w:szCs w:val="24"/>
        </w:rPr>
        <w:t xml:space="preserve"> Gene Ontology (GO) enrichment analysis of differentially expressed genes (DEGs) across barley genotypes.</w:t>
      </w:r>
      <w:bookmarkEnd w:id="16"/>
      <w:bookmarkEnd w:id="17"/>
      <w:bookmarkEnd w:id="18"/>
      <w:r w:rsidRPr="003B116F">
        <w:rPr>
          <w:rFonts w:ascii="Times New Roman" w:hAnsi="Times New Roman" w:cs="Times New Roman"/>
          <w:color w:val="000000" w:themeColor="text1"/>
          <w:sz w:val="24"/>
          <w:szCs w:val="24"/>
        </w:rPr>
        <w:t xml:space="preserve"> </w:t>
      </w:r>
    </w:p>
    <w:p w14:paraId="342ED3EB" w14:textId="77777777" w:rsidR="00592FA2" w:rsidRPr="003B116F" w:rsidRDefault="00592FA2" w:rsidP="00592FA2">
      <w:pPr>
        <w:spacing w:line="360" w:lineRule="auto"/>
        <w:jc w:val="both"/>
        <w:rPr>
          <w:rFonts w:ascii="Times New Roman" w:hAnsi="Times New Roman" w:cs="Times New Roman"/>
          <w:color w:val="000000" w:themeColor="text1"/>
        </w:rPr>
      </w:pPr>
      <w:r w:rsidRPr="003B116F">
        <w:rPr>
          <w:rFonts w:ascii="Times New Roman" w:hAnsi="Times New Roman" w:cs="Times New Roman"/>
          <w:color w:val="000000" w:themeColor="text1"/>
        </w:rPr>
        <w:t xml:space="preserve">Bubble plots showing the top ten enriched Gene Ontology biological process (GO:BP) terms for each genotype including wild accessions HID0144 and HID0380, landraces HID1029 and </w:t>
      </w:r>
      <w:r w:rsidRPr="003B116F">
        <w:rPr>
          <w:rFonts w:ascii="Times New Roman" w:hAnsi="Times New Roman" w:cs="Times New Roman"/>
          <w:color w:val="000000" w:themeColor="text1"/>
        </w:rPr>
        <w:lastRenderedPageBreak/>
        <w:t xml:space="preserve">HID1104, and the modern cultivar Gretchen. The X-axis represents the gene ratio, defines as the number of DEGs associated with a GO term divided by the total number of genes annotated to that term. Bubble sizes indicate the number of DEGs mapped to each GO term, and color intensity corresponds to enrichment significance (-log₁₀ adjusted </w:t>
      </w:r>
      <w:r w:rsidRPr="003B116F">
        <w:rPr>
          <w:rStyle w:val="Emphasis"/>
          <w:rFonts w:ascii="Times New Roman" w:hAnsi="Times New Roman" w:cs="Times New Roman"/>
          <w:color w:val="000000" w:themeColor="text1"/>
        </w:rPr>
        <w:t>p</w:t>
      </w:r>
      <w:r w:rsidRPr="003B116F">
        <w:rPr>
          <w:rFonts w:ascii="Times New Roman" w:hAnsi="Times New Roman" w:cs="Times New Roman"/>
          <w:color w:val="000000" w:themeColor="text1"/>
        </w:rPr>
        <w:t xml:space="preserve">-value). Only GO terms with adjusted </w:t>
      </w:r>
      <w:r w:rsidRPr="003B116F">
        <w:rPr>
          <w:rFonts w:ascii="Times New Roman" w:hAnsi="Times New Roman" w:cs="Times New Roman"/>
          <w:i/>
          <w:iCs/>
          <w:color w:val="000000" w:themeColor="text1"/>
        </w:rPr>
        <w:t>p-</w:t>
      </w:r>
      <w:r w:rsidRPr="003B116F">
        <w:rPr>
          <w:rFonts w:ascii="Times New Roman" w:hAnsi="Times New Roman" w:cs="Times New Roman"/>
          <w:color w:val="000000" w:themeColor="text1"/>
        </w:rPr>
        <w:t>value less than 0.05 are included. Across all genotypes, core biological processes including response to stress, small molecule metabolism, and regulation of cellular respiration were commonly enriched. Genotype-specific enrichments were also observed, such as nucleoside phosphate metabolism in HID0144, catabolic and energy-producing processes in HID0380 and Gretchen, and chromatin organization in Gretchen. The landraces HID1029 and HID1104 exhibited closely related enrichment profiles with variable enrichment magnitude.</w:t>
      </w:r>
    </w:p>
    <w:p w14:paraId="0384A0FD" w14:textId="77777777" w:rsidR="00592FA2" w:rsidRPr="003B116F" w:rsidRDefault="00592FA2" w:rsidP="00592FA2">
      <w:pPr>
        <w:rPr>
          <w:rFonts w:ascii="Times New Roman" w:hAnsi="Times New Roman" w:cs="Times New Roman"/>
        </w:rPr>
      </w:pPr>
    </w:p>
    <w:p w14:paraId="1220A962" w14:textId="77777777" w:rsidR="00592FA2" w:rsidRPr="003B116F" w:rsidRDefault="00592FA2" w:rsidP="00592FA2">
      <w:pPr>
        <w:jc w:val="center"/>
        <w:rPr>
          <w:rFonts w:ascii="Times New Roman" w:hAnsi="Times New Roman" w:cs="Times New Roman"/>
        </w:rPr>
      </w:pPr>
      <w:r w:rsidRPr="003B116F">
        <w:rPr>
          <w:rFonts w:ascii="Times New Roman" w:hAnsi="Times New Roman" w:cs="Times New Roman"/>
          <w:noProof/>
        </w:rPr>
        <w:lastRenderedPageBreak/>
        <w:drawing>
          <wp:inline distT="0" distB="0" distL="0" distR="0" wp14:anchorId="58758C7C" wp14:editId="309B4EEF">
            <wp:extent cx="5943600" cy="6377940"/>
            <wp:effectExtent l="0" t="0" r="0" b="0"/>
            <wp:docPr id="1243691192" name="Picture 7"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91192" name="Picture 7" descr="A screenshot of a graph&#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6377940"/>
                    </a:xfrm>
                    <a:prstGeom prst="rect">
                      <a:avLst/>
                    </a:prstGeom>
                  </pic:spPr>
                </pic:pic>
              </a:graphicData>
            </a:graphic>
          </wp:inline>
        </w:drawing>
      </w:r>
    </w:p>
    <w:p w14:paraId="0A0ED32C" w14:textId="7F43ABFB" w:rsidR="00592FA2" w:rsidRPr="003B116F" w:rsidRDefault="00592FA2" w:rsidP="00592FA2">
      <w:pPr>
        <w:pStyle w:val="Heading1"/>
        <w:spacing w:line="360" w:lineRule="auto"/>
        <w:jc w:val="both"/>
        <w:rPr>
          <w:rStyle w:val="Strong"/>
          <w:rFonts w:ascii="Times New Roman" w:hAnsi="Times New Roman" w:cs="Times New Roman"/>
          <w:b w:val="0"/>
          <w:bCs w:val="0"/>
        </w:rPr>
      </w:pPr>
      <w:bookmarkStart w:id="19" w:name="_Toc222220437"/>
      <w:bookmarkStart w:id="20" w:name="_Toc222221564"/>
      <w:bookmarkStart w:id="21" w:name="_Toc222226742"/>
      <w:r w:rsidRPr="003B116F">
        <w:rPr>
          <w:rStyle w:val="Strong"/>
          <w:rFonts w:ascii="Times New Roman" w:hAnsi="Times New Roman" w:cs="Times New Roman"/>
          <w:color w:val="000000" w:themeColor="text1"/>
          <w:sz w:val="24"/>
          <w:szCs w:val="24"/>
        </w:rPr>
        <w:t>Fig</w:t>
      </w:r>
      <w:r>
        <w:rPr>
          <w:rStyle w:val="Strong"/>
          <w:rFonts w:ascii="Times New Roman" w:hAnsi="Times New Roman" w:cs="Times New Roman"/>
          <w:color w:val="000000" w:themeColor="text1"/>
          <w:sz w:val="24"/>
          <w:szCs w:val="24"/>
        </w:rPr>
        <w:t>ure</w:t>
      </w:r>
      <w:r w:rsidRPr="003B116F">
        <w:rPr>
          <w:rStyle w:val="Strong"/>
          <w:rFonts w:ascii="Times New Roman" w:hAnsi="Times New Roman" w:cs="Times New Roman"/>
          <w:color w:val="000000" w:themeColor="text1"/>
          <w:sz w:val="24"/>
          <w:szCs w:val="24"/>
        </w:rPr>
        <w:t xml:space="preserve"> S7</w:t>
      </w:r>
      <w:r>
        <w:rPr>
          <w:rStyle w:val="Strong"/>
          <w:rFonts w:ascii="Times New Roman" w:hAnsi="Times New Roman" w:cs="Times New Roman"/>
          <w:color w:val="000000" w:themeColor="text1"/>
          <w:sz w:val="24"/>
          <w:szCs w:val="24"/>
        </w:rPr>
        <w:t>.</w:t>
      </w:r>
      <w:r w:rsidRPr="003B116F">
        <w:rPr>
          <w:rStyle w:val="Strong"/>
          <w:rFonts w:ascii="Times New Roman" w:hAnsi="Times New Roman" w:cs="Times New Roman"/>
          <w:color w:val="000000" w:themeColor="text1"/>
          <w:sz w:val="24"/>
          <w:szCs w:val="24"/>
        </w:rPr>
        <w:t xml:space="preserve"> </w:t>
      </w:r>
      <w:r w:rsidRPr="003B116F">
        <w:rPr>
          <w:rFonts w:ascii="Times New Roman" w:hAnsi="Times New Roman" w:cs="Times New Roman"/>
          <w:b/>
          <w:bCs/>
          <w:color w:val="000000" w:themeColor="text1"/>
          <w:sz w:val="24"/>
          <w:szCs w:val="24"/>
        </w:rPr>
        <w:t xml:space="preserve">Structural and nucleotide-level variation at the </w:t>
      </w:r>
      <w:r w:rsidRPr="00C43C50">
        <w:rPr>
          <w:rStyle w:val="Emphasis"/>
          <w:rFonts w:ascii="Times New Roman" w:hAnsi="Times New Roman" w:cs="Times New Roman"/>
          <w:b/>
          <w:bCs/>
          <w:color w:val="000000" w:themeColor="text1"/>
          <w:sz w:val="24"/>
          <w:szCs w:val="24"/>
        </w:rPr>
        <w:t>HORVU.MOREX.PROJ.1HG00003980</w:t>
      </w:r>
      <w:r w:rsidRPr="003B116F">
        <w:rPr>
          <w:rFonts w:ascii="Times New Roman" w:hAnsi="Times New Roman" w:cs="Times New Roman"/>
          <w:b/>
          <w:bCs/>
          <w:color w:val="000000" w:themeColor="text1"/>
          <w:sz w:val="24"/>
          <w:szCs w:val="24"/>
        </w:rPr>
        <w:t xml:space="preserve"> locus across barley genotypes.</w:t>
      </w:r>
      <w:bookmarkEnd w:id="19"/>
      <w:bookmarkEnd w:id="20"/>
      <w:bookmarkEnd w:id="21"/>
      <w:r w:rsidRPr="003B116F">
        <w:rPr>
          <w:rStyle w:val="Strong"/>
          <w:rFonts w:ascii="Times New Roman" w:hAnsi="Times New Roman" w:cs="Times New Roman"/>
          <w:b w:val="0"/>
          <w:bCs w:val="0"/>
          <w:sz w:val="24"/>
          <w:szCs w:val="24"/>
        </w:rPr>
        <w:t xml:space="preserve"> </w:t>
      </w:r>
    </w:p>
    <w:p w14:paraId="75C7E5CB" w14:textId="77777777" w:rsidR="00592FA2" w:rsidRDefault="00592FA2" w:rsidP="00592FA2">
      <w:pPr>
        <w:spacing w:line="360" w:lineRule="auto"/>
        <w:jc w:val="both"/>
        <w:rPr>
          <w:rStyle w:val="Strong"/>
          <w:rFonts w:ascii="Times New Roman" w:hAnsi="Times New Roman" w:cs="Times New Roman"/>
          <w:color w:val="000000" w:themeColor="text1"/>
        </w:rPr>
      </w:pPr>
      <w:r w:rsidRPr="003B116F">
        <w:rPr>
          <w:rStyle w:val="Strong"/>
          <w:rFonts w:ascii="Times New Roman" w:hAnsi="Times New Roman" w:cs="Times New Roman"/>
          <w:color w:val="000000" w:themeColor="text1"/>
        </w:rPr>
        <w:t>(a)</w:t>
      </w:r>
      <w:r w:rsidRPr="003B116F">
        <w:rPr>
          <w:rFonts w:ascii="Times New Roman" w:hAnsi="Times New Roman" w:cs="Times New Roman"/>
          <w:color w:val="000000" w:themeColor="text1"/>
        </w:rPr>
        <w:t xml:space="preserve"> Median </w:t>
      </w:r>
      <w:r w:rsidRPr="003B116F">
        <w:rPr>
          <w:rFonts w:ascii="Times New Roman" w:hAnsi="Times New Roman" w:cs="Times New Roman"/>
          <w:i/>
          <w:iCs/>
          <w:color w:val="000000" w:themeColor="text1"/>
        </w:rPr>
        <w:t>k</w:t>
      </w:r>
      <w:r w:rsidRPr="003B116F">
        <w:rPr>
          <w:rFonts w:ascii="Times New Roman" w:hAnsi="Times New Roman" w:cs="Times New Roman"/>
          <w:color w:val="000000" w:themeColor="text1"/>
        </w:rPr>
        <w:t>-</w:t>
      </w:r>
      <w:proofErr w:type="spellStart"/>
      <w:r w:rsidRPr="003B116F">
        <w:rPr>
          <w:rFonts w:ascii="Times New Roman" w:hAnsi="Times New Roman" w:cs="Times New Roman"/>
          <w:color w:val="000000" w:themeColor="text1"/>
        </w:rPr>
        <w:t>mer</w:t>
      </w:r>
      <w:proofErr w:type="spellEnd"/>
      <w:r w:rsidRPr="003B116F">
        <w:rPr>
          <w:rFonts w:ascii="Times New Roman" w:hAnsi="Times New Roman" w:cs="Times New Roman"/>
          <w:color w:val="000000" w:themeColor="text1"/>
        </w:rPr>
        <w:t xml:space="preserve"> depth across the gene shows strong dosage differences, with HID0380 displaying the highest depth and HID0144 showing no detectable Morex-like sequence, indicating absence or strong divergence of the gene. </w:t>
      </w:r>
      <w:r w:rsidRPr="003B116F">
        <w:rPr>
          <w:rStyle w:val="Strong"/>
          <w:rFonts w:ascii="Times New Roman" w:hAnsi="Times New Roman" w:cs="Times New Roman"/>
          <w:color w:val="000000" w:themeColor="text1"/>
        </w:rPr>
        <w:t>(b)</w:t>
      </w:r>
      <w:r w:rsidRPr="003B116F">
        <w:rPr>
          <w:rFonts w:ascii="Times New Roman" w:hAnsi="Times New Roman" w:cs="Times New Roman"/>
          <w:color w:val="000000" w:themeColor="text1"/>
        </w:rPr>
        <w:t xml:space="preserve"> Gene-specific and locus-wide </w:t>
      </w:r>
      <w:r w:rsidRPr="003B116F">
        <w:rPr>
          <w:rFonts w:ascii="Times New Roman" w:hAnsi="Times New Roman" w:cs="Times New Roman"/>
          <w:i/>
          <w:iCs/>
          <w:color w:val="000000" w:themeColor="text1"/>
        </w:rPr>
        <w:t>k</w:t>
      </w:r>
      <w:r w:rsidRPr="003B116F">
        <w:rPr>
          <w:rFonts w:ascii="Times New Roman" w:hAnsi="Times New Roman" w:cs="Times New Roman"/>
          <w:color w:val="000000" w:themeColor="text1"/>
        </w:rPr>
        <w:t>-</w:t>
      </w:r>
      <w:proofErr w:type="spellStart"/>
      <w:r w:rsidRPr="003B116F">
        <w:rPr>
          <w:rFonts w:ascii="Times New Roman" w:hAnsi="Times New Roman" w:cs="Times New Roman"/>
          <w:color w:val="000000" w:themeColor="text1"/>
        </w:rPr>
        <w:t>mer</w:t>
      </w:r>
      <w:proofErr w:type="spellEnd"/>
      <w:r w:rsidRPr="003B116F">
        <w:rPr>
          <w:rFonts w:ascii="Times New Roman" w:hAnsi="Times New Roman" w:cs="Times New Roman"/>
          <w:color w:val="000000" w:themeColor="text1"/>
        </w:rPr>
        <w:t xml:space="preserve"> counts reveal that all genotypes except HID0144 retain the full set of gene-specific </w:t>
      </w:r>
      <w:r w:rsidRPr="003B116F">
        <w:rPr>
          <w:rFonts w:ascii="Times New Roman" w:hAnsi="Times New Roman" w:cs="Times New Roman"/>
          <w:i/>
          <w:iCs/>
          <w:color w:val="000000" w:themeColor="text1"/>
        </w:rPr>
        <w:t>k</w:t>
      </w:r>
      <w:r w:rsidRPr="003B116F">
        <w:rPr>
          <w:rFonts w:ascii="Times New Roman" w:hAnsi="Times New Roman" w:cs="Times New Roman"/>
          <w:color w:val="000000" w:themeColor="text1"/>
        </w:rPr>
        <w:t>-</w:t>
      </w:r>
      <w:proofErr w:type="spellStart"/>
      <w:r w:rsidRPr="003B116F">
        <w:rPr>
          <w:rFonts w:ascii="Times New Roman" w:hAnsi="Times New Roman" w:cs="Times New Roman"/>
          <w:color w:val="000000" w:themeColor="text1"/>
        </w:rPr>
        <w:t>mers</w:t>
      </w:r>
      <w:proofErr w:type="spellEnd"/>
      <w:r w:rsidRPr="003B116F">
        <w:rPr>
          <w:rFonts w:ascii="Times New Roman" w:hAnsi="Times New Roman" w:cs="Times New Roman"/>
          <w:color w:val="000000" w:themeColor="text1"/>
        </w:rPr>
        <w:t xml:space="preserve"> (30), whereas flank-derived </w:t>
      </w:r>
      <w:r w:rsidRPr="003B116F">
        <w:rPr>
          <w:rFonts w:ascii="Times New Roman" w:hAnsi="Times New Roman" w:cs="Times New Roman"/>
          <w:i/>
          <w:iCs/>
          <w:color w:val="000000" w:themeColor="text1"/>
        </w:rPr>
        <w:lastRenderedPageBreak/>
        <w:t>k</w:t>
      </w:r>
      <w:r w:rsidRPr="003B116F">
        <w:rPr>
          <w:rFonts w:ascii="Times New Roman" w:hAnsi="Times New Roman" w:cs="Times New Roman"/>
          <w:color w:val="000000" w:themeColor="text1"/>
        </w:rPr>
        <w:t>-</w:t>
      </w:r>
      <w:proofErr w:type="spellStart"/>
      <w:r w:rsidRPr="003B116F">
        <w:rPr>
          <w:rFonts w:ascii="Times New Roman" w:hAnsi="Times New Roman" w:cs="Times New Roman"/>
          <w:color w:val="000000" w:themeColor="text1"/>
        </w:rPr>
        <w:t>mers</w:t>
      </w:r>
      <w:proofErr w:type="spellEnd"/>
      <w:r w:rsidRPr="003B116F">
        <w:rPr>
          <w:rFonts w:ascii="Times New Roman" w:hAnsi="Times New Roman" w:cs="Times New Roman"/>
          <w:color w:val="000000" w:themeColor="text1"/>
        </w:rPr>
        <w:t xml:space="preserve"> vary widely, with HID1029 showing the highest locus similarity to Morex. </w:t>
      </w:r>
      <w:r w:rsidRPr="003B116F">
        <w:rPr>
          <w:rStyle w:val="Strong"/>
          <w:rFonts w:ascii="Times New Roman" w:hAnsi="Times New Roman" w:cs="Times New Roman"/>
          <w:color w:val="000000" w:themeColor="text1"/>
        </w:rPr>
        <w:t>(c)</w:t>
      </w:r>
      <w:r w:rsidRPr="003B116F">
        <w:rPr>
          <w:rFonts w:ascii="Times New Roman" w:hAnsi="Times New Roman" w:cs="Times New Roman"/>
          <w:color w:val="000000" w:themeColor="text1"/>
        </w:rPr>
        <w:t xml:space="preserve"> Heatmap of pairwise shared </w:t>
      </w:r>
      <w:r w:rsidRPr="003B116F">
        <w:rPr>
          <w:rFonts w:ascii="Times New Roman" w:hAnsi="Times New Roman" w:cs="Times New Roman"/>
          <w:i/>
          <w:iCs/>
          <w:color w:val="000000" w:themeColor="text1"/>
        </w:rPr>
        <w:t>k</w:t>
      </w:r>
      <w:r w:rsidRPr="003B116F">
        <w:rPr>
          <w:rFonts w:ascii="Times New Roman" w:hAnsi="Times New Roman" w:cs="Times New Roman"/>
          <w:color w:val="000000" w:themeColor="text1"/>
        </w:rPr>
        <w:t>-</w:t>
      </w:r>
      <w:proofErr w:type="spellStart"/>
      <w:r w:rsidRPr="003B116F">
        <w:rPr>
          <w:rFonts w:ascii="Times New Roman" w:hAnsi="Times New Roman" w:cs="Times New Roman"/>
          <w:color w:val="000000" w:themeColor="text1"/>
        </w:rPr>
        <w:t>mers</w:t>
      </w:r>
      <w:proofErr w:type="spellEnd"/>
      <w:r w:rsidRPr="003B116F">
        <w:rPr>
          <w:rFonts w:ascii="Times New Roman" w:hAnsi="Times New Roman" w:cs="Times New Roman"/>
          <w:color w:val="000000" w:themeColor="text1"/>
        </w:rPr>
        <w:t xml:space="preserve"> illustrates varying degrees of locus similarity, with HID0380 and HID1029 sharing the most </w:t>
      </w:r>
      <w:r w:rsidRPr="003B116F">
        <w:rPr>
          <w:rFonts w:ascii="Times New Roman" w:hAnsi="Times New Roman" w:cs="Times New Roman"/>
          <w:i/>
          <w:iCs/>
          <w:color w:val="000000" w:themeColor="text1"/>
        </w:rPr>
        <w:t>k</w:t>
      </w:r>
      <w:r w:rsidRPr="003B116F">
        <w:rPr>
          <w:rFonts w:ascii="Times New Roman" w:hAnsi="Times New Roman" w:cs="Times New Roman"/>
          <w:color w:val="000000" w:themeColor="text1"/>
        </w:rPr>
        <w:t>-</w:t>
      </w:r>
      <w:proofErr w:type="spellStart"/>
      <w:r w:rsidRPr="003B116F">
        <w:rPr>
          <w:rFonts w:ascii="Times New Roman" w:hAnsi="Times New Roman" w:cs="Times New Roman"/>
          <w:color w:val="000000" w:themeColor="text1"/>
        </w:rPr>
        <w:t>mers</w:t>
      </w:r>
      <w:proofErr w:type="spellEnd"/>
      <w:r w:rsidRPr="003B116F">
        <w:rPr>
          <w:rFonts w:ascii="Times New Roman" w:hAnsi="Times New Roman" w:cs="Times New Roman"/>
          <w:color w:val="000000" w:themeColor="text1"/>
        </w:rPr>
        <w:t xml:space="preserve">. </w:t>
      </w:r>
      <w:r w:rsidRPr="003B116F">
        <w:rPr>
          <w:rStyle w:val="Strong"/>
          <w:rFonts w:ascii="Times New Roman" w:hAnsi="Times New Roman" w:cs="Times New Roman"/>
          <w:color w:val="000000" w:themeColor="text1"/>
        </w:rPr>
        <w:t>(d)</w:t>
      </w:r>
      <w:r w:rsidRPr="003B116F">
        <w:rPr>
          <w:rFonts w:ascii="Times New Roman" w:hAnsi="Times New Roman" w:cs="Times New Roman"/>
          <w:color w:val="000000" w:themeColor="text1"/>
        </w:rPr>
        <w:t xml:space="preserve"> Hierarchical clustering of locus-wide </w:t>
      </w:r>
      <w:r w:rsidRPr="003B116F">
        <w:rPr>
          <w:rFonts w:ascii="Times New Roman" w:hAnsi="Times New Roman" w:cs="Times New Roman"/>
          <w:i/>
          <w:iCs/>
          <w:color w:val="000000" w:themeColor="text1"/>
        </w:rPr>
        <w:t>k</w:t>
      </w:r>
      <w:r w:rsidRPr="003B116F">
        <w:rPr>
          <w:rFonts w:ascii="Times New Roman" w:hAnsi="Times New Roman" w:cs="Times New Roman"/>
          <w:color w:val="000000" w:themeColor="text1"/>
        </w:rPr>
        <w:t>-</w:t>
      </w:r>
      <w:proofErr w:type="spellStart"/>
      <w:r w:rsidRPr="003B116F">
        <w:rPr>
          <w:rFonts w:ascii="Times New Roman" w:hAnsi="Times New Roman" w:cs="Times New Roman"/>
          <w:color w:val="000000" w:themeColor="text1"/>
        </w:rPr>
        <w:t>mer</w:t>
      </w:r>
      <w:proofErr w:type="spellEnd"/>
      <w:r w:rsidRPr="003B116F">
        <w:rPr>
          <w:rFonts w:ascii="Times New Roman" w:hAnsi="Times New Roman" w:cs="Times New Roman"/>
          <w:color w:val="000000" w:themeColor="text1"/>
        </w:rPr>
        <w:t xml:space="preserve"> similarity groups HID0380 and HID1029 as the closest pair, while HID0144 forms a distinct outgroup. </w:t>
      </w:r>
      <w:r w:rsidRPr="003B116F">
        <w:rPr>
          <w:rStyle w:val="Strong"/>
          <w:rFonts w:ascii="Times New Roman" w:hAnsi="Times New Roman" w:cs="Times New Roman"/>
          <w:color w:val="000000" w:themeColor="text1"/>
        </w:rPr>
        <w:t>(e)</w:t>
      </w:r>
      <w:r w:rsidRPr="003B116F">
        <w:rPr>
          <w:rFonts w:ascii="Times New Roman" w:hAnsi="Times New Roman" w:cs="Times New Roman"/>
          <w:color w:val="000000" w:themeColor="text1"/>
        </w:rPr>
        <w:t xml:space="preserve"> Spatial </w:t>
      </w:r>
      <w:r w:rsidRPr="003B116F">
        <w:rPr>
          <w:rFonts w:ascii="Times New Roman" w:hAnsi="Times New Roman" w:cs="Times New Roman"/>
          <w:i/>
          <w:iCs/>
          <w:color w:val="000000" w:themeColor="text1"/>
        </w:rPr>
        <w:t>k</w:t>
      </w:r>
      <w:r w:rsidRPr="003B116F">
        <w:rPr>
          <w:rFonts w:ascii="Times New Roman" w:hAnsi="Times New Roman" w:cs="Times New Roman"/>
          <w:color w:val="000000" w:themeColor="text1"/>
        </w:rPr>
        <w:t>-</w:t>
      </w:r>
      <w:proofErr w:type="spellStart"/>
      <w:r w:rsidRPr="003B116F">
        <w:rPr>
          <w:rFonts w:ascii="Times New Roman" w:hAnsi="Times New Roman" w:cs="Times New Roman"/>
          <w:color w:val="000000" w:themeColor="text1"/>
        </w:rPr>
        <w:t>mer</w:t>
      </w:r>
      <w:proofErr w:type="spellEnd"/>
      <w:r w:rsidRPr="003B116F">
        <w:rPr>
          <w:rFonts w:ascii="Times New Roman" w:hAnsi="Times New Roman" w:cs="Times New Roman"/>
          <w:color w:val="000000" w:themeColor="text1"/>
        </w:rPr>
        <w:t xml:space="preserve"> coverage profiles highlight a strong peak in HID0380 and progressively lower coverage in HID1104, HID1029, and Gretchen, consistent with differences in Morex-like sequence dosage, illustrating localized structural variation of the gene. </w:t>
      </w:r>
      <w:r w:rsidRPr="003B116F">
        <w:rPr>
          <w:rFonts w:ascii="Times New Roman" w:hAnsi="Times New Roman" w:cs="Times New Roman"/>
          <w:b/>
          <w:bCs/>
          <w:color w:val="000000" w:themeColor="text1"/>
        </w:rPr>
        <w:t xml:space="preserve">(f) </w:t>
      </w:r>
      <w:r w:rsidRPr="003B116F">
        <w:rPr>
          <w:rFonts w:ascii="Times New Roman" w:hAnsi="Times New Roman" w:cs="Times New Roman"/>
          <w:color w:val="000000" w:themeColor="text1"/>
        </w:rPr>
        <w:t xml:space="preserve">Bar plot showing the number of SNPs detected within the 224 bp coding region of HORVU.MOREX.PROJ.1HG00003980. HID0380 carries the highest number of nucleotide substitutions (6), followed by HID1104 with 4 SNPs, whereas HID0144 and HID1029 each harbor 3 SNPs, and Gretchen shows only a single SNP. </w:t>
      </w:r>
      <w:r w:rsidRPr="003B116F">
        <w:rPr>
          <w:rFonts w:ascii="Times New Roman" w:hAnsi="Times New Roman" w:cs="Times New Roman"/>
          <w:b/>
          <w:bCs/>
          <w:color w:val="000000" w:themeColor="text1"/>
        </w:rPr>
        <w:t>(g)</w:t>
      </w:r>
      <w:r w:rsidRPr="003B116F">
        <w:rPr>
          <w:rFonts w:ascii="Times New Roman" w:hAnsi="Times New Roman" w:cs="Times New Roman"/>
          <w:color w:val="000000" w:themeColor="text1"/>
        </w:rPr>
        <w:t xml:space="preserve"> Per-base SNP visualization for each genotype aligned to Morex. Grey marks indicate positions identical to the reference, while red marks indicate SNPs. Above each SNP, an </w:t>
      </w:r>
      <w:r w:rsidRPr="003B116F">
        <w:rPr>
          <w:rStyle w:val="Strong"/>
          <w:rFonts w:ascii="Times New Roman" w:hAnsi="Times New Roman" w:cs="Times New Roman"/>
          <w:color w:val="000000" w:themeColor="text1"/>
        </w:rPr>
        <w:t>IUPAC ambiguity code</w:t>
      </w:r>
      <w:r w:rsidRPr="003B116F">
        <w:rPr>
          <w:rFonts w:ascii="Times New Roman" w:hAnsi="Times New Roman" w:cs="Times New Roman"/>
          <w:color w:val="000000" w:themeColor="text1"/>
        </w:rPr>
        <w:t xml:space="preserve"> denotes the alternative nucleotide(s) present in the genotype. Codes represent: </w:t>
      </w:r>
      <w:r w:rsidRPr="003B116F">
        <w:rPr>
          <w:rStyle w:val="Strong"/>
          <w:rFonts w:ascii="Times New Roman" w:hAnsi="Times New Roman" w:cs="Times New Roman"/>
          <w:color w:val="000000" w:themeColor="text1"/>
        </w:rPr>
        <w:t>R (A/G), S (C/G), W (A/T), Y (C/T)</w:t>
      </w:r>
      <w:r>
        <w:rPr>
          <w:rStyle w:val="Strong"/>
          <w:rFonts w:ascii="Times New Roman" w:hAnsi="Times New Roman" w:cs="Times New Roman"/>
          <w:color w:val="000000" w:themeColor="text1"/>
        </w:rPr>
        <w:t>.</w:t>
      </w:r>
    </w:p>
    <w:p w14:paraId="58C6BA09" w14:textId="77777777" w:rsidR="00E4354E" w:rsidRDefault="00E4354E"/>
    <w:sectPr w:rsidR="00E435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FA2"/>
    <w:rsid w:val="001034C7"/>
    <w:rsid w:val="00570B9F"/>
    <w:rsid w:val="00592FA2"/>
    <w:rsid w:val="00C43C50"/>
    <w:rsid w:val="00E435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9E69E88"/>
  <w15:chartTrackingRefBased/>
  <w15:docId w15:val="{DE801C13-E188-6940-B171-E5B032D78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FA2"/>
  </w:style>
  <w:style w:type="paragraph" w:styleId="Heading1">
    <w:name w:val="heading 1"/>
    <w:basedOn w:val="Normal"/>
    <w:next w:val="Normal"/>
    <w:link w:val="Heading1Char"/>
    <w:uiPriority w:val="9"/>
    <w:qFormat/>
    <w:rsid w:val="00592F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2F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2F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2F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2F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2F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2F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2F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2F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2F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2F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2F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2F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2F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2F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2F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2F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2FA2"/>
    <w:rPr>
      <w:rFonts w:eastAsiaTheme="majorEastAsia" w:cstheme="majorBidi"/>
      <w:color w:val="272727" w:themeColor="text1" w:themeTint="D8"/>
    </w:rPr>
  </w:style>
  <w:style w:type="paragraph" w:styleId="Title">
    <w:name w:val="Title"/>
    <w:basedOn w:val="Normal"/>
    <w:next w:val="Normal"/>
    <w:link w:val="TitleChar"/>
    <w:uiPriority w:val="10"/>
    <w:qFormat/>
    <w:rsid w:val="00592F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2F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2F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2F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2FA2"/>
    <w:pPr>
      <w:spacing w:before="160"/>
      <w:jc w:val="center"/>
    </w:pPr>
    <w:rPr>
      <w:i/>
      <w:iCs/>
      <w:color w:val="404040" w:themeColor="text1" w:themeTint="BF"/>
    </w:rPr>
  </w:style>
  <w:style w:type="character" w:customStyle="1" w:styleId="QuoteChar">
    <w:name w:val="Quote Char"/>
    <w:basedOn w:val="DefaultParagraphFont"/>
    <w:link w:val="Quote"/>
    <w:uiPriority w:val="29"/>
    <w:rsid w:val="00592FA2"/>
    <w:rPr>
      <w:i/>
      <w:iCs/>
      <w:color w:val="404040" w:themeColor="text1" w:themeTint="BF"/>
    </w:rPr>
  </w:style>
  <w:style w:type="paragraph" w:styleId="ListParagraph">
    <w:name w:val="List Paragraph"/>
    <w:basedOn w:val="Normal"/>
    <w:uiPriority w:val="34"/>
    <w:qFormat/>
    <w:rsid w:val="00592FA2"/>
    <w:pPr>
      <w:ind w:left="720"/>
      <w:contextualSpacing/>
    </w:pPr>
  </w:style>
  <w:style w:type="character" w:styleId="IntenseEmphasis">
    <w:name w:val="Intense Emphasis"/>
    <w:basedOn w:val="DefaultParagraphFont"/>
    <w:uiPriority w:val="21"/>
    <w:qFormat/>
    <w:rsid w:val="00592FA2"/>
    <w:rPr>
      <w:i/>
      <w:iCs/>
      <w:color w:val="0F4761" w:themeColor="accent1" w:themeShade="BF"/>
    </w:rPr>
  </w:style>
  <w:style w:type="paragraph" w:styleId="IntenseQuote">
    <w:name w:val="Intense Quote"/>
    <w:basedOn w:val="Normal"/>
    <w:next w:val="Normal"/>
    <w:link w:val="IntenseQuoteChar"/>
    <w:uiPriority w:val="30"/>
    <w:qFormat/>
    <w:rsid w:val="00592F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2FA2"/>
    <w:rPr>
      <w:i/>
      <w:iCs/>
      <w:color w:val="0F4761" w:themeColor="accent1" w:themeShade="BF"/>
    </w:rPr>
  </w:style>
  <w:style w:type="character" w:styleId="IntenseReference">
    <w:name w:val="Intense Reference"/>
    <w:basedOn w:val="DefaultParagraphFont"/>
    <w:uiPriority w:val="32"/>
    <w:qFormat/>
    <w:rsid w:val="00592FA2"/>
    <w:rPr>
      <w:b/>
      <w:bCs/>
      <w:smallCaps/>
      <w:color w:val="0F4761" w:themeColor="accent1" w:themeShade="BF"/>
      <w:spacing w:val="5"/>
    </w:rPr>
  </w:style>
  <w:style w:type="character" w:styleId="Strong">
    <w:name w:val="Strong"/>
    <w:basedOn w:val="DefaultParagraphFont"/>
    <w:uiPriority w:val="22"/>
    <w:qFormat/>
    <w:rsid w:val="00592FA2"/>
    <w:rPr>
      <w:b/>
      <w:bCs/>
    </w:rPr>
  </w:style>
  <w:style w:type="character" w:styleId="Emphasis">
    <w:name w:val="Emphasis"/>
    <w:basedOn w:val="DefaultParagraphFont"/>
    <w:uiPriority w:val="20"/>
    <w:qFormat/>
    <w:rsid w:val="00592FA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1158</Words>
  <Characters>6954</Characters>
  <Application>Microsoft Office Word</Application>
  <DocSecurity>0</DocSecurity>
  <Lines>119</Lines>
  <Paragraphs>16</Paragraphs>
  <ScaleCrop>false</ScaleCrop>
  <Company/>
  <LinksUpToDate>false</LinksUpToDate>
  <CharactersWithSpaces>8096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Bennet Rohan Devasahayam</dc:creator>
  <cp:keywords/>
  <dc:description/>
  <cp:lastModifiedBy>Bennet Rohan Devasahayam</cp:lastModifiedBy>
  <cp:revision>2</cp:revision>
  <dcterms:created xsi:type="dcterms:W3CDTF">2026-06-27T07:20:00Z</dcterms:created>
  <dcterms:modified xsi:type="dcterms:W3CDTF">2026-06-27T07:21:00Z</dcterms:modified>
</cp:coreProperties>
</file>