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16E8D">
      <w:pPr>
        <w:rPr>
          <w:rFonts w:hint="eastAsia" w:ascii="Times New Roman" w:hAnsi="Times New Roman" w:cs="Times New Roman" w:eastAsiaTheme="minorEastAsia"/>
          <w:sz w:val="24"/>
          <w:szCs w:val="28"/>
          <w:lang w:eastAsia="zh-CN"/>
        </w:rPr>
      </w:pPr>
      <w:r>
        <w:rPr>
          <w:rFonts w:hint="eastAsia" w:ascii="Times New Roman" w:hAnsi="Times New Roman" w:cs="Times New Roman" w:eastAsiaTheme="minorEastAsia"/>
          <w:sz w:val="24"/>
          <w:szCs w:val="28"/>
          <w:lang w:eastAsia="zh-CN"/>
        </w:rPr>
        <w:drawing>
          <wp:inline distT="0" distB="0" distL="114300" distR="114300">
            <wp:extent cx="5268595" cy="3101975"/>
            <wp:effectExtent l="0" t="0" r="8255" b="3175"/>
            <wp:docPr id="1" name="图片 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
                    <pic:cNvPicPr>
                      <a:picLocks noChangeAspect="1"/>
                    </pic:cNvPicPr>
                  </pic:nvPicPr>
                  <pic:blipFill>
                    <a:blip r:embed="rId6"/>
                    <a:stretch>
                      <a:fillRect/>
                    </a:stretch>
                  </pic:blipFill>
                  <pic:spPr>
                    <a:xfrm>
                      <a:off x="0" y="0"/>
                      <a:ext cx="5268595" cy="3101975"/>
                    </a:xfrm>
                    <a:prstGeom prst="rect">
                      <a:avLst/>
                    </a:prstGeom>
                  </pic:spPr>
                </pic:pic>
              </a:graphicData>
            </a:graphic>
          </wp:inline>
        </w:drawing>
      </w:r>
    </w:p>
    <w:p w14:paraId="65881F6A">
      <w:pPr>
        <w:rPr>
          <w:rFonts w:ascii="Times New Roman" w:hAnsi="Times New Roman" w:cs="Times New Roman"/>
          <w:sz w:val="24"/>
          <w:szCs w:val="28"/>
        </w:rPr>
      </w:pPr>
      <w:r>
        <w:rPr>
          <w:rFonts w:ascii="Times New Roman" w:hAnsi="Times New Roman" w:cs="Times New Roman"/>
          <w:sz w:val="24"/>
          <w:szCs w:val="28"/>
        </w:rPr>
        <w:t>Figure S</w:t>
      </w:r>
      <w:r>
        <w:rPr>
          <w:rFonts w:hint="eastAsia" w:ascii="Times New Roman" w:hAnsi="Times New Roman" w:cs="Times New Roman"/>
          <w:sz w:val="24"/>
          <w:szCs w:val="28"/>
          <w:lang w:val="en-US" w:eastAsia="zh-CN"/>
        </w:rPr>
        <w:t>1</w:t>
      </w:r>
      <w:bookmarkStart w:id="0" w:name="_GoBack"/>
      <w:bookmarkEnd w:id="0"/>
      <w:r>
        <w:rPr>
          <w:rFonts w:ascii="Times New Roman" w:hAnsi="Times New Roman" w:cs="Times New Roman"/>
          <w:sz w:val="24"/>
          <w:szCs w:val="28"/>
        </w:rPr>
        <w:t xml:space="preserve">. </w:t>
      </w:r>
      <w:r>
        <w:rPr>
          <w:rFonts w:hint="eastAsia" w:ascii="Times New Roman" w:hAnsi="Times New Roman" w:cs="Times New Roman"/>
          <w:sz w:val="24"/>
          <w:szCs w:val="28"/>
        </w:rPr>
        <w:t>Effects of PERK modulation and CHOP knockdown on first polar body extrusion after IVM.</w:t>
      </w:r>
      <w:r>
        <w:rPr>
          <w:rFonts w:ascii="Times New Roman" w:hAnsi="Times New Roman" w:cs="Times New Roman"/>
          <w:sz w:val="24"/>
          <w:szCs w:val="28"/>
        </w:rPr>
        <w:t xml:space="preserve"> </w:t>
      </w:r>
      <w:r>
        <w:rPr>
          <w:rFonts w:hint="eastAsia" w:ascii="Times New Roman" w:hAnsi="Times New Roman" w:cs="Times New Roman"/>
          <w:sz w:val="24"/>
          <w:szCs w:val="28"/>
        </w:rPr>
        <w:t>(A) Bar graph showing the normal first polar body extrusion rate after IVM in four groups: aged oocytes, aged oocytes treated with a PERK inhibitor, aged oocytes treated with TUDCA, and aged oocytes treated with both TUDCA and a PERK agonist.</w:t>
      </w:r>
      <w:r>
        <w:rPr>
          <w:rFonts w:hint="eastAsia" w:ascii="Times New Roman" w:hAnsi="Times New Roman" w:cs="Times New Roman"/>
          <w:sz w:val="24"/>
          <w:szCs w:val="28"/>
          <w:lang w:val="en-US" w:eastAsia="zh-CN"/>
        </w:rPr>
        <w:t xml:space="preserve"> </w:t>
      </w:r>
      <w:r>
        <w:rPr>
          <w:rFonts w:hint="eastAsia" w:ascii="Times New Roman" w:hAnsi="Times New Roman" w:cs="Times New Roman"/>
          <w:sz w:val="24"/>
          <w:szCs w:val="28"/>
        </w:rPr>
        <w:t>(B) Bar graph showing the normal first polar body extrusion rate after IVM in young oocytes and young oocytes treated with a PERK agonist.</w:t>
      </w:r>
      <w:r>
        <w:rPr>
          <w:rFonts w:hint="eastAsia" w:ascii="Times New Roman" w:hAnsi="Times New Roman" w:cs="Times New Roman"/>
          <w:sz w:val="24"/>
          <w:szCs w:val="28"/>
          <w:lang w:val="en-US" w:eastAsia="zh-CN"/>
        </w:rPr>
        <w:t xml:space="preserve"> </w:t>
      </w:r>
      <w:r>
        <w:rPr>
          <w:rFonts w:hint="eastAsia" w:ascii="Times New Roman" w:hAnsi="Times New Roman" w:cs="Times New Roman"/>
          <w:sz w:val="24"/>
          <w:szCs w:val="28"/>
        </w:rPr>
        <w:t>(C) Bar graph showing the normal first polar body extrusion rate after IVM in aged oocytes microinjected with siRCHOP or control siR.</w:t>
      </w:r>
      <w:r>
        <w:rPr>
          <w:rFonts w:ascii="Times New Roman" w:hAnsi="Times New Roman" w:cs="Times New Roman"/>
          <w:sz w:val="24"/>
          <w:szCs w:val="28"/>
        </w:rPr>
        <w:t xml:space="preserve"> </w:t>
      </w:r>
      <w:r>
        <w:rPr>
          <w:rFonts w:ascii="Times New Roman" w:hAnsi="Times New Roman" w:eastAsia="Times New Roman" w:cs="Times New Roman"/>
          <w:color w:val="auto"/>
          <w:sz w:val="24"/>
        </w:rPr>
        <w:t xml:space="preserve">Data presented as mean ± SEM; * p &lt; 0.05, ** p &lt; 0.01. All experiments were performed with at least three independent replicates. </w:t>
      </w:r>
    </w:p>
    <w:p w14:paraId="28A85EC3">
      <w:pPr>
        <w:rPr>
          <w:rFonts w:hint="eastAsia" w:ascii="Times New Roman" w:hAnsi="Times New Roman" w:cs="Times New Roman" w:eastAsiaTheme="minorEastAsia"/>
          <w:sz w:val="24"/>
          <w:szCs w:val="28"/>
          <w:lang w:eastAsia="zh-CN"/>
        </w:rPr>
      </w:pPr>
      <w:r>
        <w:rPr>
          <w:rFonts w:hint="eastAsia" w:ascii="Times New Roman" w:hAnsi="Times New Roman" w:cs="Times New Roman" w:eastAsiaTheme="minorEastAsia"/>
          <w:sz w:val="24"/>
          <w:szCs w:val="28"/>
          <w:lang w:eastAsia="zh-CN"/>
        </w:rPr>
        <w:drawing>
          <wp:inline distT="0" distB="0" distL="114300" distR="114300">
            <wp:extent cx="5268595" cy="7452360"/>
            <wp:effectExtent l="0" t="0" r="8255" b="5715"/>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7"/>
                    <a:stretch>
                      <a:fillRect/>
                    </a:stretch>
                  </pic:blipFill>
                  <pic:spPr>
                    <a:xfrm>
                      <a:off x="0" y="0"/>
                      <a:ext cx="5268595" cy="7452360"/>
                    </a:xfrm>
                    <a:prstGeom prst="rect">
                      <a:avLst/>
                    </a:prstGeom>
                  </pic:spPr>
                </pic:pic>
              </a:graphicData>
            </a:graphic>
          </wp:inline>
        </w:drawing>
      </w:r>
    </w:p>
    <w:p w14:paraId="39322DA8">
      <w:pPr>
        <w:rPr>
          <w:rFonts w:ascii="Times New Roman" w:hAnsi="Times New Roman" w:cs="Times New Roman"/>
          <w:sz w:val="24"/>
          <w:szCs w:val="28"/>
        </w:rPr>
      </w:pPr>
      <w:r>
        <w:rPr>
          <w:rFonts w:ascii="Times New Roman" w:hAnsi="Times New Roman" w:cs="Times New Roman"/>
          <w:sz w:val="24"/>
          <w:szCs w:val="28"/>
        </w:rPr>
        <w:t>Figure S</w:t>
      </w:r>
      <w:r>
        <w:rPr>
          <w:rFonts w:hint="eastAsia" w:ascii="Times New Roman" w:hAnsi="Times New Roman" w:cs="Times New Roman"/>
          <w:sz w:val="24"/>
          <w:szCs w:val="28"/>
          <w:lang w:val="en-US" w:eastAsia="zh-CN"/>
        </w:rPr>
        <w:t>2</w:t>
      </w:r>
      <w:r>
        <w:rPr>
          <w:rFonts w:ascii="Times New Roman" w:hAnsi="Times New Roman" w:cs="Times New Roman"/>
          <w:sz w:val="24"/>
          <w:szCs w:val="28"/>
        </w:rPr>
        <w:t>. Validation of primary antibody specificity for immunofluorescence and immunoblotting analyses. (A) Validation of primary antibodies for immunoblotting (Western blot). (B–G) Validation of primary antibodies for immunofluorescence. All experiments were independently repeated at least three times. Scale bars: 50 μm.</w:t>
      </w:r>
    </w:p>
    <w:p w14:paraId="4EB92C55">
      <w:pPr>
        <w:rPr>
          <w:rFonts w:ascii="Times New Roman" w:hAnsi="Times New Roman" w:cs="Times New Roman"/>
          <w:sz w:val="24"/>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3C"/>
    <w:rsid w:val="00440F75"/>
    <w:rsid w:val="00AF0D8C"/>
    <w:rsid w:val="00E2083C"/>
    <w:rsid w:val="215C799C"/>
    <w:rsid w:val="5A510495"/>
    <w:rsid w:val="5DB90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qFormat/>
    <w:uiPriority w:val="9"/>
    <w:rPr>
      <w:rFonts w:cstheme="majorBidi"/>
      <w:color w:val="104862" w:themeColor="accent1" w:themeShade="BF"/>
      <w:sz w:val="28"/>
      <w:szCs w:val="28"/>
    </w:rPr>
  </w:style>
  <w:style w:type="character" w:customStyle="1" w:styleId="19">
    <w:name w:val="标题 5 字符"/>
    <w:basedOn w:val="14"/>
    <w:link w:val="6"/>
    <w:semiHidden/>
    <w:qFormat/>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qFormat/>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2</Pages>
  <Words>168</Words>
  <Characters>902</Characters>
  <Lines>2</Lines>
  <Paragraphs>1</Paragraphs>
  <TotalTime>0</TotalTime>
  <ScaleCrop>false</ScaleCrop>
  <LinksUpToDate>false</LinksUpToDate>
  <CharactersWithSpaces>1069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2026-01-14T12:06:00Z</dcterms:created>
  <dc:creator>WEI LIU</dc:creator>
  <cp:lastModifiedBy>希君</cp:lastModifiedBy>
  <dcterms:modified xsi:type="dcterms:W3CDTF">2026-07-25T08:41:36Z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eyJoZGlkIjoiOTM0MDNkYjk1OTdlNzkwYjJmZDUxNDI2MTYwYmYzMzciLCJ1c2VySWQiOiI0NTU1OTQ4MjEifQ==</vt:lpwstr>
  </property>
  <property fmtid="{D5CDD505-2E9C-101B-9397-08002B2CF9AE}" pid="3" name="KSOProductBuildVer">
    <vt:lpwstr>2052-12.1.0.26895</vt:lpwstr>
  </property>
  <property fmtid="{D5CDD505-2E9C-101B-9397-08002B2CF9AE}" pid="4" name="ICV">
    <vt:lpwstr>F99079D2C99747A1B22CF7E2E5CAA759_12</vt:lpwstr>
  </property>
</Properties>
</file>