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1ED" w:rsidRDefault="00D151ED" w:rsidP="00D151ED">
      <w:pPr>
        <w:pStyle w:val="Heading1"/>
      </w:pPr>
      <w:bookmarkStart w:id="0" w:name="_GoBack"/>
      <w:bookmarkEnd w:id="0"/>
      <w:r>
        <w:t>Main Experiment Results with a Conservative Exclusion Criterion</w:t>
      </w:r>
    </w:p>
    <w:p w:rsidR="00D151ED" w:rsidRDefault="00D151ED" w:rsidP="00D151ED">
      <w:r>
        <w:t>We excluded trials where T1 error exceeded 22.5° and T2 and T3 error exceeded 60° in the main experiment (giving us T2|T1 error and T3|T1 error). However, this removed ~14% of the trials in the raw data. In the attentional blink literature</w:t>
      </w:r>
      <w:r>
        <w:rPr>
          <w:vertAlign w:val="superscript"/>
          <w:lang w:val="tr-TR"/>
        </w:rPr>
        <w:t>49-51</w:t>
      </w:r>
      <w:r>
        <w:t>, regardless of the task requiring a continuous or discrete response, a T1-based removal is performed to fulfill the assumption that the observer processed the first item in the stream. For transparency</w:t>
      </w:r>
      <w:r>
        <w:rPr>
          <w:lang w:val="tr-TR"/>
        </w:rPr>
        <w:t>,</w:t>
      </w:r>
      <w:r>
        <w:t xml:space="preserve"> we report the results for our data with a more lenient T1 error criterion, by removing trials only where either of T1, T2, or T3 error exceeded 60°. This led to the removal of highly erroneous trials only, removing ~5% of the trials after cleaning data based on remaining criteria (see the Data Preprocessing and Analytical Approach section in the manuscript). Therefore, in the report below, we use T2 error and T3 error instead of T2|T1 error and T3|T1 error as there is no T1-based exclusion anymore. We followed the exact same approach we did in the main manuscript for the analyses reported below.</w:t>
      </w:r>
    </w:p>
    <w:p w:rsidR="00D151ED" w:rsidRDefault="00D151ED" w:rsidP="00D151ED">
      <w:r>
        <w:t xml:space="preserve">To summarize, we still found </w:t>
      </w:r>
      <w:r>
        <w:rPr>
          <w:lang w:val="tr-TR"/>
        </w:rPr>
        <w:t xml:space="preserve">the </w:t>
      </w:r>
      <w:r>
        <w:t>attentional blink</w:t>
      </w:r>
      <w:r>
        <w:rPr>
          <w:lang w:val="tr-TR"/>
        </w:rPr>
        <w:t xml:space="preserve"> effect</w:t>
      </w:r>
      <w:r>
        <w:t xml:space="preserve"> for T2 with higher absolute error and lower precision in the Lag 3 condition. The repulsive serial bias was greater in the Lag 3 condition compared to the Lag 7 condition (with a subtle uncertainty near the boundary, see below). We found a small attentional</w:t>
      </w:r>
      <w:r>
        <w:rPr>
          <w:lang w:val="tr-TR"/>
        </w:rPr>
        <w:t>-</w:t>
      </w:r>
      <w:r>
        <w:t>blink-like effect in T3 estimates in the Lag 3 condition. However, T3 estimation precision was similar across Lag conditions. This small effect did not lead to a change in the magnitude of the serial bias for T3.</w:t>
      </w:r>
      <w:r>
        <w:rPr>
          <w:lang w:val="tr-TR"/>
        </w:rPr>
        <w:t xml:space="preserve"> We also replicated the findings of our linear regression-based</w:t>
      </w:r>
      <w:r>
        <w:t xml:space="preserve"> </w:t>
      </w:r>
      <w:r>
        <w:rPr>
          <w:lang w:val="tr-TR"/>
        </w:rPr>
        <w:t xml:space="preserve">analysis. We found that T2 estimates were repelled away from both the preceding (T1) and the succeeding target (T3) in the stream, with only the former modulated by Lag. T3 estimates were repelled away from both preceding targets (T1 and T2), with no effect of Lag. </w:t>
      </w:r>
      <w:r>
        <w:t xml:space="preserve">Overall, the current </w:t>
      </w:r>
      <w:proofErr w:type="gramStart"/>
      <w:r>
        <w:t>set of results are</w:t>
      </w:r>
      <w:proofErr w:type="gramEnd"/>
      <w:r>
        <w:t xml:space="preserve"> in line with those reported in the manuscript.   </w:t>
      </w:r>
    </w:p>
    <w:p w:rsidR="00D151ED" w:rsidRDefault="00D151ED" w:rsidP="00D151ED">
      <w:pPr>
        <w:pStyle w:val="Heading2"/>
      </w:pPr>
      <w:r>
        <w:lastRenderedPageBreak/>
        <w:t>Results</w:t>
      </w:r>
    </w:p>
    <w:p w:rsidR="00D151ED" w:rsidRDefault="00D151ED" w:rsidP="00D151ED">
      <w:pPr>
        <w:pStyle w:val="Heading3"/>
      </w:pPr>
      <w:r>
        <w:t>Attentional Blink</w:t>
      </w:r>
    </w:p>
    <w:p w:rsidR="00D151ED" w:rsidRDefault="00D151ED" w:rsidP="00D151ED">
      <w:r>
        <w:rPr>
          <w:b/>
          <w:bCs/>
        </w:rPr>
        <w:t>T2.</w:t>
      </w:r>
      <w:r>
        <w:t xml:space="preserve"> A paired-samples t-test indicated that absolute T2 error was significantly higher in the Lag 3 condition (</w:t>
      </w:r>
      <w:r>
        <w:rPr>
          <w:i/>
          <w:iCs/>
        </w:rPr>
        <w:t>M</w:t>
      </w:r>
      <w:r>
        <w:t xml:space="preserve"> = 13.30, </w:t>
      </w:r>
      <w:r>
        <w:rPr>
          <w:i/>
          <w:iCs/>
        </w:rPr>
        <w:t>SD</w:t>
      </w:r>
      <w:r>
        <w:t xml:space="preserve"> = 2.34) than in the Lag 7 condition (</w:t>
      </w:r>
      <w:r>
        <w:rPr>
          <w:i/>
          <w:iCs/>
        </w:rPr>
        <w:t>M</w:t>
      </w:r>
      <w:r>
        <w:t xml:space="preserve"> = 11.49, </w:t>
      </w:r>
      <w:r>
        <w:rPr>
          <w:i/>
          <w:iCs/>
        </w:rPr>
        <w:t>SD</w:t>
      </w:r>
      <w:r>
        <w:t xml:space="preserve"> = 2.12), </w:t>
      </w:r>
      <w:proofErr w:type="gramStart"/>
      <w:r>
        <w:rPr>
          <w:i/>
          <w:iCs/>
        </w:rPr>
        <w:t>t</w:t>
      </w:r>
      <w:r>
        <w:t>(</w:t>
      </w:r>
      <w:proofErr w:type="gramEnd"/>
      <w:r>
        <w:t xml:space="preserve">21) = 5.37, </w:t>
      </w:r>
      <w:r>
        <w:rPr>
          <w:i/>
          <w:iCs/>
        </w:rPr>
        <w:t>p</w:t>
      </w:r>
      <w:r>
        <w:t xml:space="preserve"> &lt; .001, </w:t>
      </w:r>
      <w:r>
        <w:rPr>
          <w:i/>
          <w:iCs/>
        </w:rPr>
        <w:t>Cohen’s</w:t>
      </w:r>
      <w:r>
        <w:t xml:space="preserve"> </w:t>
      </w:r>
      <w:r>
        <w:rPr>
          <w:i/>
          <w:iCs/>
        </w:rPr>
        <w:t>d</w:t>
      </w:r>
      <w:r>
        <w:t xml:space="preserve"> = .81, BF</w:t>
      </w:r>
      <w:r>
        <w:rPr>
          <w:vertAlign w:val="subscript"/>
        </w:rPr>
        <w:t xml:space="preserve">10 </w:t>
      </w:r>
      <w:r>
        <w:t>= ~949. Moreover, a t-test on the precision of T2 estimates revealed that estimates were less precise in the Lag 3 condition (</w:t>
      </w:r>
      <w:r>
        <w:rPr>
          <w:i/>
          <w:iCs/>
        </w:rPr>
        <w:t>M</w:t>
      </w:r>
      <w:r>
        <w:t xml:space="preserve"> = 0.10, </w:t>
      </w:r>
      <w:r>
        <w:rPr>
          <w:i/>
          <w:iCs/>
        </w:rPr>
        <w:t>SD</w:t>
      </w:r>
      <w:r>
        <w:t xml:space="preserve"> = 0.02) than in the Lag 7 condition (</w:t>
      </w:r>
      <w:r>
        <w:rPr>
          <w:i/>
          <w:iCs/>
        </w:rPr>
        <w:t>M</w:t>
      </w:r>
      <w:r>
        <w:t xml:space="preserve"> = 0.11, </w:t>
      </w:r>
      <w:r>
        <w:rPr>
          <w:i/>
          <w:iCs/>
        </w:rPr>
        <w:t>SD</w:t>
      </w:r>
      <w:r>
        <w:t xml:space="preserve"> = 0.02), </w:t>
      </w:r>
      <w:r>
        <w:rPr>
          <w:i/>
          <w:iCs/>
        </w:rPr>
        <w:t>t</w:t>
      </w:r>
      <w:r>
        <w:t xml:space="preserve">(21) = -3.61, </w:t>
      </w:r>
      <w:r>
        <w:rPr>
          <w:i/>
          <w:iCs/>
        </w:rPr>
        <w:t>p</w:t>
      </w:r>
      <w:r>
        <w:t xml:space="preserve"> &lt; .001, </w:t>
      </w:r>
      <w:r>
        <w:rPr>
          <w:i/>
          <w:iCs/>
        </w:rPr>
        <w:t>Cohen’s</w:t>
      </w:r>
      <w:r>
        <w:t xml:space="preserve"> </w:t>
      </w:r>
      <w:r>
        <w:rPr>
          <w:i/>
          <w:iCs/>
        </w:rPr>
        <w:t>d</w:t>
      </w:r>
      <w:r>
        <w:t xml:space="preserve"> = -.67, BF</w:t>
      </w:r>
      <w:r>
        <w:rPr>
          <w:vertAlign w:val="subscript"/>
        </w:rPr>
        <w:t xml:space="preserve">10 </w:t>
      </w:r>
      <w:r>
        <w:t>= ~23. This suggested that we observed the attentional blink effect without applying any T1-based exclusion.</w:t>
      </w:r>
    </w:p>
    <w:p w:rsidR="00D151ED" w:rsidRDefault="00D151ED" w:rsidP="00D151ED">
      <w:r>
        <w:rPr>
          <w:b/>
          <w:bCs/>
        </w:rPr>
        <w:t>T3.</w:t>
      </w:r>
      <w:r>
        <w:t xml:space="preserve"> A paired-samples t-test revealed that absolute T3 error also differed significantly across Lag 3 (</w:t>
      </w:r>
      <w:r>
        <w:rPr>
          <w:i/>
          <w:iCs/>
        </w:rPr>
        <w:t>M</w:t>
      </w:r>
      <w:r>
        <w:t xml:space="preserve"> = 13.39, </w:t>
      </w:r>
      <w:r>
        <w:rPr>
          <w:i/>
          <w:iCs/>
        </w:rPr>
        <w:t>SD</w:t>
      </w:r>
      <w:r>
        <w:t xml:space="preserve"> = 2.27) and Lag 7 (</w:t>
      </w:r>
      <w:r>
        <w:rPr>
          <w:i/>
          <w:iCs/>
        </w:rPr>
        <w:t>M</w:t>
      </w:r>
      <w:r>
        <w:t xml:space="preserve"> = 12.70, </w:t>
      </w:r>
      <w:r>
        <w:rPr>
          <w:i/>
          <w:iCs/>
        </w:rPr>
        <w:t>SD</w:t>
      </w:r>
      <w:r>
        <w:t xml:space="preserve"> = 2.56) conditions, </w:t>
      </w:r>
      <w:proofErr w:type="gramStart"/>
      <w:r>
        <w:rPr>
          <w:i/>
          <w:iCs/>
        </w:rPr>
        <w:t>t</w:t>
      </w:r>
      <w:r>
        <w:t>(</w:t>
      </w:r>
      <w:proofErr w:type="gramEnd"/>
      <w:r>
        <w:t xml:space="preserve">21) = 2.58, </w:t>
      </w:r>
      <w:r>
        <w:rPr>
          <w:i/>
          <w:iCs/>
        </w:rPr>
        <w:t>p</w:t>
      </w:r>
      <w:r>
        <w:t xml:space="preserve"> = .02,</w:t>
      </w:r>
      <w:r>
        <w:rPr>
          <w:i/>
          <w:iCs/>
        </w:rPr>
        <w:t xml:space="preserve"> Cohen’s</w:t>
      </w:r>
      <w:r>
        <w:t xml:space="preserve"> </w:t>
      </w:r>
      <w:r>
        <w:rPr>
          <w:i/>
          <w:iCs/>
        </w:rPr>
        <w:t>d</w:t>
      </w:r>
      <w:r>
        <w:t xml:space="preserve"> = .29, BF</w:t>
      </w:r>
      <w:r>
        <w:rPr>
          <w:vertAlign w:val="subscript"/>
        </w:rPr>
        <w:t xml:space="preserve">10 </w:t>
      </w:r>
      <w:r>
        <w:t>= ~3. Another t-test of T3 precision suggested no difference between Lag 3 (</w:t>
      </w:r>
      <w:r>
        <w:rPr>
          <w:i/>
          <w:iCs/>
        </w:rPr>
        <w:t>M</w:t>
      </w:r>
      <w:r>
        <w:t xml:space="preserve"> = 0.09, </w:t>
      </w:r>
      <w:r>
        <w:rPr>
          <w:i/>
          <w:iCs/>
        </w:rPr>
        <w:t>SD</w:t>
      </w:r>
      <w:r>
        <w:t xml:space="preserve"> = 0.01</w:t>
      </w:r>
      <w:proofErr w:type="gramStart"/>
      <w:r>
        <w:t>)  and</w:t>
      </w:r>
      <w:proofErr w:type="gramEnd"/>
      <w:r>
        <w:t xml:space="preserve"> Lag 7 (</w:t>
      </w:r>
      <w:r>
        <w:rPr>
          <w:i/>
          <w:iCs/>
        </w:rPr>
        <w:t>M</w:t>
      </w:r>
      <w:r>
        <w:t xml:space="preserve"> = 0.10, </w:t>
      </w:r>
      <w:r>
        <w:rPr>
          <w:i/>
          <w:iCs/>
        </w:rPr>
        <w:t>SD</w:t>
      </w:r>
      <w:r>
        <w:t xml:space="preserve"> = 0.02) conditions, </w:t>
      </w:r>
      <w:r>
        <w:rPr>
          <w:i/>
          <w:iCs/>
        </w:rPr>
        <w:t>t</w:t>
      </w:r>
      <w:r>
        <w:t xml:space="preserve">(21) = -1.73, </w:t>
      </w:r>
      <w:r>
        <w:rPr>
          <w:i/>
          <w:iCs/>
        </w:rPr>
        <w:t>p</w:t>
      </w:r>
      <w:r>
        <w:t xml:space="preserve"> = .10,</w:t>
      </w:r>
      <w:r>
        <w:rPr>
          <w:i/>
          <w:iCs/>
        </w:rPr>
        <w:t xml:space="preserve"> Cohen’s</w:t>
      </w:r>
      <w:r>
        <w:t xml:space="preserve"> </w:t>
      </w:r>
      <w:r>
        <w:rPr>
          <w:i/>
          <w:iCs/>
        </w:rPr>
        <w:t>d</w:t>
      </w:r>
      <w:r>
        <w:t xml:space="preserve"> = -.32, BF</w:t>
      </w:r>
      <w:r>
        <w:rPr>
          <w:vertAlign w:val="subscript"/>
        </w:rPr>
        <w:t xml:space="preserve">01 </w:t>
      </w:r>
      <w:r>
        <w:t>= ~1.25. The results suggested a weak attentional blink-like effect in T3 estimates without any modulation of estimation precision.</w:t>
      </w:r>
    </w:p>
    <w:p w:rsidR="00D151ED" w:rsidRDefault="00D151ED" w:rsidP="00D151ED">
      <w:pPr>
        <w:pStyle w:val="Heading3"/>
      </w:pPr>
      <w:r>
        <w:t>Serial Dependence</w:t>
      </w:r>
    </w:p>
    <w:p w:rsidR="00D151ED" w:rsidRDefault="00D151ED" w:rsidP="00D151ED">
      <w:r>
        <w:rPr>
          <w:b/>
          <w:bCs/>
        </w:rPr>
        <w:t>T2 – Effect of Target Fidelity.</w:t>
      </w:r>
      <w:r>
        <w:t xml:space="preserve"> We used the same hierarchical Bayesian model to test our main hypotheses with the current data. </w:t>
      </w:r>
    </w:p>
    <w:p w:rsidR="00D151ED" w:rsidRDefault="00D151ED" w:rsidP="00D151ED">
      <w:r>
        <w:t xml:space="preserve">The posterior distributions for the parameter </w:t>
      </w:r>
      <m:oMath>
        <m:r>
          <w:rPr>
            <w:rFonts w:ascii="Cambria Math" w:hAnsi="Cambria Math"/>
          </w:rPr>
          <m:t>α</m:t>
        </m:r>
      </m:oMath>
      <w:r>
        <w:t xml:space="preserve"> indicated a repulsive serial dependence effect in both Lag 3, -9.12° [-11.58°, -6.61°], and Lag 7, -5.16° [-7.29°, -2.86°], conditions. 99% of the posterior difference distribution fell below zero, indicating a very high probability of a difference between the parameter </w:t>
      </w:r>
      <m:oMath>
        <m:r>
          <w:rPr>
            <w:rFonts w:ascii="Cambria Math" w:hAnsi="Cambria Math"/>
          </w:rPr>
          <m:t>α</m:t>
        </m:r>
      </m:oMath>
      <w:r>
        <w:t xml:space="preserve"> in Lag 3 and Lag 7 conditions. The 95% HDI for the posterior distribution difference between Lag 3 and Lag 7 spanned [-7.38°, 0.70°], with the upper </w:t>
      </w:r>
      <w:r>
        <w:lastRenderedPageBreak/>
        <w:t>tail crossing over zero, indicating a subtle uncertainty at the upper boundary. The model fits (with observed data) and posterior probability distribution plots can be seen in Supplementary Figure S8</w:t>
      </w:r>
      <w:r>
        <w:rPr>
          <w:lang w:val="tr-TR"/>
        </w:rPr>
        <w:t>. Parameter estimates and model metrics can be seen in Table S2.</w:t>
      </w:r>
      <w:r>
        <w:t xml:space="preserve"> </w:t>
      </w:r>
    </w:p>
    <w:p w:rsidR="00116921" w:rsidRDefault="00116921"/>
    <w:sectPr w:rsidR="001169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erif CJK SC">
    <w:altName w:val="MV Boli"/>
    <w:charset w:val="00"/>
    <w:family w:val="auto"/>
    <w:pitch w:val="default"/>
  </w:font>
  <w:font w:name="Noto Sans">
    <w:altName w:val="Sans Serif Collection"/>
    <w:charset w:val="00"/>
    <w:family w:val="swiss"/>
    <w:pitch w:val="variable"/>
    <w:sig w:usb0="00000001" w:usb1="4000201F" w:usb2="08000029" w:usb3="00000000" w:csb0="0000019F" w:csb1="00000000"/>
  </w:font>
  <w:font w:name="Tahoma">
    <w:panose1 w:val="020B0604030504040204"/>
    <w:charset w:val="00"/>
    <w:family w:val="swiss"/>
    <w:pitch w:val="variable"/>
    <w:sig w:usb0="E1002EFF" w:usb1="C000605B" w:usb2="00000029" w:usb3="00000000" w:csb0="000101FF" w:csb1="00000000"/>
  </w:font>
  <w:font w:name="Mangal">
    <w:altName w:val="Courier"/>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1ED"/>
    <w:rsid w:val="00116921"/>
    <w:rsid w:val="00D151E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1ED"/>
    <w:pPr>
      <w:tabs>
        <w:tab w:val="left" w:pos="3068"/>
      </w:tabs>
      <w:spacing w:after="0" w:line="480" w:lineRule="auto"/>
      <w:ind w:firstLine="720"/>
    </w:pPr>
    <w:rPr>
      <w:rFonts w:ascii="Times New Roman" w:eastAsia="Noto Serif CJK SC" w:hAnsi="Times New Roman" w:cs="Noto Sans"/>
      <w:sz w:val="24"/>
      <w:szCs w:val="24"/>
      <w:shd w:val="clear" w:color="auto" w:fill="FFFFFF"/>
      <w:lang w:val="en-US" w:eastAsia="zh-CN" w:bidi="hi-IN"/>
    </w:rPr>
  </w:style>
  <w:style w:type="paragraph" w:styleId="Heading1">
    <w:name w:val="heading 1"/>
    <w:basedOn w:val="Normal"/>
    <w:next w:val="Normal"/>
    <w:link w:val="Heading1Char"/>
    <w:qFormat/>
    <w:rsid w:val="00D151ED"/>
    <w:pPr>
      <w:keepNext/>
      <w:keepLines/>
      <w:ind w:firstLine="0"/>
      <w:jc w:val="center"/>
      <w:outlineLvl w:val="0"/>
    </w:pPr>
    <w:rPr>
      <w:b/>
      <w:bCs/>
    </w:rPr>
  </w:style>
  <w:style w:type="paragraph" w:styleId="Heading2">
    <w:name w:val="heading 2"/>
    <w:basedOn w:val="Normal"/>
    <w:next w:val="Normal"/>
    <w:link w:val="Heading2Char"/>
    <w:qFormat/>
    <w:rsid w:val="00D151ED"/>
    <w:pPr>
      <w:keepNext/>
      <w:keepLines/>
      <w:ind w:firstLine="0"/>
      <w:outlineLvl w:val="1"/>
    </w:pPr>
    <w:rPr>
      <w:b/>
      <w:bCs/>
    </w:rPr>
  </w:style>
  <w:style w:type="paragraph" w:styleId="Heading3">
    <w:name w:val="heading 3"/>
    <w:basedOn w:val="Normal"/>
    <w:next w:val="Normal"/>
    <w:link w:val="Heading3Char"/>
    <w:qFormat/>
    <w:rsid w:val="00D151ED"/>
    <w:pPr>
      <w:keepNext/>
      <w:keepLines/>
      <w:ind w:firstLine="0"/>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D151ED"/>
    <w:rPr>
      <w:rFonts w:ascii="Times New Roman" w:eastAsia="Noto Serif CJK SC" w:hAnsi="Times New Roman" w:cs="Noto Sans"/>
      <w:b/>
      <w:bCs/>
      <w:sz w:val="24"/>
      <w:szCs w:val="24"/>
      <w:lang w:val="en-US" w:eastAsia="zh-CN" w:bidi="hi-IN"/>
    </w:rPr>
  </w:style>
  <w:style w:type="character" w:customStyle="1" w:styleId="Heading2Char">
    <w:name w:val="Heading 2 Char"/>
    <w:basedOn w:val="DefaultParagraphFont"/>
    <w:link w:val="Heading2"/>
    <w:qFormat/>
    <w:rsid w:val="00D151ED"/>
    <w:rPr>
      <w:rFonts w:ascii="Times New Roman" w:eastAsia="Noto Serif CJK SC" w:hAnsi="Times New Roman" w:cs="Noto Sans"/>
      <w:b/>
      <w:bCs/>
      <w:sz w:val="24"/>
      <w:szCs w:val="24"/>
      <w:lang w:val="en-US" w:eastAsia="zh-CN" w:bidi="hi-IN"/>
    </w:rPr>
  </w:style>
  <w:style w:type="character" w:customStyle="1" w:styleId="Heading3Char">
    <w:name w:val="Heading 3 Char"/>
    <w:basedOn w:val="DefaultParagraphFont"/>
    <w:link w:val="Heading3"/>
    <w:qFormat/>
    <w:rsid w:val="00D151ED"/>
    <w:rPr>
      <w:rFonts w:ascii="Times New Roman" w:eastAsia="Noto Serif CJK SC" w:hAnsi="Times New Roman" w:cs="Noto Sans"/>
      <w:b/>
      <w:bCs/>
      <w:i/>
      <w:iCs/>
      <w:sz w:val="24"/>
      <w:szCs w:val="24"/>
      <w:lang w:val="en-US" w:eastAsia="zh-CN" w:bidi="hi-IN"/>
    </w:rPr>
  </w:style>
  <w:style w:type="paragraph" w:styleId="BalloonText">
    <w:name w:val="Balloon Text"/>
    <w:basedOn w:val="Normal"/>
    <w:link w:val="BalloonTextChar"/>
    <w:uiPriority w:val="99"/>
    <w:semiHidden/>
    <w:unhideWhenUsed/>
    <w:rsid w:val="00D151ED"/>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151ED"/>
    <w:rPr>
      <w:rFonts w:ascii="Tahoma" w:eastAsia="Noto Serif CJK SC" w:hAnsi="Tahoma" w:cs="Mangal"/>
      <w:sz w:val="16"/>
      <w:szCs w:val="1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1ED"/>
    <w:pPr>
      <w:tabs>
        <w:tab w:val="left" w:pos="3068"/>
      </w:tabs>
      <w:spacing w:after="0" w:line="480" w:lineRule="auto"/>
      <w:ind w:firstLine="720"/>
    </w:pPr>
    <w:rPr>
      <w:rFonts w:ascii="Times New Roman" w:eastAsia="Noto Serif CJK SC" w:hAnsi="Times New Roman" w:cs="Noto Sans"/>
      <w:sz w:val="24"/>
      <w:szCs w:val="24"/>
      <w:shd w:val="clear" w:color="auto" w:fill="FFFFFF"/>
      <w:lang w:val="en-US" w:eastAsia="zh-CN" w:bidi="hi-IN"/>
    </w:rPr>
  </w:style>
  <w:style w:type="paragraph" w:styleId="Heading1">
    <w:name w:val="heading 1"/>
    <w:basedOn w:val="Normal"/>
    <w:next w:val="Normal"/>
    <w:link w:val="Heading1Char"/>
    <w:qFormat/>
    <w:rsid w:val="00D151ED"/>
    <w:pPr>
      <w:keepNext/>
      <w:keepLines/>
      <w:ind w:firstLine="0"/>
      <w:jc w:val="center"/>
      <w:outlineLvl w:val="0"/>
    </w:pPr>
    <w:rPr>
      <w:b/>
      <w:bCs/>
    </w:rPr>
  </w:style>
  <w:style w:type="paragraph" w:styleId="Heading2">
    <w:name w:val="heading 2"/>
    <w:basedOn w:val="Normal"/>
    <w:next w:val="Normal"/>
    <w:link w:val="Heading2Char"/>
    <w:qFormat/>
    <w:rsid w:val="00D151ED"/>
    <w:pPr>
      <w:keepNext/>
      <w:keepLines/>
      <w:ind w:firstLine="0"/>
      <w:outlineLvl w:val="1"/>
    </w:pPr>
    <w:rPr>
      <w:b/>
      <w:bCs/>
    </w:rPr>
  </w:style>
  <w:style w:type="paragraph" w:styleId="Heading3">
    <w:name w:val="heading 3"/>
    <w:basedOn w:val="Normal"/>
    <w:next w:val="Normal"/>
    <w:link w:val="Heading3Char"/>
    <w:qFormat/>
    <w:rsid w:val="00D151ED"/>
    <w:pPr>
      <w:keepNext/>
      <w:keepLines/>
      <w:ind w:firstLine="0"/>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D151ED"/>
    <w:rPr>
      <w:rFonts w:ascii="Times New Roman" w:eastAsia="Noto Serif CJK SC" w:hAnsi="Times New Roman" w:cs="Noto Sans"/>
      <w:b/>
      <w:bCs/>
      <w:sz w:val="24"/>
      <w:szCs w:val="24"/>
      <w:lang w:val="en-US" w:eastAsia="zh-CN" w:bidi="hi-IN"/>
    </w:rPr>
  </w:style>
  <w:style w:type="character" w:customStyle="1" w:styleId="Heading2Char">
    <w:name w:val="Heading 2 Char"/>
    <w:basedOn w:val="DefaultParagraphFont"/>
    <w:link w:val="Heading2"/>
    <w:qFormat/>
    <w:rsid w:val="00D151ED"/>
    <w:rPr>
      <w:rFonts w:ascii="Times New Roman" w:eastAsia="Noto Serif CJK SC" w:hAnsi="Times New Roman" w:cs="Noto Sans"/>
      <w:b/>
      <w:bCs/>
      <w:sz w:val="24"/>
      <w:szCs w:val="24"/>
      <w:lang w:val="en-US" w:eastAsia="zh-CN" w:bidi="hi-IN"/>
    </w:rPr>
  </w:style>
  <w:style w:type="character" w:customStyle="1" w:styleId="Heading3Char">
    <w:name w:val="Heading 3 Char"/>
    <w:basedOn w:val="DefaultParagraphFont"/>
    <w:link w:val="Heading3"/>
    <w:qFormat/>
    <w:rsid w:val="00D151ED"/>
    <w:rPr>
      <w:rFonts w:ascii="Times New Roman" w:eastAsia="Noto Serif CJK SC" w:hAnsi="Times New Roman" w:cs="Noto Sans"/>
      <w:b/>
      <w:bCs/>
      <w:i/>
      <w:iCs/>
      <w:sz w:val="24"/>
      <w:szCs w:val="24"/>
      <w:lang w:val="en-US" w:eastAsia="zh-CN" w:bidi="hi-IN"/>
    </w:rPr>
  </w:style>
  <w:style w:type="paragraph" w:styleId="BalloonText">
    <w:name w:val="Balloon Text"/>
    <w:basedOn w:val="Normal"/>
    <w:link w:val="BalloonTextChar"/>
    <w:uiPriority w:val="99"/>
    <w:semiHidden/>
    <w:unhideWhenUsed/>
    <w:rsid w:val="00D151ED"/>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151ED"/>
    <w:rPr>
      <w:rFonts w:ascii="Tahoma" w:eastAsia="Noto Serif CJK SC" w:hAnsi="Tahoma" w:cs="Mangal"/>
      <w:sz w:val="16"/>
      <w:szCs w:val="1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Rose Caro</dc:creator>
  <cp:lastModifiedBy>Mary Rose Caro</cp:lastModifiedBy>
  <cp:revision>1</cp:revision>
  <dcterms:created xsi:type="dcterms:W3CDTF">2026-09-21T07:18:00Z</dcterms:created>
  <dcterms:modified xsi:type="dcterms:W3CDTF">2026-09-21T07:19:00Z</dcterms:modified>
</cp:coreProperties>
</file>