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717" w:rsidRDefault="00925A28" w:rsidP="000E4717">
      <w:pPr>
        <w:spacing w:line="480" w:lineRule="auto"/>
        <w:rPr>
          <w:b/>
          <w:lang w:val="en-US"/>
        </w:rPr>
      </w:pPr>
      <w:r>
        <w:rPr>
          <w:b/>
          <w:lang w:val="en-US"/>
        </w:rPr>
        <w:t>Additional file</w:t>
      </w:r>
      <w:r w:rsidR="000E4717">
        <w:rPr>
          <w:b/>
          <w:lang w:val="en-US"/>
        </w:rPr>
        <w:t xml:space="preserve"> 4</w:t>
      </w:r>
    </w:p>
    <w:p w:rsidR="000E4717" w:rsidRDefault="000E4717" w:rsidP="000E4717">
      <w:pPr>
        <w:spacing w:line="480" w:lineRule="auto"/>
        <w:rPr>
          <w:lang w:val="en-US"/>
        </w:rPr>
      </w:pPr>
      <w:r>
        <w:rPr>
          <w:lang w:val="en-US"/>
        </w:rPr>
        <w:t>Sensitivity analysis on a</w:t>
      </w:r>
      <w:r w:rsidRPr="00B13FCA">
        <w:rPr>
          <w:lang w:val="en-US"/>
        </w:rPr>
        <w:t xml:space="preserve">djusted effectiveness of influenza vaccination against </w:t>
      </w:r>
      <w:r>
        <w:rPr>
          <w:lang w:val="en-US"/>
        </w:rPr>
        <w:t xml:space="preserve">(1) </w:t>
      </w:r>
      <w:r w:rsidRPr="00B13FCA">
        <w:rPr>
          <w:lang w:val="en-US"/>
        </w:rPr>
        <w:t>all-cause mor</w:t>
      </w:r>
      <w:r>
        <w:rPr>
          <w:lang w:val="en-US"/>
        </w:rPr>
        <w:t>tality and (2) hospitalization due to influenza or pneumonia during influenza season</w:t>
      </w:r>
      <w:r w:rsidRPr="00B13FCA">
        <w:rPr>
          <w:lang w:val="en-US"/>
        </w:rPr>
        <w:t xml:space="preserve"> in patient</w:t>
      </w:r>
      <w:r>
        <w:rPr>
          <w:lang w:val="en-US"/>
        </w:rPr>
        <w:t xml:space="preserve">s with end-stage renal disease (ESRD). </w:t>
      </w:r>
    </w:p>
    <w:p w:rsidR="000E4717" w:rsidRDefault="000E4717" w:rsidP="000E4717">
      <w:pPr>
        <w:spacing w:line="480" w:lineRule="auto"/>
        <w:rPr>
          <w:lang w:val="en-US"/>
        </w:rPr>
      </w:pPr>
      <w:r w:rsidRPr="007B4CCE">
        <w:rPr>
          <w:b/>
          <w:lang w:val="en-US"/>
        </w:rPr>
        <w:t>(1)</w:t>
      </w:r>
      <w:r>
        <w:rPr>
          <w:lang w:val="en-US"/>
        </w:rPr>
        <w:t xml:space="preserve"> All-cause mortality: </w:t>
      </w:r>
      <w:r w:rsidRPr="00FF1A70">
        <w:rPr>
          <w:b/>
          <w:lang w:val="en-US"/>
        </w:rPr>
        <w:t>1A</w:t>
      </w:r>
      <w:r>
        <w:rPr>
          <w:lang w:val="en-US"/>
        </w:rPr>
        <w:t xml:space="preserve">. all studies; </w:t>
      </w:r>
      <w:r w:rsidRPr="00FF1A70">
        <w:rPr>
          <w:b/>
          <w:lang w:val="en-US"/>
        </w:rPr>
        <w:t>1B</w:t>
      </w:r>
      <w:r w:rsidRPr="00B13FCA">
        <w:rPr>
          <w:lang w:val="en-US"/>
        </w:rPr>
        <w:t xml:space="preserve">. </w:t>
      </w:r>
      <w:r>
        <w:rPr>
          <w:lang w:val="en-US"/>
        </w:rPr>
        <w:t xml:space="preserve">without patients on peritoneal dialysis (Gilbertson et al.); </w:t>
      </w:r>
      <w:r w:rsidRPr="00FF1A70">
        <w:rPr>
          <w:b/>
          <w:lang w:val="en-US"/>
        </w:rPr>
        <w:t>1C</w:t>
      </w:r>
      <w:r>
        <w:rPr>
          <w:lang w:val="en-US"/>
        </w:rPr>
        <w:t xml:space="preserve">. without patients with newly diagnosed ESRD (Wang et al.); </w:t>
      </w:r>
      <w:r w:rsidRPr="00FF1A70">
        <w:rPr>
          <w:b/>
          <w:lang w:val="en-US"/>
        </w:rPr>
        <w:t>1D</w:t>
      </w:r>
      <w:r>
        <w:rPr>
          <w:lang w:val="en-US"/>
        </w:rPr>
        <w:t>. without patients on peritoneal dialysis or with newly diagnosed ESRD.</w:t>
      </w:r>
    </w:p>
    <w:p w:rsidR="006876A8" w:rsidRDefault="006876A8" w:rsidP="000E4717">
      <w:pPr>
        <w:spacing w:line="480" w:lineRule="auto"/>
        <w:rPr>
          <w:lang w:val="en-US"/>
        </w:rPr>
      </w:pPr>
    </w:p>
    <w:p w:rsidR="000E4717" w:rsidRDefault="000E4717" w:rsidP="000E4717">
      <w:pPr>
        <w:spacing w:line="480" w:lineRule="auto"/>
        <w:rPr>
          <w:lang w:val="en-US"/>
        </w:rPr>
      </w:pPr>
      <w:r>
        <w:rPr>
          <w:b/>
          <w:lang w:val="en-US"/>
        </w:rPr>
        <w:t>1</w:t>
      </w:r>
      <w:r w:rsidRPr="00CD61F0">
        <w:rPr>
          <w:b/>
          <w:lang w:val="en-US"/>
        </w:rPr>
        <w:t>A</w:t>
      </w:r>
      <w:r>
        <w:rPr>
          <w:lang w:val="en-US"/>
        </w:rPr>
        <w:t>.</w:t>
      </w:r>
      <w:r w:rsidRPr="00CD61F0">
        <w:rPr>
          <w:lang w:val="en-US"/>
        </w:rPr>
        <w:t xml:space="preserve"> </w:t>
      </w:r>
      <w:r>
        <w:rPr>
          <w:lang w:val="en-US"/>
        </w:rPr>
        <w:t>A</w:t>
      </w:r>
      <w:r w:rsidRPr="00B13FCA">
        <w:rPr>
          <w:lang w:val="en-US"/>
        </w:rPr>
        <w:t>ll-cause mor</w:t>
      </w:r>
      <w:r>
        <w:rPr>
          <w:lang w:val="en-US"/>
        </w:rPr>
        <w:t>tality during influenza season, all studies.</w:t>
      </w:r>
    </w:p>
    <w:p w:rsidR="006876A8" w:rsidRDefault="00CD61F0" w:rsidP="00CD61F0">
      <w:pPr>
        <w:spacing w:line="480" w:lineRule="auto"/>
        <w:rPr>
          <w:b/>
          <w:lang w:val="en-US"/>
        </w:rPr>
      </w:pPr>
      <w:r w:rsidRPr="00CD61F0">
        <w:rPr>
          <w:noProof/>
          <w:lang w:val="en-US"/>
        </w:rPr>
        <w:drawing>
          <wp:inline distT="0" distB="0" distL="0" distR="0" wp14:anchorId="0E6DDBF3" wp14:editId="279B9F6B">
            <wp:extent cx="5759450" cy="1390571"/>
            <wp:effectExtent l="0" t="0" r="0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9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768" w:rsidRDefault="003D6768" w:rsidP="006876A8">
      <w:pPr>
        <w:spacing w:line="480" w:lineRule="auto"/>
        <w:rPr>
          <w:b/>
          <w:lang w:val="en-US"/>
        </w:rPr>
      </w:pPr>
    </w:p>
    <w:p w:rsidR="006876A8" w:rsidRDefault="000E4717" w:rsidP="006876A8">
      <w:pPr>
        <w:spacing w:line="480" w:lineRule="auto"/>
        <w:rPr>
          <w:lang w:val="en-US"/>
        </w:rPr>
      </w:pPr>
      <w:r>
        <w:rPr>
          <w:b/>
          <w:lang w:val="en-US"/>
        </w:rPr>
        <w:t>1B</w:t>
      </w:r>
      <w:r>
        <w:rPr>
          <w:lang w:val="en-US"/>
        </w:rPr>
        <w:t>.</w:t>
      </w:r>
      <w:r w:rsidRPr="00CD61F0">
        <w:rPr>
          <w:lang w:val="en-US"/>
        </w:rPr>
        <w:t xml:space="preserve"> </w:t>
      </w:r>
      <w:r>
        <w:rPr>
          <w:lang w:val="en-US"/>
        </w:rPr>
        <w:t>A</w:t>
      </w:r>
      <w:r w:rsidRPr="00B13FCA">
        <w:rPr>
          <w:lang w:val="en-US"/>
        </w:rPr>
        <w:t>ll-cause mor</w:t>
      </w:r>
      <w:r>
        <w:rPr>
          <w:lang w:val="en-US"/>
        </w:rPr>
        <w:t>tality during influenza season, without patients on peritoneal dialysis (Gilbertson et al.).</w:t>
      </w:r>
      <w:r w:rsidR="00F5006B" w:rsidRPr="00F5006B">
        <w:rPr>
          <w:noProof/>
          <w:lang w:val="en-US"/>
        </w:rPr>
        <w:drawing>
          <wp:inline distT="0" distB="0" distL="0" distR="0" wp14:anchorId="183F90CF" wp14:editId="59A30CDF">
            <wp:extent cx="5759450" cy="1390571"/>
            <wp:effectExtent l="0" t="0" r="0" b="635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9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6A8" w:rsidRDefault="006876A8" w:rsidP="006876A8">
      <w:pPr>
        <w:spacing w:line="480" w:lineRule="auto"/>
        <w:rPr>
          <w:lang w:val="en-US"/>
        </w:rPr>
      </w:pPr>
    </w:p>
    <w:p w:rsidR="00496143" w:rsidRDefault="000E4717" w:rsidP="006876A8">
      <w:pPr>
        <w:spacing w:line="480" w:lineRule="auto"/>
        <w:rPr>
          <w:lang w:val="en-US"/>
        </w:rPr>
      </w:pPr>
      <w:r>
        <w:rPr>
          <w:b/>
          <w:lang w:val="en-US"/>
        </w:rPr>
        <w:t>1C</w:t>
      </w:r>
      <w:r>
        <w:rPr>
          <w:lang w:val="en-US"/>
        </w:rPr>
        <w:t>.</w:t>
      </w:r>
      <w:r w:rsidRPr="00CD61F0">
        <w:rPr>
          <w:lang w:val="en-US"/>
        </w:rPr>
        <w:t xml:space="preserve"> </w:t>
      </w:r>
      <w:r>
        <w:rPr>
          <w:lang w:val="en-US"/>
        </w:rPr>
        <w:t>A</w:t>
      </w:r>
      <w:r w:rsidRPr="00B13FCA">
        <w:rPr>
          <w:lang w:val="en-US"/>
        </w:rPr>
        <w:t>ll-cause mor</w:t>
      </w:r>
      <w:r>
        <w:rPr>
          <w:lang w:val="en-US"/>
        </w:rPr>
        <w:t>tality during influenza season, without patients with newly diagnosed ESRD (Wang et al.).</w:t>
      </w:r>
      <w:r w:rsidR="00496143" w:rsidRPr="00496143">
        <w:rPr>
          <w:noProof/>
          <w:lang w:val="en-US"/>
        </w:rPr>
        <w:drawing>
          <wp:inline distT="0" distB="0" distL="0" distR="0" wp14:anchorId="5F319F47" wp14:editId="0DB83F96">
            <wp:extent cx="5759450" cy="1390571"/>
            <wp:effectExtent l="0" t="0" r="0" b="635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9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4717" w:rsidRDefault="000E4717" w:rsidP="000E4717">
      <w:pPr>
        <w:spacing w:line="480" w:lineRule="auto"/>
        <w:rPr>
          <w:lang w:val="en-US"/>
        </w:rPr>
      </w:pPr>
      <w:r>
        <w:rPr>
          <w:b/>
          <w:lang w:val="en-US"/>
        </w:rPr>
        <w:t>1D</w:t>
      </w:r>
      <w:r>
        <w:rPr>
          <w:lang w:val="en-US"/>
        </w:rPr>
        <w:t>.</w:t>
      </w:r>
      <w:r w:rsidRPr="00CD61F0">
        <w:rPr>
          <w:lang w:val="en-US"/>
        </w:rPr>
        <w:t xml:space="preserve"> </w:t>
      </w:r>
      <w:r>
        <w:rPr>
          <w:lang w:val="en-US"/>
        </w:rPr>
        <w:t>A</w:t>
      </w:r>
      <w:r w:rsidRPr="00B13FCA">
        <w:rPr>
          <w:lang w:val="en-US"/>
        </w:rPr>
        <w:t>ll-cause mor</w:t>
      </w:r>
      <w:r>
        <w:rPr>
          <w:lang w:val="en-US"/>
        </w:rPr>
        <w:t>tality during influenza season, without patients on peritoneal dialysis or with newly diagnosed ESRD.</w:t>
      </w:r>
    </w:p>
    <w:p w:rsidR="007B4CCE" w:rsidRDefault="007B4CCE" w:rsidP="00496143">
      <w:pPr>
        <w:spacing w:line="480" w:lineRule="auto"/>
        <w:rPr>
          <w:lang w:val="en-US"/>
        </w:rPr>
      </w:pPr>
      <w:r w:rsidRPr="007B4CCE">
        <w:rPr>
          <w:noProof/>
          <w:lang w:val="en-US"/>
        </w:rPr>
        <w:drawing>
          <wp:inline distT="0" distB="0" distL="0" distR="0" wp14:anchorId="706C1A55" wp14:editId="7E3B1B99">
            <wp:extent cx="5759450" cy="1390571"/>
            <wp:effectExtent l="0" t="0" r="0" b="635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9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6F4" w:rsidRDefault="00BB46F4">
      <w:pPr>
        <w:rPr>
          <w:b/>
          <w:lang w:val="en-US"/>
        </w:rPr>
      </w:pPr>
    </w:p>
    <w:p w:rsidR="00BB46F4" w:rsidRDefault="00BB46F4" w:rsidP="00BB46F4">
      <w:pPr>
        <w:spacing w:line="480" w:lineRule="auto"/>
        <w:rPr>
          <w:lang w:val="en-US"/>
        </w:rPr>
      </w:pPr>
      <w:r w:rsidRPr="007B4CCE">
        <w:rPr>
          <w:b/>
          <w:lang w:val="en-US"/>
        </w:rPr>
        <w:t>(2)</w:t>
      </w:r>
      <w:r>
        <w:rPr>
          <w:lang w:val="en-US"/>
        </w:rPr>
        <w:t xml:space="preserve"> Hospitalization due to influenza or pneumonia: </w:t>
      </w:r>
      <w:r w:rsidRPr="007B4CCE">
        <w:rPr>
          <w:b/>
          <w:lang w:val="en-US"/>
        </w:rPr>
        <w:t>2A</w:t>
      </w:r>
      <w:r>
        <w:rPr>
          <w:lang w:val="en-US"/>
        </w:rPr>
        <w:t xml:space="preserve">. all studies; </w:t>
      </w:r>
      <w:r w:rsidRPr="007B4CCE">
        <w:rPr>
          <w:b/>
          <w:lang w:val="en-US"/>
        </w:rPr>
        <w:t>2B</w:t>
      </w:r>
      <w:r w:rsidRPr="00B13FCA">
        <w:rPr>
          <w:lang w:val="en-US"/>
        </w:rPr>
        <w:t xml:space="preserve">. </w:t>
      </w:r>
      <w:r>
        <w:rPr>
          <w:lang w:val="en-US"/>
        </w:rPr>
        <w:t xml:space="preserve">without patients on peritoneal dialysis (Gilbertson et al.); </w:t>
      </w:r>
      <w:r w:rsidRPr="007B4CCE">
        <w:rPr>
          <w:b/>
          <w:lang w:val="en-US"/>
        </w:rPr>
        <w:t>2C</w:t>
      </w:r>
      <w:r>
        <w:rPr>
          <w:lang w:val="en-US"/>
        </w:rPr>
        <w:t xml:space="preserve">. without patients with newly diagnosed ESRD (Wang et al.); </w:t>
      </w:r>
      <w:r w:rsidRPr="007B4CCE">
        <w:rPr>
          <w:b/>
          <w:lang w:val="en-US"/>
        </w:rPr>
        <w:t>2D</w:t>
      </w:r>
      <w:r>
        <w:rPr>
          <w:lang w:val="en-US"/>
        </w:rPr>
        <w:t>. without patients on peritoneal dialysis or with newly diagnosed ESRD.</w:t>
      </w:r>
    </w:p>
    <w:p w:rsidR="006876A8" w:rsidRDefault="006876A8" w:rsidP="00BB46F4">
      <w:pPr>
        <w:spacing w:line="480" w:lineRule="auto"/>
        <w:rPr>
          <w:b/>
          <w:lang w:val="en-US"/>
        </w:rPr>
      </w:pPr>
    </w:p>
    <w:p w:rsidR="00BB46F4" w:rsidRDefault="00BB46F4" w:rsidP="00BB46F4">
      <w:pPr>
        <w:spacing w:line="480" w:lineRule="auto"/>
        <w:rPr>
          <w:lang w:val="en-US"/>
        </w:rPr>
      </w:pPr>
      <w:r w:rsidRPr="005332AA">
        <w:rPr>
          <w:b/>
          <w:lang w:val="en-US"/>
        </w:rPr>
        <w:t>2A</w:t>
      </w:r>
      <w:r w:rsidRPr="005332AA">
        <w:rPr>
          <w:lang w:val="en-US"/>
        </w:rPr>
        <w:t xml:space="preserve">. </w:t>
      </w:r>
      <w:r>
        <w:rPr>
          <w:lang w:val="en-US"/>
        </w:rPr>
        <w:t>Hospitalization due to influenza or pneumonia</w:t>
      </w:r>
      <w:r w:rsidRPr="005332AA">
        <w:rPr>
          <w:lang w:val="en-US"/>
        </w:rPr>
        <w:t xml:space="preserve"> during influenza season, all studies.</w:t>
      </w:r>
    </w:p>
    <w:p w:rsidR="005B5963" w:rsidRDefault="005332AA" w:rsidP="007B4CCE">
      <w:pPr>
        <w:spacing w:line="480" w:lineRule="auto"/>
        <w:rPr>
          <w:lang w:val="en-US"/>
        </w:rPr>
      </w:pPr>
      <w:r w:rsidRPr="005332AA">
        <w:rPr>
          <w:noProof/>
          <w:lang w:val="en-US"/>
        </w:rPr>
        <w:drawing>
          <wp:inline distT="0" distB="0" distL="0" distR="0" wp14:anchorId="3C9EAC00" wp14:editId="2E3959BD">
            <wp:extent cx="5759450" cy="1390571"/>
            <wp:effectExtent l="0" t="0" r="0" b="635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9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6F4" w:rsidRDefault="00BB46F4" w:rsidP="00BB46F4">
      <w:pPr>
        <w:spacing w:line="480" w:lineRule="auto"/>
        <w:rPr>
          <w:lang w:val="en-US"/>
        </w:rPr>
      </w:pPr>
      <w:r w:rsidRPr="005332AA">
        <w:rPr>
          <w:b/>
          <w:lang w:val="en-US"/>
        </w:rPr>
        <w:t>2</w:t>
      </w:r>
      <w:r>
        <w:rPr>
          <w:b/>
          <w:lang w:val="en-US"/>
        </w:rPr>
        <w:t>B</w:t>
      </w:r>
      <w:r w:rsidRPr="005332AA">
        <w:rPr>
          <w:lang w:val="en-US"/>
        </w:rPr>
        <w:t xml:space="preserve">. </w:t>
      </w:r>
      <w:r>
        <w:rPr>
          <w:lang w:val="en-US"/>
        </w:rPr>
        <w:t>Hospitalization du</w:t>
      </w:r>
      <w:bookmarkStart w:id="0" w:name="_GoBack"/>
      <w:bookmarkEnd w:id="0"/>
      <w:r>
        <w:rPr>
          <w:lang w:val="en-US"/>
        </w:rPr>
        <w:t>e to influenza or pneumonia</w:t>
      </w:r>
      <w:r w:rsidRPr="005332AA">
        <w:rPr>
          <w:lang w:val="en-US"/>
        </w:rPr>
        <w:t xml:space="preserve"> during influenza season, </w:t>
      </w:r>
      <w:r>
        <w:rPr>
          <w:lang w:val="en-US"/>
        </w:rPr>
        <w:t>without patients on peritoneal dialysis (Gilbertson et al.).</w:t>
      </w:r>
    </w:p>
    <w:p w:rsidR="007B4CCE" w:rsidRDefault="001054F9" w:rsidP="00496143">
      <w:pPr>
        <w:spacing w:line="480" w:lineRule="auto"/>
        <w:rPr>
          <w:lang w:val="en-US"/>
        </w:rPr>
      </w:pPr>
      <w:r w:rsidRPr="001054F9">
        <w:rPr>
          <w:noProof/>
          <w:lang w:val="en-US"/>
        </w:rPr>
        <w:drawing>
          <wp:inline distT="0" distB="0" distL="0" distR="0" wp14:anchorId="6934640D" wp14:editId="19EF3000">
            <wp:extent cx="5759450" cy="1390571"/>
            <wp:effectExtent l="0" t="0" r="0" b="635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9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46F4" w:rsidRDefault="00BB46F4" w:rsidP="00BB46F4">
      <w:pPr>
        <w:spacing w:line="480" w:lineRule="auto"/>
        <w:rPr>
          <w:lang w:val="en-US"/>
        </w:rPr>
      </w:pPr>
      <w:r w:rsidRPr="005332AA">
        <w:rPr>
          <w:b/>
          <w:lang w:val="en-US"/>
        </w:rPr>
        <w:t>2</w:t>
      </w:r>
      <w:r>
        <w:rPr>
          <w:b/>
          <w:lang w:val="en-US"/>
        </w:rPr>
        <w:t>C</w:t>
      </w:r>
      <w:r w:rsidRPr="005332AA">
        <w:rPr>
          <w:lang w:val="en-US"/>
        </w:rPr>
        <w:t xml:space="preserve">. </w:t>
      </w:r>
      <w:r>
        <w:rPr>
          <w:lang w:val="en-US"/>
        </w:rPr>
        <w:t>Hospitalization due to influenza or pneumonia</w:t>
      </w:r>
      <w:r w:rsidRPr="005332AA">
        <w:rPr>
          <w:lang w:val="en-US"/>
        </w:rPr>
        <w:t xml:space="preserve"> during influenza season, </w:t>
      </w:r>
      <w:r>
        <w:rPr>
          <w:lang w:val="en-US"/>
        </w:rPr>
        <w:t>without patients with newly diagnosed ESRD (Wang et al.).</w:t>
      </w:r>
    </w:p>
    <w:p w:rsidR="001054F9" w:rsidRDefault="001054F9" w:rsidP="00496143">
      <w:pPr>
        <w:spacing w:line="480" w:lineRule="auto"/>
        <w:rPr>
          <w:lang w:val="en-US"/>
        </w:rPr>
      </w:pPr>
      <w:r w:rsidRPr="001054F9">
        <w:rPr>
          <w:noProof/>
          <w:lang w:val="en-US"/>
        </w:rPr>
        <w:drawing>
          <wp:inline distT="0" distB="0" distL="0" distR="0" wp14:anchorId="08112B59" wp14:editId="15B8A36A">
            <wp:extent cx="5759450" cy="1390571"/>
            <wp:effectExtent l="0" t="0" r="0" b="635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9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5680" w:rsidRDefault="002D5680" w:rsidP="002D5680">
      <w:pPr>
        <w:spacing w:line="480" w:lineRule="auto"/>
        <w:rPr>
          <w:lang w:val="en-US"/>
        </w:rPr>
      </w:pPr>
      <w:r w:rsidRPr="005332AA">
        <w:rPr>
          <w:b/>
          <w:lang w:val="en-US"/>
        </w:rPr>
        <w:t>2</w:t>
      </w:r>
      <w:r>
        <w:rPr>
          <w:b/>
          <w:lang w:val="en-US"/>
        </w:rPr>
        <w:t>D</w:t>
      </w:r>
      <w:r w:rsidRPr="005332AA">
        <w:rPr>
          <w:lang w:val="en-US"/>
        </w:rPr>
        <w:t xml:space="preserve">. </w:t>
      </w:r>
      <w:r>
        <w:rPr>
          <w:lang w:val="en-US"/>
        </w:rPr>
        <w:t>Hospitalization due to influenza or pneumonia</w:t>
      </w:r>
      <w:r w:rsidRPr="005332AA">
        <w:rPr>
          <w:lang w:val="en-US"/>
        </w:rPr>
        <w:t xml:space="preserve"> during influenza season, </w:t>
      </w:r>
      <w:r>
        <w:rPr>
          <w:lang w:val="en-US"/>
        </w:rPr>
        <w:t>without patients on peritoneal dialysis or with newly diagnosed ESRD.</w:t>
      </w:r>
    </w:p>
    <w:p w:rsidR="00A37BFF" w:rsidRDefault="00A37BFF" w:rsidP="00496143">
      <w:pPr>
        <w:spacing w:line="480" w:lineRule="auto"/>
        <w:rPr>
          <w:lang w:val="en-US"/>
        </w:rPr>
      </w:pPr>
      <w:r w:rsidRPr="00A37BFF">
        <w:rPr>
          <w:noProof/>
          <w:lang w:val="en-US"/>
        </w:rPr>
        <w:drawing>
          <wp:inline distT="0" distB="0" distL="0" distR="0" wp14:anchorId="6761E82E" wp14:editId="32152246">
            <wp:extent cx="5759450" cy="1390571"/>
            <wp:effectExtent l="0" t="0" r="0" b="63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390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7BFF" w:rsidRDefault="00A37BFF" w:rsidP="00496143">
      <w:pPr>
        <w:spacing w:line="480" w:lineRule="auto"/>
        <w:rPr>
          <w:lang w:val="en-US"/>
        </w:rPr>
      </w:pPr>
    </w:p>
    <w:p w:rsidR="00B13FCA" w:rsidRPr="00FF23FD" w:rsidRDefault="00B13FCA" w:rsidP="000C02A3">
      <w:pPr>
        <w:spacing w:line="480" w:lineRule="auto"/>
        <w:rPr>
          <w:b/>
          <w:lang w:val="en-US"/>
        </w:rPr>
      </w:pPr>
    </w:p>
    <w:p w:rsidR="002C515B" w:rsidRPr="006876A8" w:rsidRDefault="002C515B" w:rsidP="006876A8">
      <w:pPr>
        <w:rPr>
          <w:lang w:val="en-US"/>
        </w:rPr>
      </w:pPr>
    </w:p>
    <w:sectPr w:rsidR="002C515B" w:rsidRPr="006876A8" w:rsidSect="00B42AC2">
      <w:footerReference w:type="default" r:id="rId15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1E2" w:rsidRDefault="00AE21E2" w:rsidP="00EF4ECA">
      <w:pPr>
        <w:spacing w:after="0" w:line="240" w:lineRule="auto"/>
      </w:pPr>
      <w:r>
        <w:separator/>
      </w:r>
    </w:p>
  </w:endnote>
  <w:endnote w:type="continuationSeparator" w:id="0">
    <w:p w:rsidR="00AE21E2" w:rsidRDefault="00AE21E2" w:rsidP="00EF4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9150004"/>
      <w:docPartObj>
        <w:docPartGallery w:val="Page Numbers (Bottom of Page)"/>
        <w:docPartUnique/>
      </w:docPartObj>
    </w:sdtPr>
    <w:sdtEndPr/>
    <w:sdtContent>
      <w:p w:rsidR="00EF4ECA" w:rsidRDefault="00EF4EC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681A">
          <w:rPr>
            <w:noProof/>
          </w:rPr>
          <w:t>3</w:t>
        </w:r>
        <w:r>
          <w:fldChar w:fldCharType="end"/>
        </w:r>
      </w:p>
    </w:sdtContent>
  </w:sdt>
  <w:p w:rsidR="00EF4ECA" w:rsidRDefault="00EF4E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1E2" w:rsidRDefault="00AE21E2" w:rsidP="00EF4ECA">
      <w:pPr>
        <w:spacing w:after="0" w:line="240" w:lineRule="auto"/>
      </w:pPr>
      <w:r>
        <w:separator/>
      </w:r>
    </w:p>
  </w:footnote>
  <w:footnote w:type="continuationSeparator" w:id="0">
    <w:p w:rsidR="00AE21E2" w:rsidRDefault="00AE21E2" w:rsidP="00EF4E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BioMed Centr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tre5x2esn250euexd0mvvwxytxsdapdrpxrz&quot;&gt;Niere_Influenza&lt;record-ids&gt;&lt;item&gt;8&lt;/item&gt;&lt;item&gt;19&lt;/item&gt;&lt;item&gt;22&lt;/item&gt;&lt;item&gt;26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42&lt;/item&gt;&lt;/record-ids&gt;&lt;/item&gt;&lt;/Libraries&gt;"/>
  </w:docVars>
  <w:rsids>
    <w:rsidRoot w:val="00926352"/>
    <w:rsid w:val="00007EFF"/>
    <w:rsid w:val="0001437D"/>
    <w:rsid w:val="0001681A"/>
    <w:rsid w:val="00024D13"/>
    <w:rsid w:val="000512C2"/>
    <w:rsid w:val="000718B1"/>
    <w:rsid w:val="00084552"/>
    <w:rsid w:val="00090EF2"/>
    <w:rsid w:val="00096CB8"/>
    <w:rsid w:val="000974E8"/>
    <w:rsid w:val="000A52E4"/>
    <w:rsid w:val="000C02A3"/>
    <w:rsid w:val="000E4717"/>
    <w:rsid w:val="001054F9"/>
    <w:rsid w:val="001433A8"/>
    <w:rsid w:val="00153257"/>
    <w:rsid w:val="001B3C0D"/>
    <w:rsid w:val="001E0431"/>
    <w:rsid w:val="001F1A41"/>
    <w:rsid w:val="00211D1C"/>
    <w:rsid w:val="00213EA3"/>
    <w:rsid w:val="00247A34"/>
    <w:rsid w:val="002C515B"/>
    <w:rsid w:val="002D5680"/>
    <w:rsid w:val="002D7E82"/>
    <w:rsid w:val="002F46C1"/>
    <w:rsid w:val="003039EF"/>
    <w:rsid w:val="00353085"/>
    <w:rsid w:val="00363050"/>
    <w:rsid w:val="0036367E"/>
    <w:rsid w:val="0036433E"/>
    <w:rsid w:val="0037228A"/>
    <w:rsid w:val="00395BF8"/>
    <w:rsid w:val="003A506C"/>
    <w:rsid w:val="003C3695"/>
    <w:rsid w:val="003D0665"/>
    <w:rsid w:val="003D1E79"/>
    <w:rsid w:val="003D6768"/>
    <w:rsid w:val="003F7242"/>
    <w:rsid w:val="004074D6"/>
    <w:rsid w:val="00426C55"/>
    <w:rsid w:val="00442509"/>
    <w:rsid w:val="004509D1"/>
    <w:rsid w:val="0047558A"/>
    <w:rsid w:val="00487493"/>
    <w:rsid w:val="004901FC"/>
    <w:rsid w:val="00496143"/>
    <w:rsid w:val="004A0508"/>
    <w:rsid w:val="004C49A6"/>
    <w:rsid w:val="00517C8A"/>
    <w:rsid w:val="00521486"/>
    <w:rsid w:val="00523CE7"/>
    <w:rsid w:val="005332AA"/>
    <w:rsid w:val="005B0311"/>
    <w:rsid w:val="005B5963"/>
    <w:rsid w:val="00673CE7"/>
    <w:rsid w:val="006876A8"/>
    <w:rsid w:val="00692825"/>
    <w:rsid w:val="006A02EA"/>
    <w:rsid w:val="006B02CE"/>
    <w:rsid w:val="006B11EF"/>
    <w:rsid w:val="006B33AD"/>
    <w:rsid w:val="006E178D"/>
    <w:rsid w:val="006E179F"/>
    <w:rsid w:val="006E72F9"/>
    <w:rsid w:val="00727A0E"/>
    <w:rsid w:val="007A34E2"/>
    <w:rsid w:val="007B4CCE"/>
    <w:rsid w:val="007B5F41"/>
    <w:rsid w:val="007C1F6B"/>
    <w:rsid w:val="007C7BFC"/>
    <w:rsid w:val="007D5CA1"/>
    <w:rsid w:val="007E6844"/>
    <w:rsid w:val="008037CD"/>
    <w:rsid w:val="008344F1"/>
    <w:rsid w:val="0084332D"/>
    <w:rsid w:val="00865CC7"/>
    <w:rsid w:val="00895120"/>
    <w:rsid w:val="008A7BEA"/>
    <w:rsid w:val="008B0423"/>
    <w:rsid w:val="008D439C"/>
    <w:rsid w:val="008E0D07"/>
    <w:rsid w:val="008F295B"/>
    <w:rsid w:val="00911669"/>
    <w:rsid w:val="00911B75"/>
    <w:rsid w:val="00922764"/>
    <w:rsid w:val="009235C9"/>
    <w:rsid w:val="00925A28"/>
    <w:rsid w:val="00926352"/>
    <w:rsid w:val="009340A9"/>
    <w:rsid w:val="009958A3"/>
    <w:rsid w:val="009C1314"/>
    <w:rsid w:val="009D2DF7"/>
    <w:rsid w:val="009D68A1"/>
    <w:rsid w:val="009F7091"/>
    <w:rsid w:val="009F7268"/>
    <w:rsid w:val="00A152C3"/>
    <w:rsid w:val="00A339BA"/>
    <w:rsid w:val="00A3714B"/>
    <w:rsid w:val="00A37BFF"/>
    <w:rsid w:val="00A93D92"/>
    <w:rsid w:val="00A971E1"/>
    <w:rsid w:val="00AC7D2B"/>
    <w:rsid w:val="00AD1CC2"/>
    <w:rsid w:val="00AD590D"/>
    <w:rsid w:val="00AE21E2"/>
    <w:rsid w:val="00B13FCA"/>
    <w:rsid w:val="00B3216B"/>
    <w:rsid w:val="00B42AC2"/>
    <w:rsid w:val="00B62872"/>
    <w:rsid w:val="00B76C16"/>
    <w:rsid w:val="00BB46F4"/>
    <w:rsid w:val="00BE16D2"/>
    <w:rsid w:val="00C20C93"/>
    <w:rsid w:val="00C33A83"/>
    <w:rsid w:val="00C379CF"/>
    <w:rsid w:val="00C549BB"/>
    <w:rsid w:val="00C7021E"/>
    <w:rsid w:val="00C92E96"/>
    <w:rsid w:val="00C94808"/>
    <w:rsid w:val="00CC6555"/>
    <w:rsid w:val="00CD61F0"/>
    <w:rsid w:val="00D1168E"/>
    <w:rsid w:val="00D37ED0"/>
    <w:rsid w:val="00D85C6A"/>
    <w:rsid w:val="00D94F88"/>
    <w:rsid w:val="00D9601B"/>
    <w:rsid w:val="00DE1AC7"/>
    <w:rsid w:val="00E273BE"/>
    <w:rsid w:val="00E60964"/>
    <w:rsid w:val="00E70166"/>
    <w:rsid w:val="00E70247"/>
    <w:rsid w:val="00E71402"/>
    <w:rsid w:val="00E7513D"/>
    <w:rsid w:val="00EA3AA4"/>
    <w:rsid w:val="00EE1C4E"/>
    <w:rsid w:val="00EF39F0"/>
    <w:rsid w:val="00EF4ECA"/>
    <w:rsid w:val="00F15EDB"/>
    <w:rsid w:val="00F27DBE"/>
    <w:rsid w:val="00F5006B"/>
    <w:rsid w:val="00F53EE3"/>
    <w:rsid w:val="00F96C1A"/>
    <w:rsid w:val="00FA0BE8"/>
    <w:rsid w:val="00FC2210"/>
    <w:rsid w:val="00FF1A70"/>
    <w:rsid w:val="00FF2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Zchn"/>
    <w:rsid w:val="003039E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3039E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3039EF"/>
    <w:pPr>
      <w:spacing w:line="36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3039EF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3039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9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85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901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1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1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1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1F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4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ECA"/>
  </w:style>
  <w:style w:type="paragraph" w:styleId="Footer">
    <w:name w:val="footer"/>
    <w:basedOn w:val="Normal"/>
    <w:link w:val="FooterChar"/>
    <w:uiPriority w:val="99"/>
    <w:unhideWhenUsed/>
    <w:rsid w:val="00EF4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E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Zchn"/>
    <w:rsid w:val="003039E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DefaultParagraphFont"/>
    <w:link w:val="EndNoteBibliographyTitle"/>
    <w:rsid w:val="003039E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Zchn"/>
    <w:rsid w:val="003039EF"/>
    <w:pPr>
      <w:spacing w:line="36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3039EF"/>
    <w:rPr>
      <w:rFonts w:ascii="Calibri" w:hAnsi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3039E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2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295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85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901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901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901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01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01F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F4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4ECA"/>
  </w:style>
  <w:style w:type="paragraph" w:styleId="Footer">
    <w:name w:val="footer"/>
    <w:basedOn w:val="Normal"/>
    <w:link w:val="FooterChar"/>
    <w:uiPriority w:val="99"/>
    <w:unhideWhenUsed/>
    <w:rsid w:val="00EF4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4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Robert Koch-Institut</Company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Remschmidt, Cornelius</dc:creator>
  <cp:lastModifiedBy>Real, Francis Frank</cp:lastModifiedBy>
  <cp:revision>3</cp:revision>
  <cp:lastPrinted>2014-10-28T10:36:00Z</cp:lastPrinted>
  <dcterms:created xsi:type="dcterms:W3CDTF">2014-12-19T16:26:00Z</dcterms:created>
  <dcterms:modified xsi:type="dcterms:W3CDTF">2014-12-23T15:30:00Z</dcterms:modified>
</cp:coreProperties>
</file>