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7E" w:rsidRPr="0021705E" w:rsidRDefault="005365F9" w:rsidP="005F7E7E">
      <w:pPr>
        <w:jc w:val="both"/>
        <w:rPr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r w:rsidRPr="00AB7E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F7E7E">
        <w:rPr>
          <w:b/>
          <w:sz w:val="24"/>
          <w:lang w:val="en-US"/>
        </w:rPr>
        <w:t>12</w:t>
      </w:r>
      <w:r w:rsidR="005F7E7E" w:rsidRPr="0021705E">
        <w:rPr>
          <w:b/>
          <w:sz w:val="24"/>
          <w:lang w:val="en-US"/>
        </w:rPr>
        <w:t xml:space="preserve">: Odds ratios (with 95% CI) for components of the burden of treatment elicited by patients in terms of </w:t>
      </w:r>
      <w:r w:rsidR="005F7E7E">
        <w:rPr>
          <w:b/>
          <w:sz w:val="24"/>
          <w:lang w:val="en-US"/>
        </w:rPr>
        <w:t>age</w:t>
      </w:r>
      <w:r w:rsidR="005F7E7E" w:rsidRPr="0021705E">
        <w:rPr>
          <w:b/>
          <w:sz w:val="24"/>
          <w:lang w:val="en-US"/>
        </w:rPr>
        <w:t xml:space="preserve"> (adjusted for </w:t>
      </w:r>
      <w:r w:rsidR="005F7E7E">
        <w:rPr>
          <w:b/>
          <w:sz w:val="24"/>
          <w:lang w:val="en-US"/>
        </w:rPr>
        <w:t>presence of multimorbidity</w:t>
      </w:r>
      <w:r w:rsidR="005F7E7E" w:rsidRPr="0021705E">
        <w:rPr>
          <w:b/>
          <w:sz w:val="24"/>
          <w:lang w:val="en-US"/>
        </w:rPr>
        <w:t>, gender, educational level).</w:t>
      </w:r>
      <w:r w:rsidR="005F7E7E" w:rsidRPr="0021705E">
        <w:rPr>
          <w:sz w:val="24"/>
          <w:lang w:val="en-US"/>
        </w:rPr>
        <w:t xml:space="preserve"> Higher O</w:t>
      </w:r>
      <w:r w:rsidR="005F7E7E">
        <w:rPr>
          <w:sz w:val="24"/>
          <w:lang w:val="en-US"/>
        </w:rPr>
        <w:t>R indicates that patients &gt;50 years old</w:t>
      </w:r>
      <w:r w:rsidR="005F7E7E" w:rsidRPr="0021705E">
        <w:rPr>
          <w:sz w:val="24"/>
          <w:lang w:val="en-US"/>
        </w:rPr>
        <w:t xml:space="preserve"> elicited the burden more often than those </w:t>
      </w:r>
      <w:r w:rsidR="005F7E7E">
        <w:rPr>
          <w:sz w:val="24"/>
          <w:lang w:val="en-US"/>
        </w:rPr>
        <w:t>&lt; 50 years old</w:t>
      </w:r>
      <w:r w:rsidR="005F7E7E" w:rsidRPr="0021705E">
        <w:rPr>
          <w:sz w:val="24"/>
          <w:lang w:val="en-US"/>
        </w:rPr>
        <w:t>.</w:t>
      </w:r>
    </w:p>
    <w:p w:rsidR="005F7E7E" w:rsidRPr="00E96110" w:rsidRDefault="005F7E7E">
      <w:pPr>
        <w:rPr>
          <w:lang w:val="en-US"/>
        </w:rPr>
      </w:pPr>
    </w:p>
    <w:p w:rsidR="00A628C3" w:rsidRDefault="00C473AA">
      <w:r>
        <w:rPr>
          <w:noProof/>
          <w:lang w:val="en-US" w:eastAsia="en-US"/>
        </w:rPr>
        <w:drawing>
          <wp:inline distT="0" distB="0" distL="0" distR="0">
            <wp:extent cx="6645910" cy="4984433"/>
            <wp:effectExtent l="19050" t="0" r="2540" b="0"/>
            <wp:docPr id="1" name="Image 1" descr="C:\Users\stagiaire\Desktop\Brouillon\FPageburd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giaire\Desktop\Brouillon\FPageburde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28C3" w:rsidSect="00E961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E96110"/>
    <w:rsid w:val="003E3D06"/>
    <w:rsid w:val="004160AE"/>
    <w:rsid w:val="005365F9"/>
    <w:rsid w:val="005F7E7E"/>
    <w:rsid w:val="00623693"/>
    <w:rsid w:val="00A628C3"/>
    <w:rsid w:val="00C473AA"/>
    <w:rsid w:val="00E96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>Microsoft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stagiaire</dc:creator>
  <cp:lastModifiedBy>wdesales</cp:lastModifiedBy>
  <cp:revision>4</cp:revision>
  <cp:lastPrinted>2015-03-06T10:57:00Z</cp:lastPrinted>
  <dcterms:created xsi:type="dcterms:W3CDTF">2015-03-06T11:01:00Z</dcterms:created>
  <dcterms:modified xsi:type="dcterms:W3CDTF">2015-05-04T01:48:00Z</dcterms:modified>
</cp:coreProperties>
</file>