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B4E" w:rsidRPr="006C4CEC" w:rsidRDefault="006F7B4E" w:rsidP="006C4CEC">
      <w:pPr>
        <w:jc w:val="center"/>
        <w:rPr>
          <w:b/>
          <w:sz w:val="28"/>
        </w:rPr>
      </w:pPr>
      <w:r w:rsidRPr="006C4CEC">
        <w:rPr>
          <w:b/>
          <w:sz w:val="28"/>
        </w:rPr>
        <w:t>Supplementary material</w:t>
      </w:r>
    </w:p>
    <w:p w:rsidR="006F7B4E" w:rsidRPr="006C4CEC" w:rsidRDefault="006F7B4E" w:rsidP="006C4CEC">
      <w:pPr>
        <w:jc w:val="center"/>
        <w:rPr>
          <w:sz w:val="28"/>
        </w:rPr>
      </w:pPr>
      <w:r w:rsidRPr="006C4CEC">
        <w:rPr>
          <w:sz w:val="28"/>
        </w:rPr>
        <w:t>The role of a hepatitis C virus vaccine: modelling the benefits alongside Direct-Acting Antiviral treatments</w:t>
      </w:r>
    </w:p>
    <w:p w:rsidR="006F7B4E" w:rsidRDefault="006F7B4E" w:rsidP="00C121A5"/>
    <w:p w:rsidR="006F7B4E" w:rsidRDefault="006F7B4E" w:rsidP="00C121A5">
      <w:pPr>
        <w:spacing w:line="480" w:lineRule="auto"/>
        <w:jc w:val="center"/>
        <w:rPr>
          <w:b/>
        </w:rPr>
      </w:pPr>
      <w:r>
        <w:t>Nick Scott, Emma McBryde, Peter Vickerman, Natasha K Martin, Jack Stone, Heidi Drummer, Margaret Hellard.</w:t>
      </w:r>
    </w:p>
    <w:p w:rsidR="006F7B4E" w:rsidRDefault="006F7B4E">
      <w:pPr>
        <w:rPr>
          <w:b/>
        </w:rPr>
      </w:pPr>
      <w:r>
        <w:rPr>
          <w:b/>
        </w:rPr>
        <w:br w:type="page"/>
      </w:r>
    </w:p>
    <w:p w:rsidR="006F7B4E" w:rsidRPr="00C121A5" w:rsidRDefault="006F7B4E" w:rsidP="00EB1F5B">
      <w:pPr>
        <w:spacing w:line="360" w:lineRule="auto"/>
        <w:rPr>
          <w:b/>
        </w:rPr>
      </w:pPr>
      <w:r w:rsidRPr="00C121A5">
        <w:rPr>
          <w:b/>
        </w:rPr>
        <w:lastRenderedPageBreak/>
        <w:t>Additional charts</w:t>
      </w:r>
    </w:p>
    <w:p w:rsidR="006F7B4E" w:rsidRDefault="006F7B4E" w:rsidP="00EB1F5B">
      <w:pPr>
        <w:pStyle w:val="Caption"/>
        <w:spacing w:line="360" w:lineRule="auto"/>
        <w:rPr>
          <w:b w:val="0"/>
          <w:bCs w:val="0"/>
          <w:color w:val="auto"/>
          <w:sz w:val="22"/>
          <w:szCs w:val="22"/>
        </w:rPr>
      </w:pPr>
      <w:r>
        <w:rPr>
          <w:b w:val="0"/>
          <w:bCs w:val="0"/>
          <w:color w:val="auto"/>
          <w:sz w:val="22"/>
          <w:szCs w:val="22"/>
        </w:rPr>
        <w:t>Vaccinating after treatment was as effective at reducing prevalence as vaccinating an equivalent number of PWID in the community, and this remained true for other treatment numbers considered (Fig. S1).</w:t>
      </w:r>
    </w:p>
    <w:p w:rsidR="006F7B4E" w:rsidRDefault="006F7B4E" w:rsidP="00EB1F5B">
      <w:pPr>
        <w:spacing w:line="360" w:lineRule="auto"/>
      </w:pPr>
      <w:r>
        <w:rPr>
          <w:noProof/>
          <w:lang w:eastAsia="en-AU"/>
        </w:rPr>
        <w:drawing>
          <wp:inline distT="0" distB="0" distL="0" distR="0" wp14:anchorId="7B0D651A" wp14:editId="4BEC7EAC">
            <wp:extent cx="5731510" cy="58108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810885"/>
                    </a:xfrm>
                    <a:prstGeom prst="rect">
                      <a:avLst/>
                    </a:prstGeom>
                  </pic:spPr>
                </pic:pic>
              </a:graphicData>
            </a:graphic>
          </wp:inline>
        </w:drawing>
      </w:r>
    </w:p>
    <w:p w:rsidR="006F7B4E" w:rsidRPr="00C121A5" w:rsidRDefault="006F7B4E" w:rsidP="00EB1F5B">
      <w:pPr>
        <w:pStyle w:val="Caption"/>
        <w:pBdr>
          <w:top w:val="single" w:sz="4" w:space="1" w:color="auto"/>
          <w:bottom w:val="single" w:sz="4" w:space="1" w:color="auto"/>
        </w:pBdr>
        <w:spacing w:line="360" w:lineRule="auto"/>
        <w:jc w:val="center"/>
        <w:rPr>
          <w:b w:val="0"/>
          <w:color w:val="auto"/>
          <w:sz w:val="22"/>
        </w:rPr>
      </w:pPr>
      <w:proofErr w:type="gramStart"/>
      <w:r w:rsidRPr="00C121A5">
        <w:rPr>
          <w:color w:val="auto"/>
          <w:sz w:val="22"/>
        </w:rPr>
        <w:t>Fig.</w:t>
      </w:r>
      <w:proofErr w:type="gramEnd"/>
      <w:r w:rsidRPr="00C121A5">
        <w:rPr>
          <w:color w:val="auto"/>
          <w:sz w:val="22"/>
        </w:rPr>
        <w:t xml:space="preserve"> S1</w:t>
      </w:r>
      <w:r>
        <w:rPr>
          <w:color w:val="auto"/>
          <w:sz w:val="22"/>
        </w:rPr>
        <w:t>. Vaccination strategy by treatment number</w:t>
      </w:r>
      <w:r w:rsidRPr="00C121A5">
        <w:rPr>
          <w:b w:val="0"/>
          <w:color w:val="auto"/>
          <w:sz w:val="22"/>
        </w:rPr>
        <w:t>: Relative prevalence reduction with several vaccination strategies, for vaccine efficacies 90% (top), 60% (middle) and 30% (bottom).</w:t>
      </w:r>
    </w:p>
    <w:p w:rsidR="006F7B4E" w:rsidRDefault="006F7B4E" w:rsidP="00EB1F5B">
      <w:pPr>
        <w:spacing w:line="360" w:lineRule="auto"/>
        <w:rPr>
          <w:b/>
        </w:rPr>
      </w:pPr>
    </w:p>
    <w:p w:rsidR="006F7B4E" w:rsidRDefault="006F7B4E" w:rsidP="00EB1F5B">
      <w:pPr>
        <w:spacing w:line="360" w:lineRule="auto"/>
      </w:pPr>
      <w:r>
        <w:t xml:space="preserve">Vaccinations would be most effective at alleviating required treatment numbers when longer term targets are used (Fig. S2, left panel), and would be slightly more effective at alleviating required </w:t>
      </w:r>
      <w:r>
        <w:lastRenderedPageBreak/>
        <w:t xml:space="preserve">treatment numbers when lower prevalence reduction targets are set (Fig. </w:t>
      </w:r>
      <w:proofErr w:type="gramStart"/>
      <w:r>
        <w:t>S2, right panel).</w:t>
      </w:r>
      <w:proofErr w:type="gramEnd"/>
      <w:r>
        <w:t xml:space="preserve"> In a setting with 50% initial prevalence, treatment numbers above approximately 45/1000 per year were sufficient to treat all chronically infected PWID within 15 years, and so increasing treatment numbers further cannot reduce prevalence (Fig. </w:t>
      </w:r>
      <w:proofErr w:type="gramStart"/>
      <w:r>
        <w:t>S2, right panel).</w:t>
      </w:r>
      <w:proofErr w:type="gramEnd"/>
      <w:r>
        <w:t xml:space="preserve"> </w:t>
      </w:r>
    </w:p>
    <w:p w:rsidR="00EB1F5B" w:rsidRDefault="00EB1F5B" w:rsidP="00EB1F5B">
      <w:pPr>
        <w:spacing w:line="360" w:lineRule="auto"/>
      </w:pPr>
    </w:p>
    <w:p w:rsidR="006F7B4E" w:rsidRDefault="006F7B4E" w:rsidP="00EB1F5B">
      <w:pPr>
        <w:spacing w:line="360" w:lineRule="auto"/>
      </w:pPr>
      <w:r>
        <w:rPr>
          <w:noProof/>
          <w:lang w:eastAsia="en-AU"/>
        </w:rPr>
        <w:drawing>
          <wp:inline distT="0" distB="0" distL="0" distR="0" wp14:anchorId="4AC4596F" wp14:editId="69A7E611">
            <wp:extent cx="5731510" cy="298005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980055"/>
                    </a:xfrm>
                    <a:prstGeom prst="rect">
                      <a:avLst/>
                    </a:prstGeom>
                  </pic:spPr>
                </pic:pic>
              </a:graphicData>
            </a:graphic>
          </wp:inline>
        </w:drawing>
      </w:r>
    </w:p>
    <w:p w:rsidR="006F7B4E" w:rsidRPr="00C121A5" w:rsidRDefault="006F7B4E" w:rsidP="00EB1F5B">
      <w:pPr>
        <w:pStyle w:val="Caption"/>
        <w:pBdr>
          <w:top w:val="single" w:sz="4" w:space="1" w:color="auto"/>
          <w:bottom w:val="single" w:sz="4" w:space="1" w:color="auto"/>
        </w:pBdr>
        <w:spacing w:line="360" w:lineRule="auto"/>
        <w:jc w:val="center"/>
      </w:pPr>
      <w:proofErr w:type="gramStart"/>
      <w:r w:rsidRPr="00C121A5">
        <w:rPr>
          <w:color w:val="auto"/>
          <w:sz w:val="22"/>
        </w:rPr>
        <w:t>Fig.</w:t>
      </w:r>
      <w:proofErr w:type="gramEnd"/>
      <w:r w:rsidRPr="00C121A5">
        <w:rPr>
          <w:color w:val="auto"/>
          <w:sz w:val="22"/>
        </w:rPr>
        <w:t xml:space="preserve"> S2</w:t>
      </w:r>
      <w:r>
        <w:rPr>
          <w:color w:val="auto"/>
          <w:sz w:val="22"/>
        </w:rPr>
        <w:t>. Sensitivity of prevalence reduction target and time to measurement</w:t>
      </w:r>
      <w:r w:rsidRPr="00C121A5">
        <w:rPr>
          <w:b w:val="0"/>
          <w:color w:val="auto"/>
          <w:sz w:val="22"/>
        </w:rPr>
        <w:t>: How the relationship between treatment and vaccine numbers required to maintain prevalence reduction targets depends on how long before a target prevalence reduction is reached (left) and what the target prevalence reduction is (right).</w:t>
      </w:r>
    </w:p>
    <w:p w:rsidR="006F7B4E" w:rsidRDefault="006F7B4E" w:rsidP="00EB1F5B">
      <w:pPr>
        <w:spacing w:line="360" w:lineRule="auto"/>
      </w:pPr>
    </w:p>
    <w:p w:rsidR="006F7B4E" w:rsidRDefault="006F7B4E" w:rsidP="00EB1F5B">
      <w:pPr>
        <w:spacing w:line="360" w:lineRule="auto"/>
      </w:pPr>
      <w:r w:rsidRPr="00531565">
        <w:t>Initial HCV prevalence ha</w:t>
      </w:r>
      <w:r>
        <w:t>d</w:t>
      </w:r>
      <w:r w:rsidRPr="00531565">
        <w:t xml:space="preserve"> more impact on the overall effectiveness of a vaccine than vaccine efficacy</w:t>
      </w:r>
      <w:r>
        <w:t>; in particular, i</w:t>
      </w:r>
      <w:r w:rsidRPr="00531565">
        <w:t xml:space="preserve">n a setting with high chronic HCV prevalence </w:t>
      </w:r>
      <w:r>
        <w:t>a</w:t>
      </w:r>
      <w:r w:rsidRPr="00531565">
        <w:t xml:space="preserve">mong PWID, even modest simultaneous coverage with a low-efficacy vaccine </w:t>
      </w:r>
      <w:r>
        <w:t>(i.e. from vaccinating after treatment)</w:t>
      </w:r>
      <w:r w:rsidRPr="00531565">
        <w:t xml:space="preserve"> </w:t>
      </w:r>
      <w:r>
        <w:t>produced significant additional prevalence reduction (Fig. S3).</w:t>
      </w:r>
    </w:p>
    <w:p w:rsidR="00EB1F5B" w:rsidRDefault="00EB1F5B" w:rsidP="00EB1F5B">
      <w:pPr>
        <w:spacing w:line="360" w:lineRule="auto"/>
      </w:pPr>
    </w:p>
    <w:p w:rsidR="006F7B4E" w:rsidRDefault="006F7B4E" w:rsidP="00EB1F5B">
      <w:pPr>
        <w:spacing w:line="360" w:lineRule="auto"/>
      </w:pPr>
      <w:r>
        <w:rPr>
          <w:noProof/>
          <w:lang w:eastAsia="en-AU"/>
        </w:rPr>
        <w:lastRenderedPageBreak/>
        <w:t xml:space="preserve"> </w:t>
      </w:r>
      <w:r w:rsidR="007F4434">
        <w:rPr>
          <w:noProof/>
          <w:lang w:eastAsia="en-AU"/>
        </w:rPr>
        <w:drawing>
          <wp:inline distT="0" distB="0" distL="0" distR="0">
            <wp:extent cx="5731510" cy="62509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6250940"/>
                    </a:xfrm>
                    <a:prstGeom prst="rect">
                      <a:avLst/>
                    </a:prstGeom>
                  </pic:spPr>
                </pic:pic>
              </a:graphicData>
            </a:graphic>
          </wp:inline>
        </w:drawing>
      </w:r>
    </w:p>
    <w:p w:rsidR="006F7B4E" w:rsidRPr="00C121A5" w:rsidRDefault="006F7B4E" w:rsidP="00EB1F5B">
      <w:pPr>
        <w:pStyle w:val="Caption"/>
        <w:pBdr>
          <w:top w:val="single" w:sz="4" w:space="1" w:color="auto"/>
          <w:bottom w:val="single" w:sz="4" w:space="1" w:color="auto"/>
        </w:pBdr>
        <w:spacing w:line="360" w:lineRule="auto"/>
        <w:jc w:val="center"/>
      </w:pPr>
      <w:proofErr w:type="gramStart"/>
      <w:r w:rsidRPr="00C121A5">
        <w:rPr>
          <w:color w:val="auto"/>
          <w:sz w:val="22"/>
        </w:rPr>
        <w:t>Fig.</w:t>
      </w:r>
      <w:proofErr w:type="gramEnd"/>
      <w:r>
        <w:rPr>
          <w:color w:val="auto"/>
          <w:sz w:val="22"/>
        </w:rPr>
        <w:t xml:space="preserve"> S3. Modelled chronic HCV prevalence among PWID</w:t>
      </w:r>
      <w:r w:rsidRPr="00C121A5">
        <w:rPr>
          <w:b w:val="0"/>
          <w:color w:val="auto"/>
          <w:sz w:val="22"/>
        </w:rPr>
        <w:t xml:space="preserve">: </w:t>
      </w:r>
      <w:r>
        <w:rPr>
          <w:b w:val="0"/>
          <w:color w:val="auto"/>
          <w:sz w:val="22"/>
        </w:rPr>
        <w:t>How prevalence changes over time with treatment only (solid line) compared to vaccinating after treatment (dashed lines; light, medium and dark shading indicating 30%, 60% and 90% efficacy vaccines respectively). Panels left to right indicate increasing treatment numbers (20, 40 or 60/1000 PWID per year respectively) and top to bottom indicates increasing initial chronic prevalence (25%, 50% and 75% respectively).</w:t>
      </w:r>
    </w:p>
    <w:p w:rsidR="006F7B4E" w:rsidRPr="00FD0B24" w:rsidRDefault="006F7B4E" w:rsidP="00EB1F5B">
      <w:pPr>
        <w:spacing w:line="360" w:lineRule="auto"/>
        <w:jc w:val="both"/>
        <w:rPr>
          <w:bCs/>
          <w:szCs w:val="18"/>
        </w:rPr>
      </w:pPr>
      <w:r>
        <w:rPr>
          <w:b/>
          <w:i/>
        </w:rPr>
        <w:br w:type="page"/>
      </w:r>
    </w:p>
    <w:p w:rsidR="006F7B4E" w:rsidRPr="00C121A5" w:rsidRDefault="006F7B4E" w:rsidP="00EB1F5B">
      <w:pPr>
        <w:spacing w:line="360" w:lineRule="auto"/>
        <w:rPr>
          <w:b/>
        </w:rPr>
      </w:pPr>
      <w:r w:rsidRPr="00C121A5">
        <w:rPr>
          <w:b/>
        </w:rPr>
        <w:lastRenderedPageBreak/>
        <w:t>Equations for high injecting risk group</w:t>
      </w:r>
    </w:p>
    <w:p w:rsidR="006F7B4E" w:rsidRDefault="006F7B4E" w:rsidP="00EB1F5B">
      <w:pPr>
        <w:pStyle w:val="ListBullet"/>
        <w:numPr>
          <w:ilvl w:val="0"/>
          <w:numId w:val="0"/>
        </w:numPr>
        <w:tabs>
          <w:tab w:val="left" w:pos="720"/>
        </w:tabs>
        <w:spacing w:line="360" w:lineRule="auto"/>
        <w:ind w:left="360" w:hanging="360"/>
        <w:rPr>
          <w:rFonts w:eastAsiaTheme="minorEastAsia"/>
          <w:b/>
          <w:i/>
        </w:rPr>
      </w:pPr>
      <w:r>
        <w:rPr>
          <w:position w:val="-24"/>
        </w:rPr>
        <w:object w:dxaOrig="7575" w:dyaOrig="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6pt;height:31.8pt" o:ole="">
            <v:imagedata r:id="rId11" o:title=""/>
          </v:shape>
          <o:OLEObject Type="Embed" ProgID="Equation.DSMT4" ShapeID="_x0000_i1025" DrawAspect="Content" ObjectID="_1496516674" r:id="rId12"/>
        </w:object>
      </w:r>
    </w:p>
    <w:p w:rsidR="006F7B4E" w:rsidRDefault="006F7B4E" w:rsidP="00EB1F5B">
      <w:pPr>
        <w:pStyle w:val="MTDisplayEquation"/>
        <w:rPr>
          <w:rFonts w:eastAsiaTheme="minorEastAsia"/>
          <w:i/>
        </w:rPr>
      </w:pPr>
      <w:r>
        <w:rPr>
          <w:position w:val="-32"/>
        </w:rPr>
        <w:object w:dxaOrig="6039" w:dyaOrig="700">
          <v:shape id="_x0000_i1026" type="#_x0000_t75" style="width:302.25pt;height:35.15pt" o:ole="">
            <v:imagedata r:id="rId13" o:title=""/>
          </v:shape>
          <o:OLEObject Type="Embed" ProgID="Equation.DSMT4" ShapeID="_x0000_i1026" DrawAspect="Content" ObjectID="_1496516675" r:id="rId14"/>
        </w:object>
      </w:r>
    </w:p>
    <w:p w:rsidR="006F7B4E" w:rsidRDefault="006F7B4E" w:rsidP="00EB1F5B">
      <w:pPr>
        <w:pStyle w:val="MTDisplayEquation"/>
        <w:rPr>
          <w:rFonts w:eastAsiaTheme="minorEastAsia"/>
          <w:i/>
        </w:rPr>
      </w:pPr>
      <w:r>
        <w:rPr>
          <w:position w:val="-32"/>
        </w:rPr>
        <w:object w:dxaOrig="5040" w:dyaOrig="705">
          <v:shape id="_x0000_i1027" type="#_x0000_t75" style="width:252pt;height:35.15pt" o:ole="">
            <v:imagedata r:id="rId15" o:title=""/>
          </v:shape>
          <o:OLEObject Type="Embed" ProgID="Equation.DSMT4" ShapeID="_x0000_i1027" DrawAspect="Content" ObjectID="_1496516676" r:id="rId16"/>
        </w:object>
      </w:r>
    </w:p>
    <w:p w:rsidR="006F7B4E" w:rsidRDefault="006F7B4E" w:rsidP="00EB1F5B">
      <w:pPr>
        <w:pStyle w:val="MTDisplayEquation"/>
        <w:rPr>
          <w:rFonts w:eastAsiaTheme="minorEastAsia"/>
          <w:i/>
        </w:rPr>
      </w:pPr>
      <w:r>
        <w:rPr>
          <w:position w:val="-24"/>
        </w:rPr>
        <w:object w:dxaOrig="4890" w:dyaOrig="630">
          <v:shape id="_x0000_i1028" type="#_x0000_t75" style="width:244.45pt;height:31.8pt" o:ole="">
            <v:imagedata r:id="rId17" o:title=""/>
          </v:shape>
          <o:OLEObject Type="Embed" ProgID="Equation.DSMT4" ShapeID="_x0000_i1028" DrawAspect="Content" ObjectID="_1496516677" r:id="rId18"/>
        </w:object>
      </w:r>
    </w:p>
    <w:p w:rsidR="006F7B4E" w:rsidRDefault="006F7B4E" w:rsidP="00EB1F5B">
      <w:pPr>
        <w:pStyle w:val="MTDisplayEquation"/>
        <w:rPr>
          <w:rFonts w:eastAsiaTheme="minorEastAsia"/>
          <w:i/>
        </w:rPr>
      </w:pPr>
      <w:r>
        <w:rPr>
          <w:position w:val="-24"/>
        </w:rPr>
        <w:object w:dxaOrig="8220" w:dyaOrig="675">
          <v:shape id="_x0000_i1029" type="#_x0000_t75" style="width:411.05pt;height:33.5pt" o:ole="">
            <v:imagedata r:id="rId19" o:title=""/>
          </v:shape>
          <o:OLEObject Type="Embed" ProgID="Equation.DSMT4" ShapeID="_x0000_i1029" DrawAspect="Content" ObjectID="_1496516678" r:id="rId20"/>
        </w:object>
      </w:r>
    </w:p>
    <w:p w:rsidR="006F7B4E" w:rsidRDefault="006F7B4E" w:rsidP="00EB1F5B">
      <w:pPr>
        <w:pStyle w:val="MTDisplayEquation"/>
        <w:rPr>
          <w:rFonts w:eastAsiaTheme="minorEastAsia"/>
          <w:i/>
        </w:rPr>
      </w:pPr>
      <w:r>
        <w:rPr>
          <w:position w:val="-32"/>
        </w:rPr>
        <w:object w:dxaOrig="6045" w:dyaOrig="795">
          <v:shape id="_x0000_i1030" type="#_x0000_t75" style="width:302.25pt;height:39.35pt" o:ole="">
            <v:imagedata r:id="rId21" o:title=""/>
          </v:shape>
          <o:OLEObject Type="Embed" ProgID="Equation.DSMT4" ShapeID="_x0000_i1030" DrawAspect="Content" ObjectID="_1496516679" r:id="rId22"/>
        </w:object>
      </w:r>
    </w:p>
    <w:p w:rsidR="006F7B4E" w:rsidRDefault="006F7B4E" w:rsidP="00EB1F5B">
      <w:pPr>
        <w:pStyle w:val="MTDisplayEquation"/>
        <w:rPr>
          <w:rFonts w:eastAsiaTheme="minorEastAsia"/>
          <w:i/>
        </w:rPr>
      </w:pPr>
      <w:r>
        <w:rPr>
          <w:position w:val="-32"/>
        </w:rPr>
        <w:object w:dxaOrig="5025" w:dyaOrig="795">
          <v:shape id="_x0000_i1031" type="#_x0000_t75" style="width:251.15pt;height:39.35pt" o:ole="">
            <v:imagedata r:id="rId23" o:title=""/>
          </v:shape>
          <o:OLEObject Type="Embed" ProgID="Equation.DSMT4" ShapeID="_x0000_i1031" DrawAspect="Content" ObjectID="_1496516680" r:id="rId24"/>
        </w:object>
      </w:r>
    </w:p>
    <w:p w:rsidR="006F7B4E" w:rsidRDefault="006F7B4E" w:rsidP="00EB1F5B">
      <w:pPr>
        <w:pStyle w:val="MTDisplayEquation"/>
      </w:pPr>
      <w:r>
        <w:rPr>
          <w:position w:val="-24"/>
        </w:rPr>
        <w:object w:dxaOrig="4665" w:dyaOrig="630">
          <v:shape id="_x0000_i1032" type="#_x0000_t75" style="width:233.6pt;height:31.8pt" o:ole="">
            <v:imagedata r:id="rId25" o:title=""/>
          </v:shape>
          <o:OLEObject Type="Embed" ProgID="Equation.DSMT4" ShapeID="_x0000_i1032" DrawAspect="Content" ObjectID="_1496516681" r:id="rId26"/>
        </w:object>
      </w:r>
    </w:p>
    <w:p w:rsidR="00EB1F5B" w:rsidRPr="00EB1F5B" w:rsidRDefault="00EB1F5B" w:rsidP="00EB1F5B"/>
    <w:p w:rsidR="006F7B4E" w:rsidRPr="00C121A5" w:rsidRDefault="006F7B4E" w:rsidP="00EB1F5B">
      <w:pPr>
        <w:spacing w:line="360" w:lineRule="auto"/>
        <w:rPr>
          <w:b/>
        </w:rPr>
      </w:pPr>
      <w:r w:rsidRPr="00C121A5">
        <w:rPr>
          <w:b/>
        </w:rPr>
        <w:t>Equations for low injecting risk group</w:t>
      </w:r>
    </w:p>
    <w:p w:rsidR="006F7B4E" w:rsidRDefault="006F7B4E" w:rsidP="00EB1F5B">
      <w:pPr>
        <w:pStyle w:val="MTDisplayEquation"/>
        <w:rPr>
          <w:rFonts w:eastAsiaTheme="minorEastAsia"/>
          <w:b/>
          <w:i/>
        </w:rPr>
      </w:pPr>
      <w:r>
        <w:rPr>
          <w:position w:val="-24"/>
        </w:rPr>
        <w:object w:dxaOrig="7560" w:dyaOrig="630">
          <v:shape id="_x0000_i1033" type="#_x0000_t75" style="width:378.4pt;height:31.8pt" o:ole="">
            <v:imagedata r:id="rId27" o:title=""/>
          </v:shape>
          <o:OLEObject Type="Embed" ProgID="Equation.DSMT4" ShapeID="_x0000_i1033" DrawAspect="Content" ObjectID="_1496516682" r:id="rId28"/>
        </w:object>
      </w:r>
    </w:p>
    <w:p w:rsidR="006F7B4E" w:rsidRDefault="006F7B4E" w:rsidP="00EB1F5B">
      <w:pPr>
        <w:pStyle w:val="MTDisplayEquation"/>
        <w:rPr>
          <w:rFonts w:eastAsiaTheme="minorEastAsia"/>
          <w:i/>
        </w:rPr>
      </w:pPr>
      <w:r>
        <w:rPr>
          <w:position w:val="-32"/>
        </w:rPr>
        <w:object w:dxaOrig="6060" w:dyaOrig="700">
          <v:shape id="_x0000_i1034" type="#_x0000_t75" style="width:303.05pt;height:35.15pt" o:ole="">
            <v:imagedata r:id="rId29" o:title=""/>
          </v:shape>
          <o:OLEObject Type="Embed" ProgID="Equation.DSMT4" ShapeID="_x0000_i1034" DrawAspect="Content" ObjectID="_1496516683" r:id="rId30"/>
        </w:object>
      </w:r>
    </w:p>
    <w:p w:rsidR="006F7B4E" w:rsidRDefault="006F7B4E" w:rsidP="00EB1F5B">
      <w:pPr>
        <w:pStyle w:val="MTDisplayEquation"/>
        <w:rPr>
          <w:rFonts w:eastAsiaTheme="minorEastAsia"/>
          <w:i/>
        </w:rPr>
      </w:pPr>
      <w:r>
        <w:rPr>
          <w:position w:val="-32"/>
        </w:rPr>
        <w:object w:dxaOrig="5160" w:dyaOrig="705">
          <v:shape id="_x0000_i1035" type="#_x0000_t75" style="width:257.85pt;height:35.15pt" o:ole="">
            <v:imagedata r:id="rId31" o:title=""/>
          </v:shape>
          <o:OLEObject Type="Embed" ProgID="Equation.DSMT4" ShapeID="_x0000_i1035" DrawAspect="Content" ObjectID="_1496516684" r:id="rId32"/>
        </w:object>
      </w:r>
    </w:p>
    <w:p w:rsidR="006F7B4E" w:rsidRDefault="006F7B4E" w:rsidP="00EB1F5B">
      <w:pPr>
        <w:pStyle w:val="MTDisplayEquation"/>
        <w:rPr>
          <w:rFonts w:eastAsiaTheme="minorEastAsia"/>
          <w:i/>
        </w:rPr>
      </w:pPr>
      <w:r>
        <w:rPr>
          <w:position w:val="-24"/>
        </w:rPr>
        <w:object w:dxaOrig="4965" w:dyaOrig="630">
          <v:shape id="_x0000_i1036" type="#_x0000_t75" style="width:248.65pt;height:31.8pt" o:ole="">
            <v:imagedata r:id="rId33" o:title=""/>
          </v:shape>
          <o:OLEObject Type="Embed" ProgID="Equation.DSMT4" ShapeID="_x0000_i1036" DrawAspect="Content" ObjectID="_1496516685" r:id="rId34"/>
        </w:object>
      </w:r>
    </w:p>
    <w:p w:rsidR="006F7B4E" w:rsidRDefault="006F7B4E" w:rsidP="00EB1F5B">
      <w:pPr>
        <w:pStyle w:val="MTDisplayEquation"/>
        <w:rPr>
          <w:rFonts w:eastAsiaTheme="minorEastAsia"/>
          <w:i/>
        </w:rPr>
      </w:pPr>
      <w:r>
        <w:rPr>
          <w:position w:val="-24"/>
        </w:rPr>
        <w:object w:dxaOrig="8250" w:dyaOrig="675">
          <v:shape id="_x0000_i1037" type="#_x0000_t75" style="width:414.4pt;height:33.5pt" o:ole="">
            <v:imagedata r:id="rId35" o:title=""/>
          </v:shape>
          <o:OLEObject Type="Embed" ProgID="Equation.DSMT4" ShapeID="_x0000_i1037" DrawAspect="Content" ObjectID="_1496516686" r:id="rId36"/>
        </w:object>
      </w:r>
    </w:p>
    <w:p w:rsidR="006F7B4E" w:rsidRDefault="006F7B4E" w:rsidP="00EB1F5B">
      <w:pPr>
        <w:pStyle w:val="MTDisplayEquation"/>
        <w:rPr>
          <w:rFonts w:eastAsiaTheme="minorEastAsia"/>
          <w:i/>
        </w:rPr>
      </w:pPr>
      <w:r>
        <w:rPr>
          <w:position w:val="-32"/>
        </w:rPr>
        <w:object w:dxaOrig="6090" w:dyaOrig="780">
          <v:shape id="_x0000_i1038" type="#_x0000_t75" style="width:304.75pt;height:39.35pt" o:ole="">
            <v:imagedata r:id="rId37" o:title=""/>
          </v:shape>
          <o:OLEObject Type="Embed" ProgID="Equation.DSMT4" ShapeID="_x0000_i1038" DrawAspect="Content" ObjectID="_1496516687" r:id="rId38"/>
        </w:object>
      </w:r>
    </w:p>
    <w:p w:rsidR="006F7B4E" w:rsidRDefault="006F7B4E" w:rsidP="00EB1F5B">
      <w:pPr>
        <w:pStyle w:val="MTDisplayEquation"/>
        <w:rPr>
          <w:rFonts w:eastAsiaTheme="minorEastAsia"/>
          <w:i/>
        </w:rPr>
      </w:pPr>
      <w:r>
        <w:rPr>
          <w:position w:val="-32"/>
        </w:rPr>
        <w:object w:dxaOrig="5190" w:dyaOrig="780">
          <v:shape id="_x0000_i1039" type="#_x0000_t75" style="width:259.55pt;height:39.35pt" o:ole="">
            <v:imagedata r:id="rId39" o:title=""/>
          </v:shape>
          <o:OLEObject Type="Embed" ProgID="Equation.DSMT4" ShapeID="_x0000_i1039" DrawAspect="Content" ObjectID="_1496516688" r:id="rId40"/>
        </w:object>
      </w:r>
    </w:p>
    <w:p w:rsidR="006F7B4E" w:rsidRDefault="006F7B4E" w:rsidP="00EB1F5B">
      <w:pPr>
        <w:pStyle w:val="MTDisplayEquation"/>
        <w:rPr>
          <w:rFonts w:eastAsiaTheme="minorEastAsia"/>
          <w:i/>
        </w:rPr>
      </w:pPr>
      <w:r>
        <w:rPr>
          <w:position w:val="-24"/>
        </w:rPr>
        <w:object w:dxaOrig="4755" w:dyaOrig="630">
          <v:shape id="_x0000_i1040" type="#_x0000_t75" style="width:237.75pt;height:31.8pt" o:ole="">
            <v:imagedata r:id="rId41" o:title=""/>
          </v:shape>
          <o:OLEObject Type="Embed" ProgID="Equation.DSMT4" ShapeID="_x0000_i1040" DrawAspect="Content" ObjectID="_1496516689" r:id="rId42"/>
        </w:object>
      </w:r>
    </w:p>
    <w:p w:rsidR="006F7B4E" w:rsidRDefault="006F7B4E" w:rsidP="00EB1F5B">
      <w:pPr>
        <w:spacing w:line="360" w:lineRule="auto"/>
      </w:pPr>
      <w:proofErr w:type="gramStart"/>
      <w:r>
        <w:t>where</w:t>
      </w:r>
      <w:proofErr w:type="gramEnd"/>
      <w:r>
        <w:t xml:space="preserve"> Ψ and Ω are the risk weighted infectious population and treatment and vaccination number allocation respectively, defined below.</w:t>
      </w:r>
    </w:p>
    <w:p w:rsidR="00EB1F5B" w:rsidRDefault="00EB1F5B" w:rsidP="00EB1F5B">
      <w:pPr>
        <w:spacing w:line="360" w:lineRule="auto"/>
      </w:pPr>
    </w:p>
    <w:p w:rsidR="006F7B4E" w:rsidRPr="00C121A5" w:rsidRDefault="006F7B4E" w:rsidP="00EB1F5B">
      <w:pPr>
        <w:spacing w:line="360" w:lineRule="auto"/>
        <w:rPr>
          <w:rFonts w:eastAsiaTheme="minorEastAsia"/>
          <w:b/>
        </w:rPr>
      </w:pPr>
      <w:r w:rsidRPr="00C121A5">
        <w:rPr>
          <w:rFonts w:eastAsiaTheme="minorEastAsia"/>
          <w:b/>
        </w:rPr>
        <w:t>Equation for the risk weighted infectious population</w:t>
      </w:r>
    </w:p>
    <w:p w:rsidR="006F7B4E" w:rsidRDefault="006F7B4E" w:rsidP="00EB1F5B">
      <w:pPr>
        <w:pStyle w:val="MTDisplayEquation"/>
      </w:pPr>
      <w:r>
        <w:rPr>
          <w:position w:val="-30"/>
        </w:rPr>
        <w:object w:dxaOrig="4350" w:dyaOrig="885">
          <v:shape id="_x0000_i1041" type="#_x0000_t75" style="width:217.65pt;height:44.35pt" o:ole="">
            <v:imagedata r:id="rId43" o:title=""/>
          </v:shape>
          <o:OLEObject Type="Embed" ProgID="Equation.DSMT4" ShapeID="_x0000_i1041" DrawAspect="Content" ObjectID="_1496516690" r:id="rId44"/>
        </w:object>
      </w:r>
    </w:p>
    <w:p w:rsidR="00EB1F5B" w:rsidRPr="00EB1F5B" w:rsidRDefault="00EB1F5B" w:rsidP="00EB1F5B"/>
    <w:p w:rsidR="006F7B4E" w:rsidRPr="00C121A5" w:rsidRDefault="006F7B4E" w:rsidP="00EB1F5B">
      <w:pPr>
        <w:spacing w:line="360" w:lineRule="auto"/>
        <w:rPr>
          <w:rFonts w:eastAsiaTheme="minorEastAsia"/>
          <w:b/>
        </w:rPr>
      </w:pPr>
      <w:r w:rsidRPr="00C121A5">
        <w:rPr>
          <w:rFonts w:eastAsiaTheme="minorEastAsia"/>
          <w:b/>
        </w:rPr>
        <w:t>Equation for treatment and vaccination number allocation</w:t>
      </w:r>
    </w:p>
    <w:p w:rsidR="006F7B4E" w:rsidRDefault="006F7B4E" w:rsidP="00EB1F5B">
      <w:pPr>
        <w:spacing w:line="360" w:lineRule="auto"/>
        <w:rPr>
          <w:rFonts w:eastAsiaTheme="minorEastAsia"/>
        </w:rPr>
      </w:pPr>
      <w:r>
        <w:rPr>
          <w:rFonts w:eastAsiaTheme="minorEastAsia"/>
        </w:rPr>
        <w:t xml:space="preserve">For an integer </w:t>
      </w:r>
      <w:r>
        <w:rPr>
          <w:rFonts w:eastAsiaTheme="minorEastAsia"/>
          <w:position w:val="-6"/>
        </w:rPr>
        <w:object w:dxaOrig="210" w:dyaOrig="210">
          <v:shape id="_x0000_i1042" type="#_x0000_t75" style="width:10.9pt;height:10.9pt" o:ole="">
            <v:imagedata r:id="rId45" o:title=""/>
          </v:shape>
          <o:OLEObject Type="Embed" ProgID="Equation.DSMT4" ShapeID="_x0000_i1042" DrawAspect="Content" ObjectID="_1496516691" r:id="rId46"/>
        </w:object>
      </w:r>
      <w:r>
        <w:rPr>
          <w:rFonts w:eastAsiaTheme="minorEastAsia"/>
        </w:rPr>
        <w:t xml:space="preserve"> representing the number of treatments / vaccinations available and a compartment (or collection of compartments) of size</w:t>
      </w:r>
      <w:r>
        <w:rPr>
          <w:position w:val="-12"/>
        </w:rPr>
        <w:object w:dxaOrig="210" w:dyaOrig="360">
          <v:shape id="_x0000_i1043" type="#_x0000_t75" style="width:10.9pt;height:18.4pt" o:ole="">
            <v:imagedata r:id="rId47" o:title=""/>
          </v:shape>
          <o:OLEObject Type="Embed" ProgID="Equation.DSMT4" ShapeID="_x0000_i1043" DrawAspect="Content" ObjectID="_1496516692" r:id="rId48"/>
        </w:object>
      </w:r>
      <w:r>
        <w:rPr>
          <w:rFonts w:eastAsiaTheme="minorEastAsia"/>
        </w:rPr>
        <w:t>:</w:t>
      </w:r>
    </w:p>
    <w:p w:rsidR="006F7B4E" w:rsidRDefault="006F7B4E" w:rsidP="00EB1F5B">
      <w:pPr>
        <w:pStyle w:val="MTDisplayEquation"/>
      </w:pPr>
      <w:r>
        <w:rPr>
          <w:position w:val="-48"/>
        </w:rPr>
        <w:object w:dxaOrig="3240" w:dyaOrig="1080">
          <v:shape id="_x0000_i1044" type="#_x0000_t75" style="width:162.4pt;height:54.4pt" o:ole="">
            <v:imagedata r:id="rId49" o:title=""/>
          </v:shape>
          <o:OLEObject Type="Embed" ProgID="Equation.DSMT4" ShapeID="_x0000_i1044" DrawAspect="Content" ObjectID="_1496516693" r:id="rId50"/>
        </w:object>
      </w:r>
    </w:p>
    <w:p w:rsidR="00EB1F5B" w:rsidRPr="00EB1F5B" w:rsidRDefault="00EB1F5B" w:rsidP="00EB1F5B"/>
    <w:p w:rsidR="006F7B4E" w:rsidRPr="00C121A5" w:rsidRDefault="006F7B4E" w:rsidP="00EB1F5B">
      <w:pPr>
        <w:spacing w:line="360" w:lineRule="auto"/>
        <w:rPr>
          <w:rFonts w:eastAsiaTheme="minorEastAsia"/>
          <w:b/>
        </w:rPr>
      </w:pPr>
      <w:r w:rsidRPr="00C121A5">
        <w:rPr>
          <w:rFonts w:eastAsiaTheme="minorEastAsia"/>
          <w:b/>
        </w:rPr>
        <w:t>Total population in model</w:t>
      </w:r>
    </w:p>
    <w:p w:rsidR="006F7B4E" w:rsidRDefault="006F7B4E" w:rsidP="00EB1F5B">
      <w:pPr>
        <w:spacing w:line="360" w:lineRule="auto"/>
        <w:rPr>
          <w:rFonts w:eastAsiaTheme="minorEastAsia"/>
          <w:i/>
        </w:rPr>
      </w:pPr>
      <w:r>
        <w:rPr>
          <w:rFonts w:eastAsiaTheme="minorEastAsia"/>
          <w:i/>
        </w:rPr>
        <w:t>N=1000</w:t>
      </w:r>
    </w:p>
    <w:p w:rsidR="006F7B4E" w:rsidRDefault="006F7B4E" w:rsidP="00EB1F5B">
      <w:pPr>
        <w:pStyle w:val="MTDisplayEquation"/>
        <w:rPr>
          <w:rFonts w:eastAsiaTheme="minorEastAsia"/>
          <w:i/>
        </w:rPr>
      </w:pPr>
      <w:r>
        <w:rPr>
          <w:position w:val="-12"/>
        </w:rPr>
        <w:object w:dxaOrig="1380" w:dyaOrig="360">
          <v:shape id="_x0000_i1045" type="#_x0000_t75" style="width:68.65pt;height:18.4pt" o:ole="">
            <v:imagedata r:id="rId51" o:title=""/>
          </v:shape>
          <o:OLEObject Type="Embed" ProgID="Equation.DSMT4" ShapeID="_x0000_i1045" DrawAspect="Content" ObjectID="_1496516694" r:id="rId52"/>
        </w:object>
      </w:r>
    </w:p>
    <w:p w:rsidR="006F7B4E" w:rsidRDefault="006F7B4E" w:rsidP="00EB1F5B">
      <w:pPr>
        <w:pStyle w:val="MTDisplayEquation"/>
      </w:pPr>
      <w:r>
        <w:rPr>
          <w:position w:val="-12"/>
        </w:rPr>
        <w:object w:dxaOrig="1230" w:dyaOrig="360">
          <v:shape id="_x0000_i1046" type="#_x0000_t75" style="width:61.1pt;height:18.4pt" o:ole="">
            <v:imagedata r:id="rId53" o:title=""/>
          </v:shape>
          <o:OLEObject Type="Embed" ProgID="Equation.DSMT4" ShapeID="_x0000_i1046" DrawAspect="Content" ObjectID="_1496516695" r:id="rId54"/>
        </w:object>
      </w:r>
    </w:p>
    <w:p w:rsidR="00EB1F5B" w:rsidRPr="00EB1F5B" w:rsidRDefault="00EB1F5B" w:rsidP="00EB1F5B"/>
    <w:p w:rsidR="006F7B4E" w:rsidRPr="00C121A5" w:rsidRDefault="006F7B4E" w:rsidP="00EB1F5B">
      <w:pPr>
        <w:spacing w:line="360" w:lineRule="auto"/>
        <w:rPr>
          <w:rFonts w:eastAsiaTheme="minorEastAsia"/>
          <w:b/>
        </w:rPr>
      </w:pPr>
      <w:r w:rsidRPr="00C121A5">
        <w:rPr>
          <w:rFonts w:eastAsiaTheme="minorEastAsia"/>
          <w:b/>
        </w:rPr>
        <w:t>Equations for the infectious population assuming fully assortative mixing</w:t>
      </w:r>
    </w:p>
    <w:p w:rsidR="006F7B4E" w:rsidRDefault="006F7B4E" w:rsidP="00EB1F5B">
      <w:pPr>
        <w:spacing w:line="360" w:lineRule="auto"/>
      </w:pPr>
      <w:r>
        <w:t>Different representations for the infectious population are used for equations among the low and high risk injecting populations:</w:t>
      </w:r>
    </w:p>
    <w:p w:rsidR="006F7B4E" w:rsidRDefault="006F7B4E" w:rsidP="00EB1F5B">
      <w:pPr>
        <w:pStyle w:val="MTDisplayEquation"/>
        <w:rPr>
          <w:rFonts w:eastAsiaTheme="minorEastAsia"/>
          <w:i/>
        </w:rPr>
      </w:pPr>
      <w:r>
        <w:rPr>
          <w:position w:val="-30"/>
        </w:rPr>
        <w:object w:dxaOrig="3510" w:dyaOrig="795">
          <v:shape id="_x0000_i1047" type="#_x0000_t75" style="width:175.8pt;height:39.35pt" o:ole="">
            <v:imagedata r:id="rId55" o:title=""/>
          </v:shape>
          <o:OLEObject Type="Embed" ProgID="Equation.DSMT4" ShapeID="_x0000_i1047" DrawAspect="Content" ObjectID="_1496516696" r:id="rId56"/>
        </w:object>
      </w:r>
    </w:p>
    <w:p w:rsidR="006F7B4E" w:rsidRDefault="006F7B4E" w:rsidP="00EB1F5B">
      <w:pPr>
        <w:pStyle w:val="MTDisplayEquation"/>
      </w:pPr>
      <w:r>
        <w:rPr>
          <w:position w:val="-30"/>
        </w:rPr>
        <w:object w:dxaOrig="3360" w:dyaOrig="795">
          <v:shape id="_x0000_i1048" type="#_x0000_t75" style="width:168.3pt;height:39.35pt" o:ole="">
            <v:imagedata r:id="rId57" o:title=""/>
          </v:shape>
          <o:OLEObject Type="Embed" ProgID="Equation.DSMT4" ShapeID="_x0000_i1048" DrawAspect="Content" ObjectID="_1496516697" r:id="rId58"/>
        </w:object>
      </w:r>
    </w:p>
    <w:p w:rsidR="00EB1F5B" w:rsidRPr="00EB1F5B" w:rsidRDefault="00EB1F5B" w:rsidP="00EB1F5B"/>
    <w:p w:rsidR="006F7B4E" w:rsidRPr="00C121A5" w:rsidRDefault="006F7B4E" w:rsidP="00EB1F5B">
      <w:pPr>
        <w:spacing w:line="360" w:lineRule="auto"/>
        <w:rPr>
          <w:rFonts w:eastAsiaTheme="minorEastAsia"/>
          <w:b/>
        </w:rPr>
      </w:pPr>
      <w:r w:rsidRPr="00C121A5">
        <w:rPr>
          <w:rFonts w:eastAsiaTheme="minorEastAsia"/>
          <w:b/>
        </w:rPr>
        <w:t>Equations for the allocation of treatments and vaccinations to specific injecting risk groups</w:t>
      </w:r>
    </w:p>
    <w:p w:rsidR="006F7B4E" w:rsidRDefault="006F7B4E" w:rsidP="00EB1F5B">
      <w:pPr>
        <w:spacing w:line="360" w:lineRule="auto"/>
      </w:pPr>
      <w:r>
        <w:t>If r is the proportion of treatments (or analogously vaccinations) to be allocated to high risk injectors, then different representations for the treatment and vaccination number allocation function Ω are used in the equations for high and low risk injectors:</w:t>
      </w:r>
    </w:p>
    <w:p w:rsidR="006F7B4E" w:rsidRDefault="006F7B4E" w:rsidP="00EB1F5B">
      <w:pPr>
        <w:spacing w:line="360" w:lineRule="auto"/>
        <w:rPr>
          <w:rFonts w:eastAsiaTheme="minorEastAsia"/>
          <w:i/>
        </w:rPr>
      </w:pPr>
      <w:r>
        <w:rPr>
          <w:position w:val="-54"/>
        </w:rPr>
        <w:object w:dxaOrig="6675" w:dyaOrig="1200">
          <v:shape id="_x0000_i1049" type="#_x0000_t75" style="width:334.05pt;height:60.3pt" o:ole="">
            <v:imagedata r:id="rId59" o:title=""/>
          </v:shape>
          <o:OLEObject Type="Embed" ProgID="Equation.DSMT4" ShapeID="_x0000_i1049" DrawAspect="Content" ObjectID="_1496516698" r:id="rId60"/>
        </w:object>
      </w:r>
      <w:r>
        <w:rPr>
          <w:rFonts w:eastAsiaTheme="minorEastAsia"/>
          <w:i/>
        </w:rPr>
        <w:t xml:space="preserve">. </w:t>
      </w:r>
    </w:p>
    <w:bookmarkStart w:id="0" w:name="MTBlankEqn"/>
    <w:p w:rsidR="006F7B4E" w:rsidRDefault="006F7B4E" w:rsidP="00EB1F5B">
      <w:pPr>
        <w:spacing w:line="360" w:lineRule="auto"/>
        <w:rPr>
          <w:rFonts w:eastAsiaTheme="minorEastAsia"/>
          <w:i/>
        </w:rPr>
      </w:pPr>
      <w:r>
        <w:rPr>
          <w:position w:val="-52"/>
        </w:rPr>
        <w:object w:dxaOrig="6810" w:dyaOrig="1185">
          <v:shape id="_x0000_i1050" type="#_x0000_t75" style="width:340.75pt;height:59.45pt" o:ole="">
            <v:imagedata r:id="rId61" o:title=""/>
          </v:shape>
          <o:OLEObject Type="Embed" ProgID="Equation.DSMT4" ShapeID="_x0000_i1050" DrawAspect="Content" ObjectID="_1496516699" r:id="rId62"/>
        </w:object>
      </w:r>
      <w:bookmarkEnd w:id="0"/>
      <w:r>
        <w:rPr>
          <w:rFonts w:eastAsiaTheme="minorEastAsia"/>
          <w:i/>
        </w:rPr>
        <w:t xml:space="preserve">. </w:t>
      </w:r>
    </w:p>
    <w:p w:rsidR="00EB1F5B" w:rsidRDefault="00EB1F5B" w:rsidP="00EB1F5B">
      <w:pPr>
        <w:spacing w:line="360" w:lineRule="auto"/>
        <w:rPr>
          <w:rFonts w:eastAsiaTheme="minorEastAsia"/>
          <w:i/>
        </w:rPr>
      </w:pPr>
    </w:p>
    <w:p w:rsidR="006F7B4E" w:rsidRDefault="006F7B4E" w:rsidP="00EB1F5B">
      <w:pPr>
        <w:spacing w:line="360" w:lineRule="auto"/>
        <w:rPr>
          <w:b/>
        </w:rPr>
      </w:pPr>
      <w:r>
        <w:rPr>
          <w:b/>
        </w:rPr>
        <w:t>The basic reproduction number</w:t>
      </w:r>
    </w:p>
    <w:p w:rsidR="006F7B4E" w:rsidRDefault="006F7B4E" w:rsidP="00EB1F5B">
      <w:pPr>
        <w:spacing w:line="360" w:lineRule="auto"/>
      </w:pPr>
      <w:r>
        <w:t>We u</w:t>
      </w:r>
      <w:r w:rsidRPr="00FD0B24">
        <w:t>s</w:t>
      </w:r>
      <w:r>
        <w:t>e</w:t>
      </w:r>
      <w:r w:rsidRPr="00FD0B24">
        <w:t xml:space="preserve"> the methods </w:t>
      </w:r>
      <w:r>
        <w:t xml:space="preserve">from </w:t>
      </w:r>
      <w:proofErr w:type="spellStart"/>
      <w:r>
        <w:t>Diekmann</w:t>
      </w:r>
      <w:proofErr w:type="spellEnd"/>
      <w:r>
        <w:t xml:space="preserve"> et al. </w:t>
      </w:r>
      <w:r>
        <w:rPr>
          <w:noProof/>
        </w:rPr>
        <w:t>(1)</w:t>
      </w:r>
      <w:r>
        <w:t xml:space="preserve">—see also </w:t>
      </w:r>
      <w:r>
        <w:rPr>
          <w:noProof/>
        </w:rPr>
        <w:t>(2)</w:t>
      </w:r>
      <w:r>
        <w:t xml:space="preserve">—to calculate the basic reproduction number (R0) of our system; the spectral radius (maximum </w:t>
      </w:r>
      <w:r w:rsidR="008E0412">
        <w:t xml:space="preserve">of the </w:t>
      </w:r>
      <w:r>
        <w:t xml:space="preserve">absolute value </w:t>
      </w:r>
      <w:r w:rsidR="008E0412">
        <w:t>of</w:t>
      </w:r>
      <w:r>
        <w:t xml:space="preserve"> eigenvalues) of the next generation matrix. Let:</w:t>
      </w:r>
    </w:p>
    <w:p w:rsidR="006F7B4E" w:rsidRDefault="006F7B4E" w:rsidP="00EB1F5B">
      <w:pPr>
        <w:pStyle w:val="ListParagraph"/>
        <w:numPr>
          <w:ilvl w:val="0"/>
          <w:numId w:val="18"/>
        </w:numPr>
        <w:spacing w:line="360" w:lineRule="auto"/>
        <w:rPr>
          <w:rFonts w:eastAsiaTheme="minorEastAsia"/>
        </w:rPr>
      </w:pPr>
      <w:r w:rsidRPr="000F2A0D">
        <w:rPr>
          <w:position w:val="-18"/>
        </w:rPr>
        <w:object w:dxaOrig="5380" w:dyaOrig="540">
          <v:shape id="_x0000_i1051" type="#_x0000_t75" style="width:268.75pt;height:26.8pt" o:ole="">
            <v:imagedata r:id="rId63" o:title=""/>
          </v:shape>
          <o:OLEObject Type="Embed" ProgID="Equation.DSMT4" ShapeID="_x0000_i1051" DrawAspect="Content" ObjectID="_1496516700" r:id="rId64"/>
        </w:object>
      </w:r>
      <w:r>
        <w:rPr>
          <w:rFonts w:eastAsiaTheme="minorEastAsia"/>
        </w:rPr>
        <w:t>be the vector of compartments</w:t>
      </w:r>
      <w:r w:rsidRPr="00FD0B24">
        <w:rPr>
          <w:rFonts w:eastAsiaTheme="minorEastAsia"/>
        </w:rPr>
        <w:t xml:space="preserve">; </w:t>
      </w:r>
    </w:p>
    <w:p w:rsidR="006F7B4E" w:rsidRDefault="006F7B4E" w:rsidP="00EB1F5B">
      <w:pPr>
        <w:pStyle w:val="ListParagraph"/>
        <w:numPr>
          <w:ilvl w:val="0"/>
          <w:numId w:val="18"/>
        </w:numPr>
        <w:spacing w:line="360" w:lineRule="auto"/>
        <w:rPr>
          <w:rFonts w:eastAsiaTheme="minorEastAsia"/>
        </w:rPr>
      </w:pPr>
      <w:r w:rsidRPr="000F2A0D">
        <w:rPr>
          <w:position w:val="-14"/>
        </w:rPr>
        <w:object w:dxaOrig="660" w:dyaOrig="400">
          <v:shape id="_x0000_i1052" type="#_x0000_t75" style="width:32.65pt;height:20.1pt" o:ole="">
            <v:imagedata r:id="rId65" o:title=""/>
          </v:shape>
          <o:OLEObject Type="Embed" ProgID="Equation.DSMT4" ShapeID="_x0000_i1052" DrawAspect="Content" ObjectID="_1496516701" r:id="rId66"/>
        </w:object>
      </w:r>
      <w:r w:rsidRPr="00FD0B24">
        <w:rPr>
          <w:rFonts w:eastAsiaTheme="minorEastAsia"/>
        </w:rPr>
        <w:t xml:space="preserve"> be the rate of appearance of new infections in </w:t>
      </w:r>
      <w:r>
        <w:rPr>
          <w:rFonts w:eastAsiaTheme="minorEastAsia"/>
        </w:rPr>
        <w:t>c</w:t>
      </w:r>
      <w:r w:rsidRPr="00FD0B24">
        <w:rPr>
          <w:rFonts w:eastAsiaTheme="minorEastAsia"/>
        </w:rPr>
        <w:t>ompartment k (</w:t>
      </w:r>
      <w:r>
        <w:rPr>
          <w:rFonts w:eastAsiaTheme="minorEastAsia"/>
        </w:rPr>
        <w:t xml:space="preserve">i.e. individuals entering the kth element of x </w:t>
      </w:r>
      <w:r w:rsidRPr="00FD0B24">
        <w:rPr>
          <w:rFonts w:eastAsiaTheme="minorEastAsia"/>
          <w:i/>
        </w:rPr>
        <w:t>only as a result of infection</w:t>
      </w:r>
      <w:r w:rsidRPr="00FD0B24">
        <w:rPr>
          <w:rFonts w:eastAsiaTheme="minorEastAsia"/>
        </w:rPr>
        <w:t xml:space="preserve">); </w:t>
      </w:r>
    </w:p>
    <w:p w:rsidR="006F7B4E" w:rsidRDefault="006F7B4E" w:rsidP="00EB1F5B">
      <w:pPr>
        <w:pStyle w:val="ListParagraph"/>
        <w:numPr>
          <w:ilvl w:val="0"/>
          <w:numId w:val="18"/>
        </w:numPr>
        <w:spacing w:line="360" w:lineRule="auto"/>
        <w:rPr>
          <w:rFonts w:eastAsiaTheme="minorEastAsia"/>
        </w:rPr>
      </w:pPr>
      <w:r w:rsidRPr="000F2A0D">
        <w:rPr>
          <w:position w:val="-12"/>
        </w:rPr>
        <w:object w:dxaOrig="260" w:dyaOrig="360">
          <v:shape id="_x0000_i1053" type="#_x0000_t75" style="width:13.4pt;height:18.4pt" o:ole="">
            <v:imagedata r:id="rId67" o:title=""/>
          </v:shape>
          <o:OLEObject Type="Embed" ProgID="Equation.DSMT4" ShapeID="_x0000_i1053" DrawAspect="Content" ObjectID="_1496516702" r:id="rId68"/>
        </w:object>
      </w:r>
      <w:r w:rsidRPr="00FD0B24">
        <w:rPr>
          <w:rFonts w:eastAsiaTheme="minorEastAsia"/>
        </w:rPr>
        <w:t xml:space="preserve"> be the net rate </w:t>
      </w:r>
      <w:r>
        <w:rPr>
          <w:rFonts w:eastAsiaTheme="minorEastAsia"/>
        </w:rPr>
        <w:t>individuals</w:t>
      </w:r>
      <w:r w:rsidRPr="00FD0B24">
        <w:rPr>
          <w:rFonts w:eastAsiaTheme="minorEastAsia"/>
        </w:rPr>
        <w:t xml:space="preserve"> transfer out of compartment k by all means aside from new infection</w:t>
      </w:r>
      <w:r>
        <w:rPr>
          <w:rFonts w:eastAsiaTheme="minorEastAsia"/>
        </w:rPr>
        <w:t xml:space="preserve"> (</w:t>
      </w:r>
      <w:r w:rsidRPr="00FD0B24">
        <w:rPr>
          <w:rFonts w:eastAsiaTheme="minorEastAsia"/>
        </w:rPr>
        <w:t xml:space="preserve">i.e. </w:t>
      </w:r>
      <w:r w:rsidRPr="000F2A0D">
        <w:rPr>
          <w:position w:val="-12"/>
        </w:rPr>
        <w:object w:dxaOrig="260" w:dyaOrig="360">
          <v:shape id="_x0000_i1054" type="#_x0000_t75" style="width:13.4pt;height:18.4pt" o:ole="">
            <v:imagedata r:id="rId69" o:title=""/>
          </v:shape>
          <o:OLEObject Type="Embed" ProgID="Equation.DSMT4" ShapeID="_x0000_i1054" DrawAspect="Content" ObjectID="_1496516703" r:id="rId70"/>
        </w:object>
      </w:r>
      <w:r w:rsidRPr="00FD0B24">
        <w:rPr>
          <w:rFonts w:eastAsiaTheme="minorEastAsia"/>
        </w:rPr>
        <w:t xml:space="preserve"> is the number of individuals exiting compartment k minus the number of individuals entering compartment k</w:t>
      </w:r>
      <w:r>
        <w:rPr>
          <w:rFonts w:eastAsiaTheme="minorEastAsia"/>
        </w:rPr>
        <w:t>, through means other than infection); and</w:t>
      </w:r>
    </w:p>
    <w:p w:rsidR="006F7B4E" w:rsidRPr="00FD0B24" w:rsidRDefault="006F7B4E" w:rsidP="00EB1F5B">
      <w:pPr>
        <w:pStyle w:val="ListParagraph"/>
        <w:numPr>
          <w:ilvl w:val="0"/>
          <w:numId w:val="18"/>
        </w:numPr>
        <w:spacing w:line="360" w:lineRule="auto"/>
        <w:rPr>
          <w:rFonts w:eastAsiaTheme="minorEastAsia"/>
        </w:rPr>
      </w:pPr>
      <w:r w:rsidRPr="000F2A0D">
        <w:rPr>
          <w:position w:val="-12"/>
        </w:rPr>
        <w:object w:dxaOrig="260" w:dyaOrig="360">
          <v:shape id="_x0000_i1055" type="#_x0000_t75" style="width:13.4pt;height:18.4pt" o:ole="">
            <v:imagedata r:id="rId71" o:title=""/>
          </v:shape>
          <o:OLEObject Type="Embed" ProgID="Equation.DSMT4" ShapeID="_x0000_i1055" DrawAspect="Content" ObjectID="_1496516704" r:id="rId72"/>
        </w:object>
      </w:r>
      <w:r w:rsidRPr="00FD0B24">
        <w:rPr>
          <w:rFonts w:eastAsiaTheme="minorEastAsia"/>
        </w:rPr>
        <w:t xml:space="preserve"> </w:t>
      </w:r>
      <w:proofErr w:type="gramStart"/>
      <w:r w:rsidRPr="00FD0B24">
        <w:rPr>
          <w:rFonts w:eastAsiaTheme="minorEastAsia"/>
        </w:rPr>
        <w:t>be</w:t>
      </w:r>
      <w:proofErr w:type="gramEnd"/>
      <w:r w:rsidRPr="00FD0B24">
        <w:rPr>
          <w:rFonts w:eastAsiaTheme="minorEastAsia"/>
        </w:rPr>
        <w:t xml:space="preserve"> the size of each compartment in the disease free </w:t>
      </w:r>
      <w:r>
        <w:rPr>
          <w:rFonts w:eastAsiaTheme="minorEastAsia"/>
        </w:rPr>
        <w:t xml:space="preserve">equilibrium </w:t>
      </w:r>
      <w:r w:rsidRPr="00FD0B24">
        <w:rPr>
          <w:rFonts w:eastAsiaTheme="minorEastAsia"/>
        </w:rPr>
        <w:t xml:space="preserve">state. </w:t>
      </w:r>
    </w:p>
    <w:p w:rsidR="00EB1F5B" w:rsidRDefault="00EB1F5B" w:rsidP="00EB1F5B">
      <w:pPr>
        <w:spacing w:line="360" w:lineRule="auto"/>
        <w:rPr>
          <w:rFonts w:eastAsiaTheme="minorEastAsia"/>
        </w:rPr>
      </w:pPr>
    </w:p>
    <w:p w:rsidR="006F7B4E" w:rsidRPr="00FD0B24" w:rsidRDefault="006F7B4E" w:rsidP="00EB1F5B">
      <w:pPr>
        <w:spacing w:line="360" w:lineRule="auto"/>
        <w:rPr>
          <w:rFonts w:eastAsiaTheme="minorEastAsia"/>
        </w:rPr>
      </w:pPr>
      <w:r>
        <w:rPr>
          <w:rFonts w:eastAsiaTheme="minorEastAsia"/>
        </w:rPr>
        <w:t>A</w:t>
      </w:r>
      <w:r w:rsidRPr="00FD0B24">
        <w:rPr>
          <w:rFonts w:eastAsiaTheme="minorEastAsia"/>
        </w:rPr>
        <w:t>t baseline</w:t>
      </w:r>
      <w:r>
        <w:rPr>
          <w:rFonts w:eastAsiaTheme="minorEastAsia"/>
        </w:rPr>
        <w:t xml:space="preserve"> (t=0)</w:t>
      </w:r>
      <w:r w:rsidRPr="00FD0B24">
        <w:rPr>
          <w:rFonts w:eastAsiaTheme="minorEastAsia"/>
        </w:rPr>
        <w:t>, the only compartments with non-zero numbers of infectious individuals are C</w:t>
      </w:r>
      <w:r w:rsidRPr="00FD0B24">
        <w:rPr>
          <w:rFonts w:eastAsiaTheme="minorEastAsia"/>
          <w:vertAlign w:val="subscript"/>
        </w:rPr>
        <w:t>0</w:t>
      </w:r>
      <w:r w:rsidRPr="00FD0B24">
        <w:rPr>
          <w:rFonts w:eastAsiaTheme="minorEastAsia"/>
        </w:rPr>
        <w:t xml:space="preserve"> and C</w:t>
      </w:r>
      <w:r w:rsidRPr="00FD0B24">
        <w:rPr>
          <w:rFonts w:eastAsiaTheme="minorEastAsia"/>
          <w:vertAlign w:val="subscript"/>
        </w:rPr>
        <w:t>1</w:t>
      </w:r>
      <w:r w:rsidRPr="00FD0B24">
        <w:rPr>
          <w:rFonts w:eastAsiaTheme="minorEastAsia"/>
        </w:rPr>
        <w:t xml:space="preserve"> so that</w:t>
      </w:r>
      <w:r>
        <w:rPr>
          <w:rFonts w:eastAsiaTheme="minorEastAsia"/>
        </w:rPr>
        <w:t xml:space="preserve"> the relevant values are</w:t>
      </w:r>
      <w:r w:rsidRPr="00FD0B24">
        <w:rPr>
          <w:rFonts w:eastAsiaTheme="minorEastAsia"/>
        </w:rPr>
        <w:t>:</w:t>
      </w:r>
    </w:p>
    <w:p w:rsidR="006F7B4E" w:rsidRDefault="006F7B4E" w:rsidP="00EB1F5B">
      <w:pPr>
        <w:pStyle w:val="ListParagraph"/>
        <w:numPr>
          <w:ilvl w:val="0"/>
          <w:numId w:val="19"/>
        </w:numPr>
        <w:spacing w:line="360" w:lineRule="auto"/>
        <w:rPr>
          <w:rFonts w:eastAsiaTheme="minorEastAsia"/>
        </w:rPr>
      </w:pPr>
      <w:r w:rsidRPr="000F2A0D">
        <w:rPr>
          <w:position w:val="-14"/>
        </w:rPr>
        <w:object w:dxaOrig="1760" w:dyaOrig="400">
          <v:shape id="_x0000_i1056" type="#_x0000_t75" style="width:87.9pt;height:20.1pt" o:ole="">
            <v:imagedata r:id="rId73" o:title=""/>
          </v:shape>
          <o:OLEObject Type="Embed" ProgID="Equation.DSMT4" ShapeID="_x0000_i1056" DrawAspect="Content" ObjectID="_1496516705" r:id="rId74"/>
        </w:object>
      </w:r>
      <w:r>
        <w:rPr>
          <w:rFonts w:eastAsiaTheme="minorEastAsia"/>
        </w:rPr>
        <w:t>;</w:t>
      </w:r>
    </w:p>
    <w:p w:rsidR="006F7B4E" w:rsidRDefault="006F7B4E" w:rsidP="00EB1F5B">
      <w:pPr>
        <w:pStyle w:val="ListParagraph"/>
        <w:numPr>
          <w:ilvl w:val="0"/>
          <w:numId w:val="19"/>
        </w:numPr>
        <w:spacing w:line="360" w:lineRule="auto"/>
        <w:rPr>
          <w:rFonts w:eastAsiaTheme="minorEastAsia"/>
        </w:rPr>
      </w:pPr>
      <w:r w:rsidRPr="000F2A0D">
        <w:rPr>
          <w:position w:val="-12"/>
        </w:rPr>
        <w:object w:dxaOrig="2140" w:dyaOrig="360">
          <v:shape id="_x0000_i1057" type="#_x0000_t75" style="width:107.15pt;height:18.4pt" o:ole="">
            <v:imagedata r:id="rId75" o:title=""/>
          </v:shape>
          <o:OLEObject Type="Embed" ProgID="Equation.DSMT4" ShapeID="_x0000_i1057" DrawAspect="Content" ObjectID="_1496516706" r:id="rId76"/>
        </w:object>
      </w:r>
      <w:r w:rsidRPr="00FD0B24">
        <w:rPr>
          <w:rFonts w:eastAsiaTheme="minorEastAsia"/>
        </w:rPr>
        <w:t xml:space="preserve"> </w:t>
      </w:r>
    </w:p>
    <w:p w:rsidR="006F7B4E" w:rsidRDefault="006F7B4E" w:rsidP="00EB1F5B">
      <w:pPr>
        <w:pStyle w:val="ListParagraph"/>
        <w:numPr>
          <w:ilvl w:val="0"/>
          <w:numId w:val="19"/>
        </w:numPr>
        <w:spacing w:line="360" w:lineRule="auto"/>
        <w:rPr>
          <w:rFonts w:eastAsiaTheme="minorEastAsia"/>
        </w:rPr>
      </w:pPr>
      <w:r w:rsidRPr="000F2A0D">
        <w:rPr>
          <w:position w:val="-14"/>
        </w:rPr>
        <w:object w:dxaOrig="1880" w:dyaOrig="400">
          <v:shape id="_x0000_i1058" type="#_x0000_t75" style="width:93.75pt;height:20.1pt" o:ole="">
            <v:imagedata r:id="rId77" o:title=""/>
          </v:shape>
          <o:OLEObject Type="Embed" ProgID="Equation.DSMT4" ShapeID="_x0000_i1058" DrawAspect="Content" ObjectID="_1496516707" r:id="rId78"/>
        </w:object>
      </w:r>
      <w:r>
        <w:rPr>
          <w:rFonts w:eastAsiaTheme="minorEastAsia"/>
        </w:rPr>
        <w:t>;</w:t>
      </w:r>
    </w:p>
    <w:p w:rsidR="006F7B4E" w:rsidRDefault="006F7B4E" w:rsidP="00EB1F5B">
      <w:pPr>
        <w:pStyle w:val="ListParagraph"/>
        <w:numPr>
          <w:ilvl w:val="0"/>
          <w:numId w:val="19"/>
        </w:numPr>
        <w:spacing w:line="360" w:lineRule="auto"/>
        <w:rPr>
          <w:rFonts w:eastAsiaTheme="minorEastAsia"/>
        </w:rPr>
      </w:pPr>
      <w:r w:rsidRPr="000F2A0D">
        <w:rPr>
          <w:position w:val="-12"/>
        </w:rPr>
        <w:object w:dxaOrig="2040" w:dyaOrig="360">
          <v:shape id="_x0000_i1059" type="#_x0000_t75" style="width:102.15pt;height:18.4pt" o:ole="">
            <v:imagedata r:id="rId79" o:title=""/>
          </v:shape>
          <o:OLEObject Type="Embed" ProgID="Equation.DSMT4" ShapeID="_x0000_i1059" DrawAspect="Content" ObjectID="_1496516708" r:id="rId80"/>
        </w:object>
      </w:r>
      <w:r>
        <w:rPr>
          <w:rFonts w:eastAsiaTheme="minorEastAsia"/>
        </w:rPr>
        <w:t>; and</w:t>
      </w:r>
    </w:p>
    <w:p w:rsidR="006F7B4E" w:rsidRPr="00FD0B24" w:rsidRDefault="006F7B4E" w:rsidP="00EB1F5B">
      <w:pPr>
        <w:pStyle w:val="ListParagraph"/>
        <w:numPr>
          <w:ilvl w:val="0"/>
          <w:numId w:val="18"/>
        </w:numPr>
        <w:spacing w:line="360" w:lineRule="auto"/>
        <w:rPr>
          <w:rFonts w:eastAsiaTheme="minorEastAsia"/>
        </w:rPr>
      </w:pPr>
      <w:r w:rsidRPr="000F2A0D">
        <w:rPr>
          <w:position w:val="-14"/>
        </w:rPr>
        <w:object w:dxaOrig="4260" w:dyaOrig="440">
          <v:shape id="_x0000_i1060" type="#_x0000_t75" style="width:211.8pt;height:21.75pt" o:ole="">
            <v:imagedata r:id="rId81" o:title=""/>
          </v:shape>
          <o:OLEObject Type="Embed" ProgID="Equation.DSMT4" ShapeID="_x0000_i1060" DrawAspect="Content" ObjectID="_1496516709" r:id="rId82"/>
        </w:object>
      </w:r>
      <w:r w:rsidRPr="00FD0B24">
        <w:rPr>
          <w:rFonts w:eastAsiaTheme="minorEastAsia"/>
        </w:rPr>
        <w:t xml:space="preserve"> .</w:t>
      </w:r>
    </w:p>
    <w:p w:rsidR="006F7B4E" w:rsidRDefault="006F7B4E" w:rsidP="00EB1F5B">
      <w:pPr>
        <w:spacing w:line="360" w:lineRule="auto"/>
        <w:rPr>
          <w:rFonts w:eastAsiaTheme="minorEastAsia"/>
        </w:rPr>
      </w:pPr>
      <w:r>
        <w:rPr>
          <w:rFonts w:eastAsiaTheme="minorEastAsia"/>
        </w:rPr>
        <w:t xml:space="preserve">Then from </w:t>
      </w:r>
      <w:r>
        <w:rPr>
          <w:noProof/>
        </w:rPr>
        <w:t>(1, 2)</w:t>
      </w:r>
      <w:r>
        <w:rPr>
          <w:rFonts w:eastAsiaTheme="minorEastAsia"/>
        </w:rPr>
        <w:t xml:space="preserve">, R0 will be the </w:t>
      </w:r>
      <w:r w:rsidR="001E42C4">
        <w:rPr>
          <w:rFonts w:eastAsiaTheme="minorEastAsia"/>
        </w:rPr>
        <w:t>spectral radius</w:t>
      </w:r>
      <w:r>
        <w:rPr>
          <w:rFonts w:eastAsiaTheme="minorEastAsia"/>
        </w:rPr>
        <w:t xml:space="preserve"> of </w:t>
      </w:r>
    </w:p>
    <w:p w:rsidR="006F7B4E" w:rsidRPr="00FD0B24" w:rsidRDefault="006F7B4E" w:rsidP="00EB1F5B">
      <w:pPr>
        <w:pStyle w:val="MTDisplayEquation"/>
        <w:rPr>
          <w:rFonts w:eastAsiaTheme="minorEastAsia"/>
        </w:rPr>
      </w:pPr>
      <w:r>
        <w:tab/>
      </w:r>
      <w:r w:rsidRPr="000F2A0D">
        <w:rPr>
          <w:position w:val="-66"/>
        </w:rPr>
        <w:object w:dxaOrig="8580" w:dyaOrig="1480">
          <v:shape id="_x0000_i1061" type="#_x0000_t75" style="width:429.5pt;height:73.65pt" o:ole="">
            <v:imagedata r:id="rId83" o:title=""/>
          </v:shape>
          <o:OLEObject Type="Embed" ProgID="Equation.DSMT4" ShapeID="_x0000_i1061" DrawAspect="Content" ObjectID="_1496516710" r:id="rId84"/>
        </w:object>
      </w:r>
    </w:p>
    <w:p w:rsidR="006F7B4E" w:rsidRDefault="006F7B4E" w:rsidP="00EB1F5B">
      <w:pPr>
        <w:spacing w:line="360" w:lineRule="auto"/>
        <w:rPr>
          <w:rFonts w:eastAsiaTheme="minorEastAsia"/>
        </w:rPr>
      </w:pPr>
      <w:r>
        <w:rPr>
          <w:rFonts w:eastAsiaTheme="minorEastAsia"/>
        </w:rPr>
        <w:t xml:space="preserve">This was solved numerically in </w:t>
      </w:r>
      <w:proofErr w:type="spellStart"/>
      <w:r>
        <w:rPr>
          <w:rFonts w:eastAsiaTheme="minorEastAsia"/>
        </w:rPr>
        <w:t>Matlab</w:t>
      </w:r>
      <w:proofErr w:type="spellEnd"/>
      <w:r>
        <w:rPr>
          <w:rFonts w:eastAsiaTheme="minorEastAsia"/>
        </w:rPr>
        <w:t xml:space="preserve"> for settings with low (25%), medium (50%) or high (75%) chronic HCV prevalence among PWID—in each setting π is calibrated to a different value (0.0965, 0.1510 and 0.3141 respectively).</w:t>
      </w:r>
    </w:p>
    <w:p w:rsidR="00EB1F5B" w:rsidRPr="00FD0B24" w:rsidRDefault="00EB1F5B" w:rsidP="00EB1F5B">
      <w:pPr>
        <w:spacing w:line="360" w:lineRule="auto"/>
        <w:rPr>
          <w:rFonts w:eastAsiaTheme="minorEastAsia"/>
        </w:rPr>
      </w:pPr>
    </w:p>
    <w:p w:rsidR="006F7B4E" w:rsidRDefault="006F7B4E" w:rsidP="00EB1F5B">
      <w:pPr>
        <w:spacing w:line="360" w:lineRule="auto"/>
        <w:rPr>
          <w:rFonts w:eastAsiaTheme="minorEastAsia"/>
        </w:rPr>
      </w:pPr>
      <w:r>
        <w:rPr>
          <w:rFonts w:eastAsiaTheme="minorEastAsia"/>
        </w:rPr>
        <w:t xml:space="preserve">To determine the proportion of susceptibles that would need to be vaccinated to reduce R0 to below one—and hence have the most substantial effect on the epidemic—the size of each compartment in the disease free equilibrium state is altered to represent some proportion of the susceptible population, ζ, being vaccinated with a vaccine of efficacy ε. Thus </w:t>
      </w:r>
      <w:r w:rsidRPr="000F2A0D">
        <w:rPr>
          <w:position w:val="-14"/>
        </w:rPr>
        <w:object w:dxaOrig="8040" w:dyaOrig="440">
          <v:shape id="_x0000_i1062" type="#_x0000_t75" style="width:401pt;height:21.75pt" o:ole="">
            <v:imagedata r:id="rId85" o:title=""/>
          </v:shape>
          <o:OLEObject Type="Embed" ProgID="Equation.DSMT4" ShapeID="_x0000_i1062" DrawAspect="Content" ObjectID="_1496516711" r:id="rId86"/>
        </w:object>
      </w:r>
      <w:r>
        <w:t>and infections occurring in the components k=11 and k=12 of x must be considered</w:t>
      </w:r>
      <w:r>
        <w:rPr>
          <w:rFonts w:eastAsiaTheme="minorEastAsia"/>
        </w:rPr>
        <w:t xml:space="preserve">; however, since </w:t>
      </w:r>
      <w:proofErr w:type="gramStart"/>
      <w:r>
        <w:rPr>
          <w:rFonts w:eastAsiaTheme="minorEastAsia"/>
        </w:rPr>
        <w:t xml:space="preserve">the </w:t>
      </w:r>
      <w:r w:rsidRPr="00D67D4B">
        <w:rPr>
          <w:position w:val="-10"/>
        </w:rPr>
        <w:object w:dxaOrig="620" w:dyaOrig="380">
          <v:shape id="_x0000_i1063" type="#_x0000_t75" style="width:31pt;height:18.4pt" o:ole="">
            <v:imagedata r:id="rId87" o:title=""/>
          </v:shape>
          <o:OLEObject Type="Embed" ProgID="Equation.DSMT4" ShapeID="_x0000_i1063" DrawAspect="Content" ObjectID="_1496516712" r:id="rId88"/>
        </w:object>
      </w:r>
      <w:r>
        <w:rPr>
          <w:rFonts w:eastAsiaTheme="minorEastAsia"/>
        </w:rPr>
        <w:t xml:space="preserve"> and</w:t>
      </w:r>
      <w:proofErr w:type="gramEnd"/>
      <w:r>
        <w:rPr>
          <w:rFonts w:eastAsiaTheme="minorEastAsia"/>
        </w:rPr>
        <w:t xml:space="preserve"> </w:t>
      </w:r>
      <w:r w:rsidRPr="00D67D4B">
        <w:rPr>
          <w:position w:val="-10"/>
        </w:rPr>
        <w:object w:dxaOrig="660" w:dyaOrig="380">
          <v:shape id="_x0000_i1064" type="#_x0000_t75" style="width:32.65pt;height:18.4pt" o:ole="">
            <v:imagedata r:id="rId89" o:title=""/>
          </v:shape>
          <o:OLEObject Type="Embed" ProgID="Equation.DSMT4" ShapeID="_x0000_i1064" DrawAspect="Content" ObjectID="_1496516713" r:id="rId90"/>
        </w:object>
      </w:r>
      <w:r>
        <w:rPr>
          <w:rFonts w:eastAsiaTheme="minorEastAsia"/>
        </w:rPr>
        <w:t xml:space="preserve"> compartments have identical infection dynamics, they can be added to simplify calculations. We then find ζ such that the </w:t>
      </w:r>
      <w:r w:rsidR="001E42C4">
        <w:rPr>
          <w:rFonts w:eastAsiaTheme="minorEastAsia"/>
        </w:rPr>
        <w:t>spectral radius</w:t>
      </w:r>
      <w:r>
        <w:rPr>
          <w:rFonts w:eastAsiaTheme="minorEastAsia"/>
        </w:rPr>
        <w:t xml:space="preserve"> of</w:t>
      </w:r>
    </w:p>
    <w:p w:rsidR="006F7B4E" w:rsidRDefault="006F7B4E" w:rsidP="00EB1F5B">
      <w:pPr>
        <w:spacing w:line="360" w:lineRule="auto"/>
        <w:jc w:val="center"/>
        <w:rPr>
          <w:rFonts w:eastAsiaTheme="minorEastAsia"/>
        </w:rPr>
      </w:pPr>
      <w:r w:rsidRPr="000F2A0D">
        <w:rPr>
          <w:position w:val="-32"/>
        </w:rPr>
        <w:object w:dxaOrig="4720" w:dyaOrig="800">
          <v:shape id="_x0000_i1065" type="#_x0000_t75" style="width:236.1pt;height:40.2pt" o:ole="">
            <v:imagedata r:id="rId91" o:title=""/>
          </v:shape>
          <o:OLEObject Type="Embed" ProgID="Equation.DSMT4" ShapeID="_x0000_i1065" DrawAspect="Content" ObjectID="_1496516714" r:id="rId92"/>
        </w:object>
      </w:r>
    </w:p>
    <w:p w:rsidR="006F7B4E" w:rsidRPr="00FD0B24" w:rsidRDefault="006F7B4E" w:rsidP="00EB1F5B">
      <w:pPr>
        <w:spacing w:line="360" w:lineRule="auto"/>
        <w:rPr>
          <w:rFonts w:eastAsiaTheme="minorEastAsia"/>
        </w:rPr>
      </w:pPr>
      <w:proofErr w:type="gramStart"/>
      <w:r>
        <w:rPr>
          <w:rFonts w:eastAsiaTheme="minorEastAsia"/>
        </w:rPr>
        <w:t>is</w:t>
      </w:r>
      <w:proofErr w:type="gramEnd"/>
      <w:r>
        <w:rPr>
          <w:rFonts w:eastAsiaTheme="minorEastAsia"/>
        </w:rPr>
        <w:t xml:space="preserve"> less than one. This is equivalent to solving </w:t>
      </w:r>
      <w:proofErr w:type="gramStart"/>
      <w:r>
        <w:rPr>
          <w:rFonts w:eastAsiaTheme="minorEastAsia"/>
        </w:rPr>
        <w:t xml:space="preserve">for </w:t>
      </w:r>
      <w:proofErr w:type="gramEnd"/>
      <w:r w:rsidRPr="00D67D4B">
        <w:rPr>
          <w:position w:val="-10"/>
        </w:rPr>
        <w:object w:dxaOrig="1380" w:dyaOrig="320">
          <v:shape id="_x0000_i1066" type="#_x0000_t75" style="width:68.65pt;height:15.9pt" o:ole="">
            <v:imagedata r:id="rId93" o:title=""/>
          </v:shape>
          <o:OLEObject Type="Embed" ProgID="Equation.DSMT4" ShapeID="_x0000_i1066" DrawAspect="Content" ObjectID="_1496516715" r:id="rId94"/>
        </w:object>
      </w:r>
      <w:r>
        <w:rPr>
          <w:rFonts w:eastAsiaTheme="minorEastAsia"/>
        </w:rPr>
        <w:t xml:space="preserve">, the proportion of the susceptible population who must be </w:t>
      </w:r>
      <w:r w:rsidRPr="00C366AE">
        <w:rPr>
          <w:rFonts w:eastAsiaTheme="minorEastAsia"/>
          <w:i/>
        </w:rPr>
        <w:t>successfully</w:t>
      </w:r>
      <w:r w:rsidR="008A67F7">
        <w:rPr>
          <w:rFonts w:eastAsiaTheme="minorEastAsia"/>
        </w:rPr>
        <w:t xml:space="preserve"> vaccinated</w:t>
      </w:r>
      <w:bookmarkStart w:id="1" w:name="_GoBack"/>
      <w:bookmarkEnd w:id="1"/>
      <w:r>
        <w:rPr>
          <w:rFonts w:eastAsiaTheme="minorEastAsia"/>
        </w:rPr>
        <w:t>.</w:t>
      </w:r>
    </w:p>
    <w:p w:rsidR="006F7B4E" w:rsidRDefault="006F7B4E" w:rsidP="00FD0B24">
      <w:pPr>
        <w:spacing w:line="480" w:lineRule="auto"/>
        <w:rPr>
          <w:rFonts w:eastAsiaTheme="minorEastAsia"/>
        </w:rPr>
      </w:pPr>
    </w:p>
    <w:p w:rsidR="006F7B4E" w:rsidRPr="00FD0B24" w:rsidRDefault="006F7B4E" w:rsidP="00C366AE">
      <w:pPr>
        <w:pStyle w:val="MTDisplayEquation"/>
      </w:pPr>
      <w:r w:rsidRPr="00C366AE">
        <w:rPr>
          <w:b/>
        </w:rPr>
        <w:t>References</w:t>
      </w:r>
    </w:p>
    <w:p w:rsidR="006F7B4E" w:rsidRPr="001529ED" w:rsidRDefault="006F7B4E" w:rsidP="001529ED">
      <w:pPr>
        <w:spacing w:after="0" w:line="240" w:lineRule="auto"/>
        <w:rPr>
          <w:rFonts w:ascii="Calibri" w:hAnsi="Calibri"/>
          <w:noProof/>
        </w:rPr>
      </w:pPr>
      <w:bookmarkStart w:id="2" w:name="_ENREF_1"/>
      <w:r w:rsidRPr="001529ED">
        <w:rPr>
          <w:rFonts w:ascii="Calibri" w:hAnsi="Calibri"/>
          <w:noProof/>
        </w:rPr>
        <w:t>1.</w:t>
      </w:r>
      <w:r w:rsidRPr="001529ED">
        <w:rPr>
          <w:rFonts w:ascii="Calibri" w:hAnsi="Calibri"/>
          <w:noProof/>
        </w:rPr>
        <w:tab/>
        <w:t>Diekmann O, Heesterbeek J, Metz JA. On the definition and the computation of the basic reproduction ratio R 0 in models for infectious diseases in heterogeneous populations. Journal of mathematical biology 1990;28:365-382.</w:t>
      </w:r>
      <w:bookmarkEnd w:id="2"/>
    </w:p>
    <w:p w:rsidR="006F7B4E" w:rsidRPr="001529ED" w:rsidRDefault="006F7B4E" w:rsidP="001529ED">
      <w:pPr>
        <w:spacing w:after="0" w:line="240" w:lineRule="auto"/>
        <w:rPr>
          <w:rFonts w:ascii="Calibri" w:hAnsi="Calibri"/>
          <w:noProof/>
        </w:rPr>
      </w:pPr>
      <w:bookmarkStart w:id="3" w:name="_ENREF_2"/>
      <w:r w:rsidRPr="001529ED">
        <w:rPr>
          <w:rFonts w:ascii="Calibri" w:hAnsi="Calibri"/>
          <w:noProof/>
        </w:rPr>
        <w:t>2.</w:t>
      </w:r>
      <w:r w:rsidRPr="001529ED">
        <w:rPr>
          <w:rFonts w:ascii="Calibri" w:hAnsi="Calibri"/>
          <w:noProof/>
        </w:rPr>
        <w:tab/>
        <w:t>Van den Driessche P, Watmough J. Reproduction numbers and sub-threshold endemic equilibria for compartmental models of disease transmission. Mathematical biosciences 2002;180:29-48.</w:t>
      </w:r>
      <w:bookmarkEnd w:id="3"/>
    </w:p>
    <w:p w:rsidR="009A6095" w:rsidRDefault="009A6095"/>
    <w:sectPr w:rsidR="009A6095" w:rsidSect="00091FA9">
      <w:headerReference w:type="default" r:id="rId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1C5" w:rsidRDefault="005B51C5">
      <w:pPr>
        <w:spacing w:after="0" w:line="240" w:lineRule="auto"/>
      </w:pPr>
      <w:r>
        <w:separator/>
      </w:r>
    </w:p>
  </w:endnote>
  <w:endnote w:type="continuationSeparator" w:id="0">
    <w:p w:rsidR="005B51C5" w:rsidRDefault="005B5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1C5" w:rsidRDefault="005B51C5">
      <w:pPr>
        <w:spacing w:after="0" w:line="240" w:lineRule="auto"/>
      </w:pPr>
      <w:r>
        <w:separator/>
      </w:r>
    </w:p>
  </w:footnote>
  <w:footnote w:type="continuationSeparator" w:id="0">
    <w:p w:rsidR="005B51C5" w:rsidRDefault="005B51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981325"/>
      <w:docPartObj>
        <w:docPartGallery w:val="Page Numbers (Top of Page)"/>
        <w:docPartUnique/>
      </w:docPartObj>
    </w:sdtPr>
    <w:sdtEndPr>
      <w:rPr>
        <w:noProof/>
      </w:rPr>
    </w:sdtEndPr>
    <w:sdtContent>
      <w:p w:rsidR="0092294B" w:rsidRDefault="008E0412">
        <w:pPr>
          <w:pStyle w:val="Header"/>
          <w:jc w:val="right"/>
        </w:pPr>
        <w:r>
          <w:fldChar w:fldCharType="begin"/>
        </w:r>
        <w:r>
          <w:instrText xml:space="preserve"> PAGE   \* MERGEFORMAT </w:instrText>
        </w:r>
        <w:r>
          <w:fldChar w:fldCharType="separate"/>
        </w:r>
        <w:r w:rsidR="008A67F7">
          <w:rPr>
            <w:noProof/>
          </w:rPr>
          <w:t>9</w:t>
        </w:r>
        <w:r>
          <w:rPr>
            <w:noProof/>
          </w:rPr>
          <w:fldChar w:fldCharType="end"/>
        </w:r>
      </w:p>
    </w:sdtContent>
  </w:sdt>
  <w:p w:rsidR="0092294B" w:rsidRDefault="005B51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3BCD1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DB079A"/>
    <w:multiLevelType w:val="hybridMultilevel"/>
    <w:tmpl w:val="8BD27A7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nsid w:val="0FBE2D5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D76DE1"/>
    <w:multiLevelType w:val="hybridMultilevel"/>
    <w:tmpl w:val="44D86F94"/>
    <w:lvl w:ilvl="0" w:tplc="F830F5C4">
      <w:start w:val="1"/>
      <w:numFmt w:val="upperLetter"/>
      <w:lvlText w:val="Appendix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AD646B1"/>
    <w:multiLevelType w:val="hybridMultilevel"/>
    <w:tmpl w:val="AD96EC3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AF324B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2640BC"/>
    <w:multiLevelType w:val="hybridMultilevel"/>
    <w:tmpl w:val="69E05508"/>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5F64D7F"/>
    <w:multiLevelType w:val="multilevel"/>
    <w:tmpl w:val="51B60AC8"/>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7BF486D"/>
    <w:multiLevelType w:val="hybridMultilevel"/>
    <w:tmpl w:val="6532B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69503B1"/>
    <w:multiLevelType w:val="hybridMultilevel"/>
    <w:tmpl w:val="ABCC4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CCB4A7B"/>
    <w:multiLevelType w:val="hybridMultilevel"/>
    <w:tmpl w:val="AAF29A42"/>
    <w:lvl w:ilvl="0" w:tplc="F6642054">
      <w:start w:val="1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6E197B"/>
    <w:multiLevelType w:val="hybridMultilevel"/>
    <w:tmpl w:val="78FE3C8C"/>
    <w:lvl w:ilvl="0" w:tplc="0C09000F">
      <w:start w:val="1"/>
      <w:numFmt w:val="decimal"/>
      <w:lvlText w:val="%1."/>
      <w:lvlJc w:val="left"/>
      <w:pPr>
        <w:ind w:left="774" w:hanging="360"/>
      </w:pPr>
      <w:rPr>
        <w:rFonts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2">
    <w:nsid w:val="516B4DAE"/>
    <w:multiLevelType w:val="multilevel"/>
    <w:tmpl w:val="8BEC3F84"/>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FD83EA9"/>
    <w:multiLevelType w:val="hybridMultilevel"/>
    <w:tmpl w:val="49F4ABC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25361A7"/>
    <w:multiLevelType w:val="hybridMultilevel"/>
    <w:tmpl w:val="1DD871C8"/>
    <w:lvl w:ilvl="0" w:tplc="0C09000F">
      <w:start w:val="1"/>
      <w:numFmt w:val="decimal"/>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15">
    <w:nsid w:val="66AF24C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F9351C"/>
    <w:multiLevelType w:val="hybridMultilevel"/>
    <w:tmpl w:val="53F0A3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7A4A29ED"/>
    <w:multiLevelType w:val="hybridMultilevel"/>
    <w:tmpl w:val="6E1484F2"/>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7B966DF4"/>
    <w:multiLevelType w:val="hybridMultilevel"/>
    <w:tmpl w:val="D35A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18"/>
  </w:num>
  <w:num w:numId="5">
    <w:abstractNumId w:val="14"/>
  </w:num>
  <w:num w:numId="6">
    <w:abstractNumId w:val="9"/>
  </w:num>
  <w:num w:numId="7">
    <w:abstractNumId w:val="13"/>
  </w:num>
  <w:num w:numId="8">
    <w:abstractNumId w:val="6"/>
  </w:num>
  <w:num w:numId="9">
    <w:abstractNumId w:val="15"/>
  </w:num>
  <w:num w:numId="10">
    <w:abstractNumId w:val="5"/>
  </w:num>
  <w:num w:numId="11">
    <w:abstractNumId w:val="17"/>
  </w:num>
  <w:num w:numId="12">
    <w:abstractNumId w:val="2"/>
  </w:num>
  <w:num w:numId="13">
    <w:abstractNumId w:val="12"/>
  </w:num>
  <w:num w:numId="14">
    <w:abstractNumId w:val="7"/>
  </w:num>
  <w:num w:numId="15">
    <w:abstractNumId w:val="10"/>
  </w:num>
  <w:num w:numId="16">
    <w:abstractNumId w:val="0"/>
  </w:num>
  <w:num w:numId="17">
    <w:abstractNumId w:val="16"/>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F7B4E"/>
    <w:rsid w:val="000B5BBD"/>
    <w:rsid w:val="000E55C5"/>
    <w:rsid w:val="000F6202"/>
    <w:rsid w:val="00157FB0"/>
    <w:rsid w:val="001D6429"/>
    <w:rsid w:val="001E42C4"/>
    <w:rsid w:val="0042445A"/>
    <w:rsid w:val="004947DD"/>
    <w:rsid w:val="005B51C5"/>
    <w:rsid w:val="006F7B4E"/>
    <w:rsid w:val="007A2B1D"/>
    <w:rsid w:val="007F4434"/>
    <w:rsid w:val="00816FC6"/>
    <w:rsid w:val="008724F4"/>
    <w:rsid w:val="00891B16"/>
    <w:rsid w:val="008A4C7A"/>
    <w:rsid w:val="008A67F7"/>
    <w:rsid w:val="008E0412"/>
    <w:rsid w:val="00980DD3"/>
    <w:rsid w:val="009A6095"/>
    <w:rsid w:val="009E03FB"/>
    <w:rsid w:val="00A66BA6"/>
    <w:rsid w:val="00A70716"/>
    <w:rsid w:val="00A70A56"/>
    <w:rsid w:val="00C366AE"/>
    <w:rsid w:val="00C76545"/>
    <w:rsid w:val="00CA428B"/>
    <w:rsid w:val="00CC148E"/>
    <w:rsid w:val="00CC4742"/>
    <w:rsid w:val="00D81A87"/>
    <w:rsid w:val="00DB1123"/>
    <w:rsid w:val="00E76440"/>
    <w:rsid w:val="00EB1F5B"/>
    <w:rsid w:val="00EB25DA"/>
    <w:rsid w:val="00F45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4E"/>
  </w:style>
  <w:style w:type="paragraph" w:styleId="Heading1">
    <w:name w:val="heading 1"/>
    <w:basedOn w:val="Normal"/>
    <w:next w:val="Normal"/>
    <w:link w:val="Heading1Char"/>
    <w:uiPriority w:val="9"/>
    <w:qFormat/>
    <w:rsid w:val="006F7B4E"/>
    <w:pPr>
      <w:keepNext/>
      <w:keepLines/>
      <w:spacing w:before="480" w:after="0"/>
      <w:outlineLvl w:val="0"/>
    </w:pPr>
    <w:rPr>
      <w:rFonts w:eastAsiaTheme="majorEastAsia" w:cstheme="majorBidi"/>
      <w:b/>
      <w:bCs/>
      <w:sz w:val="24"/>
      <w:szCs w:val="26"/>
    </w:rPr>
  </w:style>
  <w:style w:type="paragraph" w:styleId="Heading2">
    <w:name w:val="heading 2"/>
    <w:basedOn w:val="Heading3"/>
    <w:next w:val="Normal"/>
    <w:link w:val="Heading2Char"/>
    <w:uiPriority w:val="9"/>
    <w:unhideWhenUsed/>
    <w:qFormat/>
    <w:rsid w:val="006F7B4E"/>
    <w:pPr>
      <w:numPr>
        <w:ilvl w:val="1"/>
        <w:numId w:val="13"/>
      </w:numPr>
      <w:spacing w:after="120"/>
      <w:ind w:left="431" w:hanging="431"/>
      <w:outlineLvl w:val="1"/>
    </w:pPr>
    <w:rPr>
      <w:rFonts w:asciiTheme="minorHAnsi" w:hAnsiTheme="minorHAnsi"/>
      <w:b w:val="0"/>
      <w:i/>
      <w:color w:val="auto"/>
      <w:u w:val="single"/>
    </w:rPr>
  </w:style>
  <w:style w:type="paragraph" w:styleId="Heading3">
    <w:name w:val="heading 3"/>
    <w:basedOn w:val="Normal"/>
    <w:next w:val="Normal"/>
    <w:link w:val="Heading3Char"/>
    <w:uiPriority w:val="9"/>
    <w:unhideWhenUsed/>
    <w:qFormat/>
    <w:rsid w:val="006F7B4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Appendix 1"/>
    <w:basedOn w:val="Heading1"/>
    <w:next w:val="Normal"/>
    <w:link w:val="Heading5Char"/>
    <w:uiPriority w:val="9"/>
    <w:unhideWhenUsed/>
    <w:qFormat/>
    <w:rsid w:val="006F7B4E"/>
    <w:pPr>
      <w:ind w:left="720" w:hanging="3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Appendix 1 Char"/>
    <w:basedOn w:val="DefaultParagraphFont"/>
    <w:link w:val="Heading5"/>
    <w:uiPriority w:val="9"/>
    <w:rsid w:val="006F7B4E"/>
    <w:rPr>
      <w:rFonts w:eastAsiaTheme="majorEastAsia" w:cstheme="majorBidi"/>
      <w:b/>
      <w:bCs/>
      <w:sz w:val="24"/>
      <w:szCs w:val="26"/>
    </w:rPr>
  </w:style>
  <w:style w:type="character" w:customStyle="1" w:styleId="Heading1Char">
    <w:name w:val="Heading 1 Char"/>
    <w:basedOn w:val="DefaultParagraphFont"/>
    <w:link w:val="Heading1"/>
    <w:uiPriority w:val="9"/>
    <w:rsid w:val="006F7B4E"/>
    <w:rPr>
      <w:rFonts w:eastAsiaTheme="majorEastAsia" w:cstheme="majorBidi"/>
      <w:b/>
      <w:bCs/>
      <w:sz w:val="24"/>
      <w:szCs w:val="26"/>
    </w:rPr>
  </w:style>
  <w:style w:type="character" w:customStyle="1" w:styleId="Heading2Char">
    <w:name w:val="Heading 2 Char"/>
    <w:basedOn w:val="DefaultParagraphFont"/>
    <w:link w:val="Heading2"/>
    <w:uiPriority w:val="9"/>
    <w:rsid w:val="006F7B4E"/>
    <w:rPr>
      <w:rFonts w:eastAsiaTheme="majorEastAsia" w:cstheme="majorBidi"/>
      <w:bCs/>
      <w:i/>
      <w:u w:val="single"/>
    </w:rPr>
  </w:style>
  <w:style w:type="character" w:customStyle="1" w:styleId="Heading3Char">
    <w:name w:val="Heading 3 Char"/>
    <w:basedOn w:val="DefaultParagraphFont"/>
    <w:link w:val="Heading3"/>
    <w:uiPriority w:val="9"/>
    <w:rsid w:val="006F7B4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6F7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B4E"/>
    <w:rPr>
      <w:rFonts w:ascii="Tahoma" w:hAnsi="Tahoma" w:cs="Tahoma"/>
      <w:sz w:val="16"/>
      <w:szCs w:val="16"/>
    </w:rPr>
  </w:style>
  <w:style w:type="character" w:styleId="Hyperlink">
    <w:name w:val="Hyperlink"/>
    <w:basedOn w:val="DefaultParagraphFont"/>
    <w:uiPriority w:val="99"/>
    <w:unhideWhenUsed/>
    <w:rsid w:val="006F7B4E"/>
    <w:rPr>
      <w:color w:val="0000FF" w:themeColor="hyperlink"/>
      <w:u w:val="single"/>
    </w:rPr>
  </w:style>
  <w:style w:type="table" w:styleId="TableGrid">
    <w:name w:val="Table Grid"/>
    <w:basedOn w:val="TableNormal"/>
    <w:uiPriority w:val="59"/>
    <w:rsid w:val="006F7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7B4E"/>
    <w:pPr>
      <w:spacing w:line="240" w:lineRule="auto"/>
    </w:pPr>
    <w:rPr>
      <w:b/>
      <w:bCs/>
      <w:color w:val="4F81BD" w:themeColor="accent1"/>
      <w:sz w:val="18"/>
      <w:szCs w:val="18"/>
    </w:rPr>
  </w:style>
  <w:style w:type="paragraph" w:styleId="ListParagraph">
    <w:name w:val="List Paragraph"/>
    <w:basedOn w:val="Normal"/>
    <w:uiPriority w:val="34"/>
    <w:qFormat/>
    <w:rsid w:val="006F7B4E"/>
    <w:pPr>
      <w:ind w:left="720"/>
      <w:contextualSpacing/>
    </w:pPr>
    <w:rPr>
      <w:lang w:val="en-GB"/>
    </w:rPr>
  </w:style>
  <w:style w:type="character" w:styleId="PlaceholderText">
    <w:name w:val="Placeholder Text"/>
    <w:basedOn w:val="DefaultParagraphFont"/>
    <w:uiPriority w:val="99"/>
    <w:semiHidden/>
    <w:rsid w:val="006F7B4E"/>
    <w:rPr>
      <w:color w:val="808080"/>
    </w:rPr>
  </w:style>
  <w:style w:type="character" w:styleId="CommentReference">
    <w:name w:val="annotation reference"/>
    <w:basedOn w:val="DefaultParagraphFont"/>
    <w:uiPriority w:val="99"/>
    <w:semiHidden/>
    <w:unhideWhenUsed/>
    <w:rsid w:val="006F7B4E"/>
    <w:rPr>
      <w:sz w:val="16"/>
      <w:szCs w:val="16"/>
    </w:rPr>
  </w:style>
  <w:style w:type="paragraph" w:styleId="CommentText">
    <w:name w:val="annotation text"/>
    <w:basedOn w:val="Normal"/>
    <w:link w:val="CommentTextChar"/>
    <w:uiPriority w:val="99"/>
    <w:semiHidden/>
    <w:unhideWhenUsed/>
    <w:rsid w:val="006F7B4E"/>
    <w:pPr>
      <w:spacing w:line="240" w:lineRule="auto"/>
    </w:pPr>
    <w:rPr>
      <w:sz w:val="20"/>
      <w:szCs w:val="20"/>
    </w:rPr>
  </w:style>
  <w:style w:type="character" w:customStyle="1" w:styleId="CommentTextChar">
    <w:name w:val="Comment Text Char"/>
    <w:basedOn w:val="DefaultParagraphFont"/>
    <w:link w:val="CommentText"/>
    <w:uiPriority w:val="99"/>
    <w:semiHidden/>
    <w:rsid w:val="006F7B4E"/>
    <w:rPr>
      <w:sz w:val="20"/>
      <w:szCs w:val="20"/>
    </w:rPr>
  </w:style>
  <w:style w:type="paragraph" w:styleId="CommentSubject">
    <w:name w:val="annotation subject"/>
    <w:basedOn w:val="CommentText"/>
    <w:next w:val="CommentText"/>
    <w:link w:val="CommentSubjectChar"/>
    <w:uiPriority w:val="99"/>
    <w:semiHidden/>
    <w:unhideWhenUsed/>
    <w:rsid w:val="006F7B4E"/>
    <w:rPr>
      <w:b/>
      <w:bCs/>
    </w:rPr>
  </w:style>
  <w:style w:type="character" w:customStyle="1" w:styleId="CommentSubjectChar">
    <w:name w:val="Comment Subject Char"/>
    <w:basedOn w:val="CommentTextChar"/>
    <w:link w:val="CommentSubject"/>
    <w:uiPriority w:val="99"/>
    <w:semiHidden/>
    <w:rsid w:val="006F7B4E"/>
    <w:rPr>
      <w:b/>
      <w:bCs/>
      <w:sz w:val="20"/>
      <w:szCs w:val="20"/>
    </w:rPr>
  </w:style>
  <w:style w:type="paragraph" w:styleId="Revision">
    <w:name w:val="Revision"/>
    <w:hidden/>
    <w:uiPriority w:val="99"/>
    <w:semiHidden/>
    <w:rsid w:val="006F7B4E"/>
    <w:pPr>
      <w:spacing w:after="0" w:line="240" w:lineRule="auto"/>
    </w:pPr>
  </w:style>
  <w:style w:type="paragraph" w:styleId="Header">
    <w:name w:val="header"/>
    <w:basedOn w:val="Normal"/>
    <w:link w:val="HeaderChar"/>
    <w:uiPriority w:val="99"/>
    <w:unhideWhenUsed/>
    <w:rsid w:val="006F7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B4E"/>
  </w:style>
  <w:style w:type="paragraph" w:styleId="Footer">
    <w:name w:val="footer"/>
    <w:basedOn w:val="Normal"/>
    <w:link w:val="FooterChar"/>
    <w:uiPriority w:val="99"/>
    <w:unhideWhenUsed/>
    <w:rsid w:val="006F7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B4E"/>
  </w:style>
  <w:style w:type="character" w:styleId="FollowedHyperlink">
    <w:name w:val="FollowedHyperlink"/>
    <w:basedOn w:val="DefaultParagraphFont"/>
    <w:uiPriority w:val="99"/>
    <w:semiHidden/>
    <w:unhideWhenUsed/>
    <w:rsid w:val="006F7B4E"/>
    <w:rPr>
      <w:color w:val="800080" w:themeColor="followedHyperlink"/>
      <w:u w:val="single"/>
    </w:rPr>
  </w:style>
  <w:style w:type="paragraph" w:styleId="EndnoteText">
    <w:name w:val="endnote text"/>
    <w:basedOn w:val="Normal"/>
    <w:link w:val="EndnoteTextChar"/>
    <w:uiPriority w:val="99"/>
    <w:semiHidden/>
    <w:unhideWhenUsed/>
    <w:rsid w:val="006F7B4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7B4E"/>
    <w:rPr>
      <w:sz w:val="20"/>
      <w:szCs w:val="20"/>
    </w:rPr>
  </w:style>
  <w:style w:type="character" w:styleId="EndnoteReference">
    <w:name w:val="endnote reference"/>
    <w:basedOn w:val="DefaultParagraphFont"/>
    <w:uiPriority w:val="99"/>
    <w:semiHidden/>
    <w:unhideWhenUsed/>
    <w:rsid w:val="006F7B4E"/>
    <w:rPr>
      <w:vertAlign w:val="superscript"/>
    </w:rPr>
  </w:style>
  <w:style w:type="paragraph" w:styleId="NoSpacing">
    <w:name w:val="No Spacing"/>
    <w:uiPriority w:val="1"/>
    <w:qFormat/>
    <w:rsid w:val="006F7B4E"/>
    <w:pPr>
      <w:spacing w:after="0" w:line="240" w:lineRule="auto"/>
    </w:pPr>
  </w:style>
  <w:style w:type="paragraph" w:customStyle="1" w:styleId="MTDisplayEquation">
    <w:name w:val="MTDisplayEquation"/>
    <w:basedOn w:val="Normal"/>
    <w:next w:val="Normal"/>
    <w:link w:val="MTDisplayEquationChar"/>
    <w:rsid w:val="006F7B4E"/>
    <w:pPr>
      <w:tabs>
        <w:tab w:val="center" w:pos="4520"/>
        <w:tab w:val="right" w:pos="9020"/>
      </w:tabs>
      <w:spacing w:line="360" w:lineRule="auto"/>
    </w:pPr>
  </w:style>
  <w:style w:type="character" w:customStyle="1" w:styleId="MTDisplayEquationChar">
    <w:name w:val="MTDisplayEquation Char"/>
    <w:basedOn w:val="DefaultParagraphFont"/>
    <w:link w:val="MTDisplayEquation"/>
    <w:rsid w:val="006F7B4E"/>
  </w:style>
  <w:style w:type="character" w:customStyle="1" w:styleId="MTConvertedEquation">
    <w:name w:val="MTConvertedEquation"/>
    <w:basedOn w:val="DefaultParagraphFont"/>
    <w:rsid w:val="006F7B4E"/>
    <w:rPr>
      <w:rFonts w:ascii="Cambria Math" w:hAnsi="Cambria Math"/>
      <w:i/>
    </w:rPr>
  </w:style>
  <w:style w:type="paragraph" w:styleId="ListBullet">
    <w:name w:val="List Bullet"/>
    <w:basedOn w:val="Normal"/>
    <w:uiPriority w:val="99"/>
    <w:unhideWhenUsed/>
    <w:rsid w:val="006F7B4E"/>
    <w:pPr>
      <w:numPr>
        <w:numId w:val="1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4E"/>
  </w:style>
  <w:style w:type="paragraph" w:styleId="Heading1">
    <w:name w:val="heading 1"/>
    <w:basedOn w:val="Normal"/>
    <w:next w:val="Normal"/>
    <w:link w:val="Heading1Char"/>
    <w:uiPriority w:val="9"/>
    <w:qFormat/>
    <w:rsid w:val="006F7B4E"/>
    <w:pPr>
      <w:keepNext/>
      <w:keepLines/>
      <w:spacing w:before="480" w:after="0"/>
      <w:outlineLvl w:val="0"/>
    </w:pPr>
    <w:rPr>
      <w:rFonts w:eastAsiaTheme="majorEastAsia" w:cstheme="majorBidi"/>
      <w:b/>
      <w:bCs/>
      <w:sz w:val="24"/>
      <w:szCs w:val="26"/>
    </w:rPr>
  </w:style>
  <w:style w:type="paragraph" w:styleId="Heading2">
    <w:name w:val="heading 2"/>
    <w:basedOn w:val="Heading3"/>
    <w:next w:val="Normal"/>
    <w:link w:val="Heading2Char"/>
    <w:uiPriority w:val="9"/>
    <w:unhideWhenUsed/>
    <w:qFormat/>
    <w:rsid w:val="006F7B4E"/>
    <w:pPr>
      <w:numPr>
        <w:ilvl w:val="1"/>
        <w:numId w:val="13"/>
      </w:numPr>
      <w:spacing w:after="120"/>
      <w:ind w:left="431" w:hanging="431"/>
      <w:outlineLvl w:val="1"/>
    </w:pPr>
    <w:rPr>
      <w:rFonts w:asciiTheme="minorHAnsi" w:hAnsiTheme="minorHAnsi"/>
      <w:b w:val="0"/>
      <w:i/>
      <w:color w:val="auto"/>
      <w:u w:val="single"/>
    </w:rPr>
  </w:style>
  <w:style w:type="paragraph" w:styleId="Heading3">
    <w:name w:val="heading 3"/>
    <w:basedOn w:val="Normal"/>
    <w:next w:val="Normal"/>
    <w:link w:val="Heading3Char"/>
    <w:uiPriority w:val="9"/>
    <w:unhideWhenUsed/>
    <w:qFormat/>
    <w:rsid w:val="006F7B4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Appendix 1"/>
    <w:basedOn w:val="Heading1"/>
    <w:next w:val="Normal"/>
    <w:link w:val="Heading5Char"/>
    <w:uiPriority w:val="9"/>
    <w:unhideWhenUsed/>
    <w:qFormat/>
    <w:rsid w:val="006F7B4E"/>
    <w:pPr>
      <w:ind w:left="720" w:hanging="3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Appendix 1 Char"/>
    <w:basedOn w:val="DefaultParagraphFont"/>
    <w:link w:val="Heading5"/>
    <w:uiPriority w:val="9"/>
    <w:rsid w:val="006F7B4E"/>
    <w:rPr>
      <w:rFonts w:eastAsiaTheme="majorEastAsia" w:cstheme="majorBidi"/>
      <w:b/>
      <w:bCs/>
      <w:sz w:val="24"/>
      <w:szCs w:val="26"/>
    </w:rPr>
  </w:style>
  <w:style w:type="character" w:customStyle="1" w:styleId="Heading1Char">
    <w:name w:val="Heading 1 Char"/>
    <w:basedOn w:val="DefaultParagraphFont"/>
    <w:link w:val="Heading1"/>
    <w:uiPriority w:val="9"/>
    <w:rsid w:val="006F7B4E"/>
    <w:rPr>
      <w:rFonts w:eastAsiaTheme="majorEastAsia" w:cstheme="majorBidi"/>
      <w:b/>
      <w:bCs/>
      <w:sz w:val="24"/>
      <w:szCs w:val="26"/>
    </w:rPr>
  </w:style>
  <w:style w:type="character" w:customStyle="1" w:styleId="Heading2Char">
    <w:name w:val="Heading 2 Char"/>
    <w:basedOn w:val="DefaultParagraphFont"/>
    <w:link w:val="Heading2"/>
    <w:uiPriority w:val="9"/>
    <w:rsid w:val="006F7B4E"/>
    <w:rPr>
      <w:rFonts w:eastAsiaTheme="majorEastAsia" w:cstheme="majorBidi"/>
      <w:bCs/>
      <w:i/>
      <w:u w:val="single"/>
    </w:rPr>
  </w:style>
  <w:style w:type="character" w:customStyle="1" w:styleId="Heading3Char">
    <w:name w:val="Heading 3 Char"/>
    <w:basedOn w:val="DefaultParagraphFont"/>
    <w:link w:val="Heading3"/>
    <w:uiPriority w:val="9"/>
    <w:rsid w:val="006F7B4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6F7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B4E"/>
    <w:rPr>
      <w:rFonts w:ascii="Tahoma" w:hAnsi="Tahoma" w:cs="Tahoma"/>
      <w:sz w:val="16"/>
      <w:szCs w:val="16"/>
    </w:rPr>
  </w:style>
  <w:style w:type="character" w:styleId="Hyperlink">
    <w:name w:val="Hyperlink"/>
    <w:basedOn w:val="DefaultParagraphFont"/>
    <w:uiPriority w:val="99"/>
    <w:unhideWhenUsed/>
    <w:rsid w:val="006F7B4E"/>
    <w:rPr>
      <w:color w:val="0000FF" w:themeColor="hyperlink"/>
      <w:u w:val="single"/>
    </w:rPr>
  </w:style>
  <w:style w:type="table" w:styleId="TableGrid">
    <w:name w:val="Table Grid"/>
    <w:basedOn w:val="TableNormal"/>
    <w:uiPriority w:val="59"/>
    <w:rsid w:val="006F7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7B4E"/>
    <w:pPr>
      <w:spacing w:line="240" w:lineRule="auto"/>
    </w:pPr>
    <w:rPr>
      <w:b/>
      <w:bCs/>
      <w:color w:val="4F81BD" w:themeColor="accent1"/>
      <w:sz w:val="18"/>
      <w:szCs w:val="18"/>
    </w:rPr>
  </w:style>
  <w:style w:type="paragraph" w:styleId="ListParagraph">
    <w:name w:val="List Paragraph"/>
    <w:basedOn w:val="Normal"/>
    <w:uiPriority w:val="34"/>
    <w:qFormat/>
    <w:rsid w:val="006F7B4E"/>
    <w:pPr>
      <w:ind w:left="720"/>
      <w:contextualSpacing/>
    </w:pPr>
    <w:rPr>
      <w:lang w:val="en-GB"/>
    </w:rPr>
  </w:style>
  <w:style w:type="character" w:styleId="PlaceholderText">
    <w:name w:val="Placeholder Text"/>
    <w:basedOn w:val="DefaultParagraphFont"/>
    <w:uiPriority w:val="99"/>
    <w:semiHidden/>
    <w:rsid w:val="006F7B4E"/>
    <w:rPr>
      <w:color w:val="808080"/>
    </w:rPr>
  </w:style>
  <w:style w:type="character" w:styleId="CommentReference">
    <w:name w:val="annotation reference"/>
    <w:basedOn w:val="DefaultParagraphFont"/>
    <w:uiPriority w:val="99"/>
    <w:semiHidden/>
    <w:unhideWhenUsed/>
    <w:rsid w:val="006F7B4E"/>
    <w:rPr>
      <w:sz w:val="16"/>
      <w:szCs w:val="16"/>
    </w:rPr>
  </w:style>
  <w:style w:type="paragraph" w:styleId="CommentText">
    <w:name w:val="annotation text"/>
    <w:basedOn w:val="Normal"/>
    <w:link w:val="CommentTextChar"/>
    <w:uiPriority w:val="99"/>
    <w:semiHidden/>
    <w:unhideWhenUsed/>
    <w:rsid w:val="006F7B4E"/>
    <w:pPr>
      <w:spacing w:line="240" w:lineRule="auto"/>
    </w:pPr>
    <w:rPr>
      <w:sz w:val="20"/>
      <w:szCs w:val="20"/>
    </w:rPr>
  </w:style>
  <w:style w:type="character" w:customStyle="1" w:styleId="CommentTextChar">
    <w:name w:val="Comment Text Char"/>
    <w:basedOn w:val="DefaultParagraphFont"/>
    <w:link w:val="CommentText"/>
    <w:uiPriority w:val="99"/>
    <w:semiHidden/>
    <w:rsid w:val="006F7B4E"/>
    <w:rPr>
      <w:sz w:val="20"/>
      <w:szCs w:val="20"/>
    </w:rPr>
  </w:style>
  <w:style w:type="paragraph" w:styleId="CommentSubject">
    <w:name w:val="annotation subject"/>
    <w:basedOn w:val="CommentText"/>
    <w:next w:val="CommentText"/>
    <w:link w:val="CommentSubjectChar"/>
    <w:uiPriority w:val="99"/>
    <w:semiHidden/>
    <w:unhideWhenUsed/>
    <w:rsid w:val="006F7B4E"/>
    <w:rPr>
      <w:b/>
      <w:bCs/>
    </w:rPr>
  </w:style>
  <w:style w:type="character" w:customStyle="1" w:styleId="CommentSubjectChar">
    <w:name w:val="Comment Subject Char"/>
    <w:basedOn w:val="CommentTextChar"/>
    <w:link w:val="CommentSubject"/>
    <w:uiPriority w:val="99"/>
    <w:semiHidden/>
    <w:rsid w:val="006F7B4E"/>
    <w:rPr>
      <w:b/>
      <w:bCs/>
      <w:sz w:val="20"/>
      <w:szCs w:val="20"/>
    </w:rPr>
  </w:style>
  <w:style w:type="paragraph" w:styleId="Revision">
    <w:name w:val="Revision"/>
    <w:hidden/>
    <w:uiPriority w:val="99"/>
    <w:semiHidden/>
    <w:rsid w:val="006F7B4E"/>
    <w:pPr>
      <w:spacing w:after="0" w:line="240" w:lineRule="auto"/>
    </w:pPr>
  </w:style>
  <w:style w:type="paragraph" w:styleId="Header">
    <w:name w:val="header"/>
    <w:basedOn w:val="Normal"/>
    <w:link w:val="HeaderChar"/>
    <w:uiPriority w:val="99"/>
    <w:unhideWhenUsed/>
    <w:rsid w:val="006F7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B4E"/>
  </w:style>
  <w:style w:type="paragraph" w:styleId="Footer">
    <w:name w:val="footer"/>
    <w:basedOn w:val="Normal"/>
    <w:link w:val="FooterChar"/>
    <w:uiPriority w:val="99"/>
    <w:unhideWhenUsed/>
    <w:rsid w:val="006F7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B4E"/>
  </w:style>
  <w:style w:type="character" w:styleId="FollowedHyperlink">
    <w:name w:val="FollowedHyperlink"/>
    <w:basedOn w:val="DefaultParagraphFont"/>
    <w:uiPriority w:val="99"/>
    <w:semiHidden/>
    <w:unhideWhenUsed/>
    <w:rsid w:val="006F7B4E"/>
    <w:rPr>
      <w:color w:val="800080" w:themeColor="followedHyperlink"/>
      <w:u w:val="single"/>
    </w:rPr>
  </w:style>
  <w:style w:type="paragraph" w:styleId="EndnoteText">
    <w:name w:val="endnote text"/>
    <w:basedOn w:val="Normal"/>
    <w:link w:val="EndnoteTextChar"/>
    <w:uiPriority w:val="99"/>
    <w:semiHidden/>
    <w:unhideWhenUsed/>
    <w:rsid w:val="006F7B4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7B4E"/>
    <w:rPr>
      <w:sz w:val="20"/>
      <w:szCs w:val="20"/>
    </w:rPr>
  </w:style>
  <w:style w:type="character" w:styleId="EndnoteReference">
    <w:name w:val="endnote reference"/>
    <w:basedOn w:val="DefaultParagraphFont"/>
    <w:uiPriority w:val="99"/>
    <w:semiHidden/>
    <w:unhideWhenUsed/>
    <w:rsid w:val="006F7B4E"/>
    <w:rPr>
      <w:vertAlign w:val="superscript"/>
    </w:rPr>
  </w:style>
  <w:style w:type="paragraph" w:styleId="NoSpacing">
    <w:name w:val="No Spacing"/>
    <w:uiPriority w:val="1"/>
    <w:qFormat/>
    <w:rsid w:val="006F7B4E"/>
    <w:pPr>
      <w:spacing w:after="0" w:line="240" w:lineRule="auto"/>
    </w:pPr>
  </w:style>
  <w:style w:type="paragraph" w:customStyle="1" w:styleId="MTDisplayEquation">
    <w:name w:val="MTDisplayEquation"/>
    <w:basedOn w:val="Normal"/>
    <w:next w:val="Normal"/>
    <w:link w:val="MTDisplayEquationChar"/>
    <w:rsid w:val="006F7B4E"/>
    <w:pPr>
      <w:tabs>
        <w:tab w:val="center" w:pos="4520"/>
        <w:tab w:val="right" w:pos="9020"/>
      </w:tabs>
      <w:spacing w:line="360" w:lineRule="auto"/>
    </w:pPr>
  </w:style>
  <w:style w:type="character" w:customStyle="1" w:styleId="MTDisplayEquationChar">
    <w:name w:val="MTDisplayEquation Char"/>
    <w:basedOn w:val="DefaultParagraphFont"/>
    <w:link w:val="MTDisplayEquation"/>
    <w:rsid w:val="006F7B4E"/>
  </w:style>
  <w:style w:type="character" w:customStyle="1" w:styleId="MTConvertedEquation">
    <w:name w:val="MTConvertedEquation"/>
    <w:basedOn w:val="DefaultParagraphFont"/>
    <w:rsid w:val="006F7B4E"/>
    <w:rPr>
      <w:rFonts w:ascii="Cambria Math" w:hAnsi="Cambria Math"/>
      <w:i/>
    </w:rPr>
  </w:style>
  <w:style w:type="paragraph" w:styleId="ListBullet">
    <w:name w:val="List Bullet"/>
    <w:basedOn w:val="Normal"/>
    <w:uiPriority w:val="99"/>
    <w:unhideWhenUsed/>
    <w:rsid w:val="006F7B4E"/>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2.wmf"/><Relationship Id="rId50" Type="http://schemas.openxmlformats.org/officeDocument/2006/relationships/oleObject" Target="embeddings/oleObject20.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29.bin"/><Relationship Id="rId76" Type="http://schemas.openxmlformats.org/officeDocument/2006/relationships/oleObject" Target="embeddings/oleObject33.bin"/><Relationship Id="rId84" Type="http://schemas.openxmlformats.org/officeDocument/2006/relationships/oleObject" Target="embeddings/oleObject37.bin"/><Relationship Id="rId89" Type="http://schemas.openxmlformats.org/officeDocument/2006/relationships/image" Target="media/image43.w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oleObject" Target="embeddings/oleObject41.bin"/><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oleObject" Target="embeddings/oleObject36.bin"/><Relationship Id="rId90" Type="http://schemas.openxmlformats.org/officeDocument/2006/relationships/oleObject" Target="embeddings/oleObject40.bin"/><Relationship Id="rId95" Type="http://schemas.openxmlformats.org/officeDocument/2006/relationships/header" Target="header1.xml"/><Relationship Id="rId19" Type="http://schemas.openxmlformats.org/officeDocument/2006/relationships/image" Target="media/image8.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image" Target="media/image1.tiff"/><Relationship Id="rId51" Type="http://schemas.openxmlformats.org/officeDocument/2006/relationships/image" Target="media/image24.w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41.wmf"/><Relationship Id="rId93" Type="http://schemas.openxmlformats.org/officeDocument/2006/relationships/image" Target="media/image45.wmf"/><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5.bin"/><Relationship Id="rId41" Type="http://schemas.openxmlformats.org/officeDocument/2006/relationships/image" Target="media/image19.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39.bin"/><Relationship Id="rId91" Type="http://schemas.openxmlformats.org/officeDocument/2006/relationships/image" Target="media/image44.wmf"/><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image" Target="media/image3.tiff"/><Relationship Id="rId31" Type="http://schemas.openxmlformats.org/officeDocument/2006/relationships/image" Target="media/image14.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4.bin"/><Relationship Id="rId81" Type="http://schemas.openxmlformats.org/officeDocument/2006/relationships/image" Target="media/image39.wmf"/><Relationship Id="rId86" Type="http://schemas.openxmlformats.org/officeDocument/2006/relationships/oleObject" Target="embeddings/oleObject38.bin"/><Relationship Id="rId94"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image" Target="media/image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Nick</cp:lastModifiedBy>
  <cp:revision>8</cp:revision>
  <cp:lastPrinted>2015-06-16T02:16:00Z</cp:lastPrinted>
  <dcterms:created xsi:type="dcterms:W3CDTF">2015-06-16T02:12:00Z</dcterms:created>
  <dcterms:modified xsi:type="dcterms:W3CDTF">2015-06-22T12:14:00Z</dcterms:modified>
</cp:coreProperties>
</file>